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74"/>
        <w:gridCol w:w="2831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67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בפני כב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השופטים א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דראל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א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אברבנאל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ח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זנדברג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br/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תפ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ח </w:t>
            </w: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>5511-02-20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מדינת ישראל נ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חמד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ואח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Tahoma" w:hAnsi="Tahoma" w:cs="FrankRuehl"/>
                <w:b/>
                <w:bCs/>
                <w:sz w:val="28"/>
                <w:szCs w:val="28"/>
              </w:rPr>
            </w:pPr>
            <w:r>
              <w:rPr>
                <w:rFonts w:cs="FrankRuehl" w:ascii="Tahoma" w:hAnsi="Tahoma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3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19.4.2021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Cs w:val="26"/>
        </w:rPr>
      </w:pPr>
      <w:r>
        <w:rPr>
          <w:b/>
          <w:bCs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40"/>
        <w:gridCol w:w="566"/>
        <w:gridCol w:w="269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5206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  <w:t>ע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אביעד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דוויק</w:t>
            </w:r>
            <w:r>
              <w:rPr>
                <w:szCs w:val="26"/>
                <w:rtl w:val="true"/>
              </w:rPr>
              <w:t xml:space="preserve">, </w:t>
            </w:r>
            <w:r>
              <w:rPr>
                <w:szCs w:val="26"/>
                <w:rtl w:val="true"/>
              </w:rPr>
              <w:t>פרקליטות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מחוז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</w:t>
            </w:r>
            <w:r>
              <w:rPr>
                <w:szCs w:val="26"/>
                <w:rtl w:val="true"/>
              </w:rPr>
              <w:t>-</w:t>
            </w:r>
            <w:r>
              <w:rPr>
                <w:szCs w:val="26"/>
                <w:rtl w:val="true"/>
              </w:rPr>
              <w:t>ם</w:t>
            </w:r>
          </w:p>
        </w:tc>
        <w:tc>
          <w:tcPr>
            <w:tcW w:w="269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</w:tc>
        <w:tc>
          <w:tcPr>
            <w:tcW w:w="520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64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6"/>
                <w:rtl w:val="true"/>
              </w:rPr>
              <w:t>מהנד חמד</w:t>
            </w:r>
          </w:p>
          <w:p>
            <w:pPr>
              <w:pStyle w:val="Normal"/>
              <w:ind w:end="0"/>
              <w:jc w:val="start"/>
              <w:rPr>
                <w:szCs w:val="26"/>
              </w:rPr>
            </w:pPr>
            <w:r>
              <w:rPr>
                <w:rFonts w:cs="Times New Roman"/>
                <w:szCs w:val="26"/>
                <w:rtl w:val="true"/>
              </w:rPr>
              <w:t xml:space="preserve">   </w:t>
            </w:r>
            <w:r>
              <w:rPr>
                <w:szCs w:val="26"/>
                <w:rtl w:val="true"/>
              </w:rPr>
              <w:t>ע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ב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כ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רמי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עותמאן</w:t>
            </w:r>
          </w:p>
          <w:p>
            <w:pPr>
              <w:pStyle w:val="Normal"/>
              <w:ind w:end="0"/>
              <w:jc w:val="start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מהדי אבו מייאלה </w:t>
            </w:r>
          </w:p>
          <w:p>
            <w:pPr>
              <w:pStyle w:val="Normal"/>
              <w:ind w:end="0"/>
              <w:jc w:val="start"/>
              <w:rPr>
                <w:szCs w:val="26"/>
              </w:rPr>
            </w:pPr>
            <w:r>
              <w:rPr>
                <w:rFonts w:cs="Times New Roman"/>
                <w:szCs w:val="26"/>
                <w:rtl w:val="true"/>
              </w:rPr>
              <w:t xml:space="preserve">   </w:t>
            </w:r>
            <w:r>
              <w:rPr>
                <w:szCs w:val="26"/>
                <w:rtl w:val="true"/>
              </w:rPr>
              <w:t>ע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ב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כ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עו</w:t>
            </w:r>
            <w:r>
              <w:rPr>
                <w:szCs w:val="26"/>
                <w:rtl w:val="true"/>
              </w:rPr>
              <w:t>"</w:t>
            </w:r>
            <w:r>
              <w:rPr>
                <w:szCs w:val="26"/>
                <w:rtl w:val="true"/>
              </w:rPr>
              <w:t>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גיורא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זילברשטיין</w:t>
            </w:r>
          </w:p>
        </w:tc>
        <w:tc>
          <w:tcPr>
            <w:tcW w:w="325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</w:tc>
        <w:tc>
          <w:tcPr>
            <w:tcW w:w="520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cs="Arial" w:ascii="Arial" w:hAnsi="Arial"/>
                <w:b/>
                <w:bCs/>
                <w:sz w:val="28"/>
                <w:szCs w:val="26"/>
                <w:rtl w:val="true"/>
              </w:rPr>
            </w:r>
          </w:p>
        </w:tc>
        <w:tc>
          <w:tcPr>
            <w:tcW w:w="269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6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0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6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כתב האישום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bookmarkStart w:id="9" w:name="ABSTRACT_START"/>
      <w:bookmarkEnd w:id="9"/>
      <w:r>
        <w:rPr>
          <w:rFonts w:ascii="David" w:hAnsi="David" w:cs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 w:cs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מהנד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הורשע על פי הודאתו בשלוש עבירות של סיוע לחבלה בכוונה מחמירה לפי </w:t>
      </w:r>
      <w:hyperlink r:id="rId7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329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)(</w:t>
        </w:r>
        <w:r>
          <w:rPr>
            <w:rStyle w:val="Hyperlink"/>
            <w:rFonts w:cs="David" w:ascii="David" w:hAnsi="David"/>
            <w:sz w:val="26"/>
            <w:szCs w:val="26"/>
          </w:rPr>
          <w:t>2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hyperlink r:id="rId8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ז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 w:cs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חוק העונשין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בצירוף </w:t>
      </w:r>
      <w:hyperlink r:id="rId9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לחוק העונשין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 w:cs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מהדי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הורשע על פי הודאתו בשלוש עבירות של חבלה בכוונה מחמירה ובעבירה של נשיאה והובלת נשק  לפי סעיף </w:t>
      </w:r>
      <w:hyperlink r:id="rId10">
        <w:r>
          <w:rPr>
            <w:rStyle w:val="Hyperlink"/>
            <w:rFonts w:cs="David" w:ascii="David" w:hAnsi="David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רישא ל</w:t>
      </w:r>
      <w:hyperlink r:id="rId11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24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מאחר וכל אחד משני הנאשמים הגיע להסדר טיעון בשלב אחר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הוגשו בנפרד שני כתבי אישום מתוקנים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שמתארים את אותו אירוע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למעט הבדלים קלים ביניהם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בכתב האישום המתוקן שהוגש נגד מהדי מתואר כי בין מהדי לבין בני משפחת טוויל סכסוך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שנוצר לאחר שמהדי רצה להינשא עם פלק טוויל אך אביה נדאל טוויל סרב לכך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חכם ואכרים טוויל הם בניו של נדאל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בתאריך שאינו ידוע למאשימה גמלה בלבו של מהדי ההחלטה לבצע ירי לעבר בני משפחת טוויל במטרה לפגוע בהם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מהדי קשר עם אחרים קשר במסגרתו החליטו יחדיו לארוב עם שני כלי רכב במקום שבו עוברים בני משפחת טוויל בדרכם לעבודה בשעות הבוקר ולירות עליהם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כדי להוציא לפועל את הקשר הגיעו מהדי והאחרים בתאריך </w:t>
      </w:r>
      <w:r>
        <w:rPr>
          <w:rFonts w:cs="David" w:ascii="David" w:hAnsi="David"/>
          <w:sz w:val="26"/>
          <w:szCs w:val="26"/>
        </w:rPr>
        <w:t>9.1.20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בשתי מכוניות לכביש צדדי בעמק הארזים בירושלים כשהם חמושים באקדחים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וחיכו למעברם של בני משפחת טוויל ברכבם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בסמוך לשעה </w:t>
      </w:r>
      <w:r>
        <w:rPr>
          <w:rFonts w:cs="David" w:ascii="David" w:hAnsi="David"/>
          <w:sz w:val="26"/>
          <w:szCs w:val="26"/>
        </w:rPr>
        <w:t>07:15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כמנהגם בכל יום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נסעו חכם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אכרים ובן דודם רעד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המתלוננים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ברכב מסחרי מסוג פיאט למקום העבודה שלהם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בדרכם הגיעו לקרבת המקום שבו ארבו  להם מהנד והאחר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המתלוננים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נהג ושני נוסעים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 w:cs="David"/>
          <w:sz w:val="26"/>
          <w:sz w:val="26"/>
          <w:szCs w:val="26"/>
          <w:rtl w:val="true"/>
        </w:rPr>
        <w:t>ישבו במושב הקדמי של רכבם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מהדי והאחר חסמו בעזרת רכבם את כיוון נסיעתם של המתלוננים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ומיד לאחר שרכב המתלוננים נעצר בשל החסימה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יצאו מהדי והאחר מרכבם כשהם רעולי פנים ובידיהם אקדחים שלופים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מיד עם צאתם מרכבם ירו מהדי והאחר מהאקדחים שבידיהם לעבר המתלוננים דרך שמשת הרכב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ממרחק קצר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בכוונה להטיל בהם נכות או מום או לגרום להם חבלה חמורה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חכם טוויל שנהג ברכב ניסה להימלט בנסיעה לאחור עד אשר הרכב נתקע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זאת בעת שמהדי והאחר ממשיכים לירות לעברם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מהדי והאחר ירו ששה כדורים בסך הכול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מיד לאחר מכן נכנסו מהדי והאחר לרכבם וברחו מהמקום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בסמוך לכך הורידו השניים את לוחיות הזיהוי של רכבם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והותירו את הרכב בשכונת גבעת שאול בירושלים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המתלוננים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חכם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אכרים ורעד סבלו מפגיעות שונות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>חכם סבל משפשוף מפגיעת קליע בזרוע ימין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אכרים משני שפשופים מפגיעות קליעים בזרוע שמאל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ורעד משפשוף בחזה מפגיעת קליע מתחת לבית השחי השמאלי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כתב האישום נגד מהנד מלמד כי היה אחד משלושת המעורבים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והוא  שנהג ברכב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והתמקם במקום סמוך למקום שבו המתינו מהדי והאחר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כדי שיוכל להזהיר אותם מפני המשטרה או מפני כל גורם העלול להפריע להם בהוצאת הקשר לפועל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למהנד יוחסו שלוש עבירות סיוע לחבלה מחמירה אך לא יוחסה לו מעורבות כלשהי בעבירת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ומכתב האישום המתוקן נמחקה האמירה כי הירי נעשה בידיעתו וכחלק מהקשר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שהיה שותף לו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ר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התיקון לסעיף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לכתב האישום המתוקן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הסדר הטיעון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הצדדים הגיעו להסדר טיעון טרם שמיעת הראיות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מהדי הגיע להסדר בשלב מוקדם ואילו מהנד והמאשימה הגיעו להסכמה בבוקר יום ההוכחות ובטרם נשמעו העדויות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לאחר שהעדים כבר התייצבו בבית המשפט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לפי הסדר הטיעון מהדי ומהנד הודו כל אחד בנטען כלפיהם בכתב האישום המתוקן שהוגש בעניינו של כל אחד מהם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המאשימה מצדה הסכימה להגביל את עצמה בטיעון לעונש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ולטעון לעונש של תשע שנות מאסר בפועל  למהדי ופרק זמן של חמש שנים למהנד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נוסף על כך הוסכם על הטלת עונשי מאסר על תנאי ופיצוי למתלוננים וכן הושג הסדר בכל הנוגע לכלי הרכב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כך שאחד מכלי הרכב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רכב מסוג מאזדה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יחולט והרכב הנוסף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מסוג ב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וו</w:t>
      </w:r>
      <w:r>
        <w:rPr>
          <w:rFonts w:cs="David" w:ascii="David" w:hAnsi="David"/>
          <w:sz w:val="26"/>
          <w:szCs w:val="26"/>
          <w:rtl w:val="true"/>
        </w:rPr>
        <w:t xml:space="preserve">.) </w:t>
      </w:r>
      <w:r>
        <w:rPr>
          <w:rFonts w:ascii="David" w:hAnsi="David" w:cs="David"/>
          <w:sz w:val="26"/>
          <w:sz w:val="26"/>
          <w:szCs w:val="26"/>
          <w:rtl w:val="true"/>
        </w:rPr>
        <w:t>יוחזר למהדי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הראיות לעונש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המאשימה הגישה את גיליון ההרשעות הקודמות של מהנד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הכולל הרשעה בעבירות משנת </w:t>
      </w:r>
      <w:r>
        <w:rPr>
          <w:rFonts w:cs="David" w:ascii="David" w:hAnsi="David"/>
          <w:sz w:val="26"/>
          <w:szCs w:val="26"/>
        </w:rPr>
        <w:t>2008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של רכישה והחזקה של נשק שלא כדין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נשיאה והובלה של נשק שלא כדין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וירי מנשק חם באזור מגורים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בגין הרשעה זו משנת </w:t>
      </w:r>
      <w:r>
        <w:rPr>
          <w:rFonts w:cs="David" w:ascii="David" w:hAnsi="David"/>
          <w:sz w:val="26"/>
          <w:szCs w:val="26"/>
        </w:rPr>
        <w:t>2010</w:t>
      </w:r>
      <w:r>
        <w:rPr>
          <w:rFonts w:cs="David" w:ascii="David" w:hAnsi="David"/>
          <w:sz w:val="26"/>
          <w:szCs w:val="26"/>
          <w:rtl w:val="true"/>
        </w:rPr>
        <w:t xml:space="preserve">  </w:t>
      </w:r>
      <w:r>
        <w:rPr>
          <w:rFonts w:ascii="David" w:hAnsi="David" w:cs="David"/>
          <w:sz w:val="26"/>
          <w:sz w:val="26"/>
          <w:szCs w:val="26"/>
          <w:rtl w:val="true"/>
        </w:rPr>
        <w:t>נדון מהנד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פרט להרשעה זו לחובתו של מהנד שתי הרשעות נוספות בגין הפרעה לשוטר במילוי תפקידו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משנת </w:t>
      </w:r>
      <w:r>
        <w:rPr>
          <w:rFonts w:cs="David" w:ascii="David" w:hAnsi="David"/>
          <w:sz w:val="26"/>
          <w:szCs w:val="26"/>
        </w:rPr>
        <w:t>2008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וסיכון אדם בנתיב תחבורה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משנת </w:t>
      </w:r>
      <w:r>
        <w:rPr>
          <w:rFonts w:cs="David" w:ascii="David" w:hAnsi="David"/>
          <w:sz w:val="26"/>
          <w:szCs w:val="26"/>
        </w:rPr>
        <w:t>2004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ListParagraph"/>
        <w:spacing w:lineRule="auto" w:line="24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המאשימה הגישה שלוש הצהרות נפגעי 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מההצהרות נלמד כי האירוע היה טראומטי לנפגעי העבירה והותיר בהם תחושות פחד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עוד עולה מהצהרות הנפגעים כי נגרמו להם הפסדי שכר וכן לנפגע אכרים נגרמה הוצאה לצורך תיקון רכבו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מטעמו של מהדי הוגשו מסמכים רפואיים המתארים פצעי ירי ברגלו באירוע משנת </w:t>
      </w:r>
      <w:r>
        <w:rPr>
          <w:rFonts w:cs="David" w:ascii="David" w:hAnsi="David"/>
          <w:sz w:val="26"/>
          <w:szCs w:val="26"/>
        </w:rPr>
        <w:t>2017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שבגינם מתקשה הוא בהליכה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נזקק לסד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וכן עובר מעת לעת ניתוחים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טיעוני הצדדים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 המאשימה עמד על חומרת המעשים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על כך שלוו בתכנון מוקדם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וחלוקת עבודה בין הקושרים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כאשר שניים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מהדי והאחר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מבצעים ואחר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מהנד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מסייע להם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 w:cs="David"/>
          <w:sz w:val="26"/>
          <w:sz w:val="26"/>
          <w:szCs w:val="26"/>
          <w:rtl w:val="true"/>
        </w:rPr>
        <w:t>מתצפת ומאבטח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הוא עמד על כך שהמדובר בירי של שישה כדורים לעבר שלושה נפגעים הנמצאים ברכב ואינם מצליחים להימלט ממנו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בעוד הירי נמשך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אף בעת שאחד הנפגעים מנסה להניס את הרכב מהמקום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אשר לחלקו של מהנד נטען כי המדובר בסיוע ברף הגבוה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שאפשר את מעשה העבירה העיקרי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לדברי 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 המאשימה אף שהתוצאות אינן חמורות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הפוטנציאל לנזק הוא משמעותי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שכן ירי מטווח קצר היה יכול להסתיים בפגיעה חמורה בהרבה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ומכאן נובעת העמדה העונשית והבקשה להחמיר עם הנאשמים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24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בהתייחסו לערכים המוגנים עמד בא כוח המאשימה על הפגיעה בשלמות הגוף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כתוצאה מירי בבוקרו של יום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וציין את התופעה שהפכה רווחת במגזרים שונים לפתרון סכסוכים באמצעות ירי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 המאשימה הפנה למספר פסקי דין שמהם הוא ביקש ללמוד על מדיניות הענישה הנוהגת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הוא הציע להגדיר את ההתרחשות כאירוע אחד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ובהתבסס על מדיניות הענישה הנוהגת ועל נסיבות ביצוען של העבירות  הוא הציע כי מתחם העונש ההולם שייקבע למהדי ינוע בין </w:t>
      </w:r>
      <w:r>
        <w:rPr>
          <w:rFonts w:cs="David" w:ascii="David" w:hAnsi="David"/>
          <w:sz w:val="26"/>
          <w:szCs w:val="26"/>
        </w:rPr>
        <w:t>12-9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 לצד ענישה נלווית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וכי המתחם הנוגע למהנד יעמוד על מחצית העונש האמור 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</w:rPr>
        <w:t>6-4.5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לצד ענישה נלווית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אשר לקביעת העונש בתוך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בא כוח המאשימה ביקש להטיל על הנאשמים את העונש המרבי שהמאשימה הסכימה להגביל את עצמה אליו –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למהדי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 מאסר למהנד – העונשים שבתחתית המתחמים המוצעים על ידי המאשימה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 המאשימה לא סבר שיש לתת ביטוי משמעותי למצבו הרפואי של מהדי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מקום בו העבירה בוצעה למרות מצב זה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כוחו של מהדי ציין את הודאתו של מרשו ואת התיקון המשמעותי שהוכנס לכתב האישום בעקבות ההודאה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הוא עמד על נטילת האחריות מצדו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ועל הבעת החרטה הגלומה בהודאה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לדידו על בית המשפט לבוא לקראת נאשמים המודים ומקבלים אחריות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וכן חוסכים את הצורך בהבאתם לעדות של מומחים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מומחי זירה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וניהול הליך הוכחות מורכב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כוחו של מהדי הדגיש את מצבו הרפואי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לדבריו מהדי מצליח לעמוד רק בקושי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לאחר שנפגע כאמור מיריות בשנת </w:t>
      </w:r>
      <w:r>
        <w:rPr>
          <w:rFonts w:cs="David" w:ascii="David" w:hAnsi="David"/>
          <w:sz w:val="26"/>
          <w:szCs w:val="26"/>
        </w:rPr>
        <w:t>2017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מבלי שאותרו האשמים בכך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וכן עמד על הסבל הרב שהמאסר מסב לו בשל המגבלה הרפואית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הוא הוסיף שגיליון ההרשעות הקודמות שלו נקי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עניין אחר שאותו הדגיש 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כוחו של מהדי היה הנזק הקל שנגרם לנפגעי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והפסקת הירי לאחר שהיורים עזבו את המקום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בהתבסס על שורה של פסקי דין שהגיש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ביקש בא כוחו של מהדי להסתפק בעונש מאסר בפועל למשך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שנים ולקבוע פיצוי למתלוננים בשיעור מתון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מהדי אמר בדבריו האחרונים כי הוא מצטער על המעשה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והדגיש את הנכות שממנה הוא סובל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את הניתוח שהוא עתיד לעבור וכי לא ניתנת לו בכלא כל עזרה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אף 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כוחו של מהנד עמד על הקשיים הראייתיים שהביאו להסדר הטיעון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והדגיש כי על פי הסכמת הצדדים בכל הנוגע למהנד אין לקשור אותו לשימוש בנשק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בכל צורה שהיא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על רקע זה הוא טען כי אין הצדקה ללמוד על מידת עונשו מעונשו של מהדי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זאת משום הפער בין שניהם בכל הנוגע לשימוש 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לטענתו מעורבותו של מהנד מסתכמת בכך שהיה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משגיח מרחוק על התנועה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David"/>
          <w:sz w:val="26"/>
          <w:sz w:val="26"/>
          <w:szCs w:val="26"/>
          <w:rtl w:val="true"/>
        </w:rPr>
        <w:t>בהתייחסו לעבר הפלילי של מהנד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עמד בא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כוחו על כך שמדובר בעבירות ישנות יחסית וכי משך למעלה מעשור אין הוא מעורב בפלילים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הוא ביקש להטיל עליו עונש מאסר שעומד על התקופה שבה הוא עצור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כשנה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cs="David"/>
          <w:sz w:val="26"/>
          <w:sz w:val="26"/>
          <w:szCs w:val="26"/>
          <w:rtl w:val="true"/>
        </w:rPr>
        <w:t>מהנד סיים את שלב הטיעונים לעונש באמרו כי הוא מצטער על חלקו בעבירה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עבירות אלימות בדרגת החומרה שלפנינו חמורות ומסוכנות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יש בהן כדי לפגוע בזכות האדם לשלמות גופו ולביטחונו האישי וכן לגרום לפגיעה מהותית בסדר החברתי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באירוע שלפנינו בחרו הנאשמים לפגוע בשלושה אנשים שלא עוללו להם דבר כשהם בדרכם למקום עבודתם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בכוונה לגרום להם חבלה חמורה או נכות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כל זאת אך ורק משום שאביהם של שניים מהנפגעים לא אבה להתיר למהדי להינשא לבתו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24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מהלך דברים שכזה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שבו תסכול או כעס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מביאים לתכנון ולביצוע של ירי כלפי חפים מפשע הוא בלתי נסבל ומחייב ענישה חמורה ומרתיעה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כפי שנקבע </w:t>
      </w:r>
      <w:r>
        <w:rPr>
          <w:rFonts w:cs="Miriam" w:ascii="David" w:hAnsi="David"/>
          <w:sz w:val="24"/>
          <w:szCs w:val="24"/>
          <w:rtl w:val="true"/>
        </w:rPr>
        <w:t>"</w:t>
      </w:r>
      <w:r>
        <w:rPr>
          <w:rFonts w:ascii="David" w:hAnsi="David" w:cs="Miriam"/>
          <w:sz w:val="24"/>
          <w:sz w:val="24"/>
          <w:szCs w:val="24"/>
          <w:rtl w:val="true"/>
        </w:rPr>
        <w:t>חברה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מתוקנת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אינה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יכולה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להשלים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עם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פתרון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סכסוכים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בנשק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קר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או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חם</w:t>
      </w:r>
      <w:r>
        <w:rPr>
          <w:rFonts w:cs="Miriam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Miriam"/>
          <w:sz w:val="24"/>
          <w:sz w:val="24"/>
          <w:szCs w:val="24"/>
          <w:rtl w:val="true"/>
        </w:rPr>
        <w:t>במיוחד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כאשר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תופעות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מסוג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זה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מתרחשות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חדשות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לבקרים</w:t>
      </w:r>
      <w:r>
        <w:rPr>
          <w:rFonts w:cs="Miriam" w:ascii="David" w:hAnsi="David"/>
          <w:sz w:val="24"/>
          <w:szCs w:val="24"/>
          <w:rtl w:val="true"/>
        </w:rPr>
        <w:t>..."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hyperlink r:id="rId12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4697/11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סילמאן אל צאנע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24.3.2013</w:t>
      </w:r>
      <w:r>
        <w:rPr>
          <w:rFonts w:cs="David" w:ascii="David" w:hAnsi="David"/>
          <w:sz w:val="26"/>
          <w:szCs w:val="26"/>
          <w:rtl w:val="true"/>
        </w:rPr>
        <w:t>) (</w:t>
      </w:r>
      <w:r>
        <w:rPr>
          <w:rFonts w:ascii="David" w:hAnsi="David" w:cs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אל צאנע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חומרתה הרבה של עבירת החבלה בכוונה מחמירה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שבה הורשעו הנאשמים ופגיעתה הקשה בערכים המוגנים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הביאו את המחוקק לקביעת עונש מאסר מרבי העומד על 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שנות מאסר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ר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hyperlink r:id="rId13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205/19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ולדיסלב לברוב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cs="David" w:ascii="David" w:hAnsi="David"/>
          <w:sz w:val="26"/>
          <w:szCs w:val="26"/>
        </w:rPr>
        <w:t>7.6.2020</w:t>
      </w:r>
      <w:r>
        <w:rPr>
          <w:rFonts w:cs="David" w:ascii="David" w:hAnsi="David"/>
          <w:sz w:val="26"/>
          <w:szCs w:val="26"/>
          <w:rtl w:val="true"/>
        </w:rPr>
        <w:t>) (</w:t>
      </w:r>
      <w:r>
        <w:rPr>
          <w:rFonts w:ascii="David" w:hAnsi="David" w:cs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לברוב</w:t>
      </w:r>
      <w:r>
        <w:rPr>
          <w:rFonts w:cs="David" w:ascii="David" w:hAnsi="David"/>
          <w:sz w:val="26"/>
          <w:szCs w:val="26"/>
          <w:rtl w:val="true"/>
        </w:rPr>
        <w:t xml:space="preserve">)). </w:t>
      </w:r>
      <w:r>
        <w:rPr>
          <w:rFonts w:ascii="David" w:hAnsi="David" w:cs="David"/>
          <w:sz w:val="26"/>
          <w:sz w:val="26"/>
          <w:szCs w:val="26"/>
          <w:rtl w:val="true"/>
        </w:rPr>
        <w:t>בהתאם לכך בית המשפט העליון הדגיש חזור והדגש את ההכרח בהטלת עונשים משמעותיים בגין נקיטה באלימות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240" w:before="0" w:after="0"/>
        <w:ind w:end="851"/>
        <w:contextualSpacing/>
        <w:jc w:val="both"/>
        <w:rPr/>
      </w:pPr>
      <w:r>
        <w:rPr>
          <w:rFonts w:cs="Miriam" w:ascii="David" w:hAnsi="David"/>
          <w:sz w:val="24"/>
          <w:szCs w:val="24"/>
          <w:rtl w:val="true"/>
        </w:rPr>
        <w:t>"</w:t>
      </w:r>
      <w:r>
        <w:rPr>
          <w:rFonts w:ascii="David" w:hAnsi="David" w:cs="Miriam"/>
          <w:sz w:val="24"/>
          <w:sz w:val="24"/>
          <w:szCs w:val="24"/>
          <w:rtl w:val="true"/>
        </w:rPr>
        <w:t>בית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משפט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זה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עמד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לא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אחת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על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כך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שחברה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מתוקנת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אינה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יכולה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להשלים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עם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אלימות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החותרת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תחת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זכותו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של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אדם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לשלמות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גופו</w:t>
      </w:r>
      <w:r>
        <w:rPr>
          <w:rFonts w:cs="Miriam" w:ascii="David" w:hAnsi="David"/>
          <w:sz w:val="24"/>
          <w:szCs w:val="24"/>
          <w:rtl w:val="true"/>
        </w:rPr>
        <w:t xml:space="preserve">... </w:t>
      </w:r>
      <w:r>
        <w:rPr>
          <w:rFonts w:ascii="David" w:hAnsi="David" w:cs="Miriam"/>
          <w:sz w:val="24"/>
          <w:sz w:val="24"/>
          <w:szCs w:val="24"/>
          <w:rtl w:val="true"/>
        </w:rPr>
        <w:t>וכן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על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הצורך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להרתיע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את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הפונים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לפתרון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סכסוכים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בכוח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הזרוע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באמצעות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השתת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עונשים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הולמים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ומשמעותיים</w:t>
      </w:r>
      <w:r>
        <w:rPr>
          <w:rFonts w:cs="Miriam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Miriam"/>
          <w:sz w:val="24"/>
          <w:sz w:val="24"/>
          <w:szCs w:val="24"/>
          <w:rtl w:val="true"/>
        </w:rPr>
        <w:t>זאת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במטרה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להעביר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את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המסר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כי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החברה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אינה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סובלנית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להתנהגויות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מסוג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Miriam"/>
          <w:sz w:val="24"/>
          <w:sz w:val="24"/>
          <w:szCs w:val="24"/>
          <w:rtl w:val="true"/>
        </w:rPr>
        <w:t>זה</w:t>
      </w:r>
      <w:r>
        <w:rPr>
          <w:rFonts w:cs="Miriam" w:ascii="David" w:hAnsi="David"/>
          <w:sz w:val="24"/>
          <w:szCs w:val="24"/>
          <w:rtl w:val="true"/>
        </w:rPr>
        <w:t>..."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hyperlink r:id="rId14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759/16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תאמר גבארין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cs="David" w:ascii="David" w:hAnsi="David"/>
          <w:sz w:val="26"/>
          <w:szCs w:val="26"/>
        </w:rPr>
        <w:t>13.6.2016</w:t>
      </w:r>
      <w:r>
        <w:rPr>
          <w:rFonts w:cs="David" w:ascii="David" w:hAnsi="David"/>
          <w:sz w:val="26"/>
          <w:szCs w:val="26"/>
          <w:rtl w:val="true"/>
        </w:rPr>
        <w:t>)).</w:t>
      </w:r>
    </w:p>
    <w:p>
      <w:pPr>
        <w:pStyle w:val="ListParagraph"/>
        <w:spacing w:lineRule="auto" w:line="240" w:before="0" w:after="0"/>
        <w:ind w:end="851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בחינת מדיניות הענישה הנוהגת מעלה כי קיים בפסיקה מנעד רחב יחסית של עונשים הניתנים בנסיבות דומות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אם כי בשנים האחרונות חלה מגמת החמרה מסוימת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בגין עבירות של חבלה בנסיבות מחמירות לפי </w:t>
      </w:r>
      <w:hyperlink r:id="rId15">
        <w:r>
          <w:rPr>
            <w:rStyle w:val="Hyperlink"/>
            <w:rFonts w:ascii="David" w:hAnsi="David" w:cs="David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6"/>
            <w:szCs w:val="26"/>
          </w:rPr>
          <w:t>329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6"/>
          <w:sz w:val="26"/>
          <w:szCs w:val="26"/>
          <w:rtl w:val="true"/>
        </w:rPr>
        <w:t xml:space="preserve"> מוטלים בדרך כלל עונשי מאסר בפועל העומדים על ארבע עד תשע שנות מאסר בפועל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17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517/19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אבו עמאר ואח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6.7.2020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hyperlink r:id="rId18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4344/18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אשרף 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אבר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16.8.2019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 w:cs="David"/>
          <w:sz w:val="26"/>
          <w:sz w:val="26"/>
          <w:szCs w:val="26"/>
          <w:rtl w:val="true"/>
        </w:rPr>
        <w:t>ע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 </w:t>
      </w:r>
      <w:r>
        <w:rPr>
          <w:rFonts w:cs="David" w:ascii="David" w:hAnsi="David"/>
          <w:sz w:val="26"/>
          <w:szCs w:val="26"/>
        </w:rPr>
        <w:t>7459/17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אור קדושים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27.2.2018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hyperlink r:id="rId19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6101/16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אחמד עווד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28.6.2017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 w:cs="David"/>
          <w:sz w:val="26"/>
          <w:sz w:val="26"/>
          <w:szCs w:val="26"/>
          <w:rtl w:val="true"/>
        </w:rPr>
        <w:t>ע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 </w:t>
      </w:r>
      <w:r>
        <w:rPr>
          <w:rFonts w:cs="David" w:ascii="David" w:hAnsi="David"/>
          <w:sz w:val="26"/>
          <w:szCs w:val="26"/>
        </w:rPr>
        <w:t>2350/12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עברי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18.1.2015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hyperlink r:id="rId20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768/13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מוחמד נאסר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29.10.2014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hyperlink r:id="rId21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5762/13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אנואר פאעור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21.10.2014</w:t>
      </w:r>
      <w:r>
        <w:rPr>
          <w:rFonts w:cs="David" w:ascii="David" w:hAnsi="David"/>
          <w:sz w:val="26"/>
          <w:szCs w:val="26"/>
          <w:rtl w:val="true"/>
        </w:rPr>
        <w:t xml:space="preserve">);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אל צאנע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;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לברוב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; 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ו</w:t>
      </w:r>
      <w:hyperlink r:id="rId22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6296/11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בכר אגבאריה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13.11.2012</w:t>
      </w:r>
      <w:r>
        <w:rPr>
          <w:rFonts w:cs="David" w:ascii="David" w:hAnsi="David"/>
          <w:sz w:val="26"/>
          <w:szCs w:val="26"/>
          <w:rtl w:val="true"/>
        </w:rPr>
        <w:t>)).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eastAsia="Times New Roman" w:cs="David"/>
          <w:sz w:val="26"/>
          <w:sz w:val="26"/>
          <w:szCs w:val="26"/>
          <w:rtl w:val="true"/>
        </w:rPr>
        <w:t>בית המשפט העליון ביטא לא אחת שאט נפש מנקיטה באלימות חמורה לשם פתרון סכסוכים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ואת הצורך בהחמרת הענישה ככל שמתרבות העבירות מסוג זה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סירוב של אב להשיא את בתו לאחר אינה עילה לשפיכות דמים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במיוחד חמור השימוש בנשק חם העלול להסתיים במותם של קורבנות הירי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לדידנו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נדרשת לעת הזו עמדה ברורה וחד משמעית מצד בתי המשפט ולפיה לא ניתן להשלים עם התנהלות עבריינית אלימה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המזלזלת בחיי אדם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לצורך פתרון מחלוקות בכוח הזרוע תוך שימוש בנשק חם או בנשק קר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בטרם התנהגות זו תהפוך נורמה מקובלת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יש לתת לה מענה עונשי אשר יביא בחשבון את החומרה הניכרת הנלווית לה ואת תוצאותיה הקשות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714" w:end="0"/>
        <w:jc w:val="both"/>
        <w:rPr>
          <w:rFonts w:ascii="David" w:hAnsi="David" w:eastAsia="Times New Roman" w:cs="David"/>
          <w:sz w:val="26"/>
          <w:szCs w:val="26"/>
        </w:rPr>
      </w:pPr>
      <w:r>
        <w:rPr>
          <w:rFonts w:eastAsia="Times New Roman"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eastAsia="Times New Roman" w:cs="David"/>
          <w:sz w:val="26"/>
          <w:sz w:val="26"/>
          <w:szCs w:val="26"/>
          <w:rtl w:val="true"/>
        </w:rPr>
        <w:t>את מתחם העונש ההולם לעבירה שלפנינו יש לקבוע על הצד המחמיר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כאמור בפסיקת בית המשפט העליון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נראה כי הגיעה השעה להחמיר באופן הדרגתי את רמת הענישה בעבירות אלימות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העניין שלפנינו מתאים לנקיטה בדרך זו – מהדי הוא מחולל האירוע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הוא תכנן בקפידה אירוע עברייני חמור ונועז שמטרתו להשיב כביכול את כבודו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בהתאם לתכנית שיזם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לאחר שהוא וחברו חסמו את דרכם של נפגעי העבירה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המטירו עליהם אש מכלי נשק שהחזיקו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בשים לב למרכזיותה של מדיניות הענישה הנוהגת בקביעת מתחם העונש ההולם לעבירה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23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1323/13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רך חסן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5.6.2013</w:t>
      </w:r>
      <w:r>
        <w:rPr>
          <w:rFonts w:cs="David" w:ascii="David" w:hAnsi="David"/>
          <w:sz w:val="26"/>
          <w:szCs w:val="26"/>
          <w:rtl w:val="true"/>
        </w:rPr>
        <w:t xml:space="preserve">)) </w:t>
      </w:r>
      <w:r>
        <w:rPr>
          <w:rFonts w:ascii="David" w:hAnsi="David" w:cs="David"/>
          <w:sz w:val="26"/>
          <w:sz w:val="26"/>
          <w:szCs w:val="26"/>
          <w:rtl w:val="true"/>
        </w:rPr>
        <w:t>ולכך שהחמרה בענישה צריכה להיעשות באופן מתון ומדורג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ר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hyperlink r:id="rId24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6193/20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אליהו בר זכאי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sz w:val="26"/>
          <w:szCs w:val="26"/>
        </w:rPr>
        <w:t>37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cs="David" w:ascii="David" w:hAnsi="David"/>
          <w:sz w:val="26"/>
          <w:szCs w:val="26"/>
        </w:rPr>
        <w:t>25.3.2021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וכן בהתחשב בכך שהפגיעה הפיזית שנגרמה לנפגעי העבירה מצומצמת יחסית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אנו מעמידים את מתחם העונש ההולם למהדי על שבע שנות מאסר וחצי עד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 לצד ענישה נלווית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714" w:end="0"/>
        <w:jc w:val="both"/>
        <w:rPr>
          <w:rFonts w:ascii="David" w:hAnsi="David" w:eastAsia="Times New Roman" w:cs="David"/>
          <w:sz w:val="26"/>
          <w:szCs w:val="26"/>
        </w:rPr>
      </w:pPr>
      <w:r>
        <w:rPr>
          <w:rFonts w:eastAsia="Times New Roman"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0" w:start="84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eastAsia="Times New Roman" w:cs="David"/>
          <w:sz w:val="26"/>
          <w:sz w:val="26"/>
          <w:szCs w:val="26"/>
          <w:rtl w:val="true"/>
        </w:rPr>
        <w:t>את מתחם העונש ההולם של מהנד יש לקבוע בהתאם לעובדות המוסכמות של כתב האישום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משכך נכון להעמיד את מתחם העונש ההולם לגביו שלוש שנות מאסר וחצי עד שש שנות מאסר בפועל לצד ענישה נלווית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אשר לגזירת העונש בתום המתחם יש להביא בחשבון את השיקולים הבאים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שני הנאשמים הודו בשלבים שונים של ההליך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אך בטרם נשמעו ראיות ובכך קיבלו על עצמם אחריות למעשים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עם זאת הבעת החרטה שנשמעה בדבריהם האחרונים של הנאשמים הייתה לקונית וניתנה להתרשמותנו מהפה ולחוץ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240" w:before="0" w:after="0"/>
        <w:ind w:start="108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אין בעברו של מהדי הרשעות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בעברו של מהנד הרשעות רלוונטיות כאמור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אם כי חלפו שנים מאז הרשעתו בהן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מהדי סובל מפגיעה רפואית לא פשוטה שיש בה כדי לגרום לו סבל רב יותר כתוצאה מנשיאתו בעונש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עם זאת יודגש כי העבירות נשוא ההרשעה שלפנינו בוצעו למרות אותה נכות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על יסוד כל האמור יש להטיל על הנאשמים עונש המצוי בסמיכות לתחתית המתחם אם כי לא בתחתיתו ממש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r>
        <w:rPr>
          <w:rFonts w:ascii="David" w:hAnsi="David" w:cs="David"/>
          <w:sz w:val="26"/>
          <w:sz w:val="26"/>
          <w:szCs w:val="26"/>
          <w:rtl w:val="true"/>
        </w:rPr>
        <w:t>פיכך אנו דנים את הנאשמים לעונשים הבאים</w:t>
      </w:r>
      <w:r>
        <w:rPr>
          <w:rFonts w:cs="David" w:ascii="David" w:hAnsi="David"/>
          <w:sz w:val="26"/>
          <w:szCs w:val="26"/>
          <w:rtl w:val="true"/>
        </w:rPr>
        <w:t>: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מהדי אבו מיאלה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שמונה שנות מאסר לריצוי בפועל החל מיום מעצרו – </w:t>
      </w:r>
      <w:r>
        <w:rPr>
          <w:rFonts w:cs="David" w:ascii="David" w:hAnsi="David"/>
          <w:sz w:val="26"/>
          <w:szCs w:val="26"/>
        </w:rPr>
        <w:t>19.1.2020</w:t>
      </w:r>
    </w:p>
    <w:p>
      <w:pPr>
        <w:pStyle w:val="ListParagraph"/>
        <w:spacing w:lineRule="auto" w:line="240" w:before="0" w:after="0"/>
        <w:ind w:start="108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מאסר על תנאי למשך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חודשים והתנאי הוא שלא יעבור עבירת אלימות מסוג פשע בתוך שלוש שנים ממועד שחרורו ממאסר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פיצוי בסכום של </w:t>
      </w:r>
      <w:r>
        <w:rPr>
          <w:rFonts w:cs="David" w:ascii="David" w:hAnsi="David"/>
          <w:sz w:val="26"/>
          <w:szCs w:val="26"/>
        </w:rPr>
        <w:t>10,000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 w:cs="David"/>
          <w:sz w:val="26"/>
          <w:sz w:val="26"/>
          <w:szCs w:val="26"/>
          <w:rtl w:val="true"/>
        </w:rPr>
        <w:t>לכל אחד מהמתלוננים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הפיצוי ישולם עד ליום </w:t>
      </w:r>
      <w:r>
        <w:rPr>
          <w:rFonts w:cs="David" w:ascii="David" w:hAnsi="David"/>
          <w:sz w:val="26"/>
          <w:szCs w:val="26"/>
        </w:rPr>
        <w:t>1.6.21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מהנד חמד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1076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ארבע שנות מאסר לריצוי בפועל החל מיום מעצרו – </w:t>
      </w:r>
      <w:r>
        <w:rPr>
          <w:rFonts w:cs="David" w:ascii="David" w:hAnsi="David"/>
          <w:sz w:val="26"/>
          <w:szCs w:val="26"/>
        </w:rPr>
        <w:t>13.1.2020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240" w:before="0" w:after="0"/>
        <w:ind w:start="1076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1076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מאסר על תנאי למשך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חודשים והתנאי הוא שלא יעבור עבירת אלימות מסוג פשע בתוך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שנים ממועד שחרור ממאסר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1076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פיצוי בסכום של </w:t>
      </w:r>
      <w:r>
        <w:rPr>
          <w:rFonts w:cs="David" w:ascii="David" w:hAnsi="David"/>
          <w:sz w:val="26"/>
          <w:szCs w:val="26"/>
        </w:rPr>
        <w:t>5,000</w:t>
      </w:r>
      <w:r>
        <w:rPr>
          <w:rFonts w:cs="David" w:ascii="David" w:hAnsi="David"/>
          <w:sz w:val="26"/>
          <w:szCs w:val="26"/>
          <w:rtl w:val="true"/>
        </w:rPr>
        <w:t xml:space="preserve"> ₪ </w:t>
      </w:r>
      <w:r>
        <w:rPr>
          <w:rFonts w:ascii="David" w:hAnsi="David" w:cs="David"/>
          <w:sz w:val="26"/>
          <w:sz w:val="26"/>
          <w:szCs w:val="26"/>
          <w:rtl w:val="true"/>
        </w:rPr>
        <w:t>לכל אחד מהמתלוננים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הפיצוי ישולם עד ליום </w:t>
      </w:r>
      <w:r>
        <w:rPr>
          <w:rFonts w:cs="David" w:ascii="David" w:hAnsi="David"/>
          <w:sz w:val="26"/>
          <w:szCs w:val="26"/>
        </w:rPr>
        <w:t>1.6.21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 w:before="0" w:after="0"/>
        <w:ind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0" w:start="84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כמוסכם על הצדדים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רכב מסוג מאזדה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.</w:t>
      </w:r>
      <w:r>
        <w:rPr>
          <w:rFonts w:ascii="David" w:hAnsi="David" w:cs="David"/>
          <w:sz w:val="26"/>
          <w:sz w:val="26"/>
          <w:szCs w:val="26"/>
          <w:rtl w:val="true"/>
        </w:rPr>
        <w:t>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cs="David" w:ascii="David" w:hAnsi="David"/>
          <w:sz w:val="26"/>
          <w:szCs w:val="26"/>
        </w:rPr>
        <w:t>2796059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יחולט לטובת אוצר המדינה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  <w:rtl w:val="true"/>
        </w:rPr>
        <w:t xml:space="preserve">הודע לנאשמים על זכותם להגיש ערעור על גזר הדין לבית המשפט העליון בתוך </w:t>
      </w:r>
      <w:r>
        <w:rPr>
          <w:rFonts w:cs="Arial" w:ascii="Arial" w:hAnsi="Arial"/>
          <w:szCs w:val="26"/>
        </w:rPr>
        <w:t>45</w:t>
      </w:r>
      <w:r>
        <w:rPr>
          <w:rFonts w:cs="Arial" w:ascii="Arial" w:hAnsi="Arial"/>
          <w:szCs w:val="26"/>
          <w:rtl w:val="true"/>
        </w:rPr>
        <w:t xml:space="preserve"> </w:t>
      </w:r>
      <w:r>
        <w:rPr>
          <w:rFonts w:ascii="Arial" w:hAnsi="Arial" w:cs="Arial"/>
          <w:szCs w:val="26"/>
          <w:rtl w:val="true"/>
        </w:rPr>
        <w:t>יום</w:t>
      </w:r>
      <w:r>
        <w:rPr>
          <w:rFonts w:cs="Arial" w:ascii="Arial" w:hAnsi="Arial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Cs w:val="26"/>
        </w:rPr>
      </w:pPr>
      <w:r>
        <w:rPr>
          <w:rFonts w:cs="Arial" w:ascii="Arial" w:hAnsi="Arial"/>
          <w:b/>
          <w:bCs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Cs w:val="26"/>
        </w:rPr>
      </w:pPr>
      <w:r>
        <w:rPr>
          <w:rFonts w:cs="Arial" w:ascii="Arial" w:hAnsi="Arial"/>
          <w:b/>
          <w:bCs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Cs w:val="26"/>
          <w:rtl w:val="true"/>
        </w:rPr>
        <w:t>ניתן היום</w:t>
      </w:r>
      <w:r>
        <w:rPr>
          <w:rFonts w:cs="Arial" w:ascii="Arial" w:hAnsi="Arial"/>
          <w:b/>
          <w:bCs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Cs w:val="26"/>
          <w:rtl w:val="true"/>
        </w:rPr>
        <w:t>ז</w:t>
      </w:r>
      <w:r>
        <w:rPr>
          <w:rFonts w:cs="Arial" w:ascii="Arial" w:hAnsi="Arial"/>
          <w:b/>
          <w:bCs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Cs w:val="26"/>
          <w:rtl w:val="true"/>
        </w:rPr>
        <w:t>באייר תשפ</w:t>
      </w:r>
      <w:r>
        <w:rPr>
          <w:rFonts w:cs="Arial" w:ascii="Arial" w:hAnsi="Arial"/>
          <w:b/>
          <w:bCs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Cs w:val="26"/>
          <w:rtl w:val="true"/>
        </w:rPr>
        <w:t>א</w:t>
      </w:r>
      <w:r>
        <w:rPr>
          <w:rFonts w:cs="Arial" w:ascii="Arial" w:hAnsi="Arial"/>
          <w:b/>
          <w:bCs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Cs w:val="26"/>
        </w:rPr>
        <w:t>19</w:t>
      </w:r>
      <w:r>
        <w:rPr>
          <w:rFonts w:cs="Arial" w:ascii="Arial" w:hAnsi="Arial"/>
          <w:b/>
          <w:bCs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Cs w:val="26"/>
          <w:rtl w:val="true"/>
        </w:rPr>
        <w:t xml:space="preserve">באפריל </w:t>
      </w:r>
      <w:r>
        <w:rPr>
          <w:rFonts w:cs="Arial" w:ascii="Arial" w:hAnsi="Arial"/>
          <w:b/>
          <w:bCs/>
          <w:szCs w:val="26"/>
        </w:rPr>
        <w:t>2021</w:t>
      </w:r>
      <w:r>
        <w:rPr>
          <w:rFonts w:cs="Arial" w:ascii="Arial" w:hAnsi="Arial"/>
          <w:b/>
          <w:bCs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Cs w:val="26"/>
          <w:rtl w:val="true"/>
        </w:rPr>
        <w:t>בנוכחות הנאשמים ובאי כוחם וב</w:t>
      </w:r>
      <w:r>
        <w:rPr>
          <w:rFonts w:cs="Arial" w:ascii="Arial" w:hAnsi="Arial"/>
          <w:b/>
          <w:bCs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Cs w:val="26"/>
          <w:rtl w:val="true"/>
        </w:rPr>
        <w:t xml:space="preserve">כ </w:t>
      </w:r>
      <w:bookmarkEnd w:id="12"/>
      <w:r>
        <w:rPr>
          <w:rFonts w:ascii="Arial" w:hAnsi="Arial" w:cs="Arial"/>
          <w:b/>
          <w:b/>
          <w:bCs/>
          <w:szCs w:val="26"/>
          <w:rtl w:val="true"/>
        </w:rPr>
        <w:t>המאשימה</w:t>
      </w:r>
      <w:r>
        <w:rPr>
          <w:rFonts w:cs="Arial" w:ascii="Arial" w:hAnsi="Arial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86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239"/>
        <w:gridCol w:w="2488"/>
        <w:gridCol w:w="284"/>
        <w:gridCol w:w="2835"/>
      </w:tblGrid>
      <w:tr>
        <w:trPr/>
        <w:tc>
          <w:tcPr>
            <w:tcW w:w="278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</w:tcBorders>
          </w:tcPr>
          <w:p>
            <w:pPr>
              <w:pStyle w:val="Normal"/>
              <w:spacing w:before="40" w:after="4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ארנון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דראל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488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אלי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אברבנאל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284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spacing w:before="40" w:after="4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חיה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זנדברג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דראל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5511-02-20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מהנד 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14" w:hanging="630"/>
      </w:pPr>
      <w:rPr>
        <w:sz w:val="24"/>
        <w:szCs w:val="24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14" w:hanging="630"/>
      </w:pPr>
      <w:rPr>
        <w:sz w:val="24"/>
        <w:szCs w:val="24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WW8Num1z0">
    <w:name w:val="WW8Num1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753941" TargetMode="External"/><Relationship Id="rId13" Type="http://schemas.openxmlformats.org/officeDocument/2006/relationships/hyperlink" Target="http://www.nevo.co.il/case/25305595" TargetMode="External"/><Relationship Id="rId14" Type="http://schemas.openxmlformats.org/officeDocument/2006/relationships/hyperlink" Target="http://www.nevo.co.il/case/20923897" TargetMode="External"/><Relationship Id="rId15" Type="http://schemas.openxmlformats.org/officeDocument/2006/relationships/hyperlink" Target="http://www.nevo.co.il/law/70301/3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5349520" TargetMode="External"/><Relationship Id="rId18" Type="http://schemas.openxmlformats.org/officeDocument/2006/relationships/hyperlink" Target="http://www.nevo.co.il/case/24269594" TargetMode="External"/><Relationship Id="rId19" Type="http://schemas.openxmlformats.org/officeDocument/2006/relationships/hyperlink" Target="http://www.nevo.co.il/case/21476990" TargetMode="External"/><Relationship Id="rId20" Type="http://schemas.openxmlformats.org/officeDocument/2006/relationships/hyperlink" Target="http://www.nevo.co.il/case/5172636" TargetMode="External"/><Relationship Id="rId21" Type="http://schemas.openxmlformats.org/officeDocument/2006/relationships/hyperlink" Target="http://www.nevo.co.il/case/7965143" TargetMode="External"/><Relationship Id="rId22" Type="http://schemas.openxmlformats.org/officeDocument/2006/relationships/hyperlink" Target="http://www.nevo.co.il/case/5594142" TargetMode="External"/><Relationship Id="rId23" Type="http://schemas.openxmlformats.org/officeDocument/2006/relationships/hyperlink" Target="http://www.nevo.co.il/case/6473037" TargetMode="External"/><Relationship Id="rId24" Type="http://schemas.openxmlformats.org/officeDocument/2006/relationships/hyperlink" Target="http://www.nevo.co.il/case/26978057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2022-02-23T11:21:00Z</dcterms:created>
  <dc:creator> </dc:creator>
  <dc:description/>
  <cp:keywords/>
  <dc:language>en-IL</dc:language>
  <cp:lastModifiedBy>h1</cp:lastModifiedBy>
  <dcterms:modified xsi:type="dcterms:W3CDTF">2022-02-23T11:21:00Z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מהנד חמד;מהדי אבו מייאלה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5753941;25305595;20923897;25349520;24269594;21476990;5172636;7965143;5594142;6473037;26978057</vt:lpwstr>
  </property>
  <property fmtid="{D5CDD505-2E9C-101B-9397-08002B2CF9AE}" pid="9" name="CITY">
    <vt:lpwstr>י-ם</vt:lpwstr>
  </property>
  <property fmtid="{D5CDD505-2E9C-101B-9397-08002B2CF9AE}" pid="10" name="DATE">
    <vt:lpwstr>20210419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דראל;א' אברבנאל;ח' זנדברג </vt:lpwstr>
  </property>
  <property fmtid="{D5CDD505-2E9C-101B-9397-08002B2CF9AE}" pid="14" name="LAWLISTTMP1">
    <vt:lpwstr>70301/329.a.2;031;144.b;329</vt:lpwstr>
  </property>
  <property fmtid="{D5CDD505-2E9C-101B-9397-08002B2CF9AE}" pid="15" name="LAWYER">
    <vt:lpwstr>רמי עותמאן;גיורא זילברשטיין;אביעד דוויק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5511</vt:lpwstr>
  </property>
  <property fmtid="{D5CDD505-2E9C-101B-9397-08002B2CF9AE}" pid="22" name="NEWPARTB">
    <vt:lpwstr>02</vt:lpwstr>
  </property>
  <property fmtid="{D5CDD505-2E9C-101B-9397-08002B2CF9AE}" pid="23" name="NEWPARTC">
    <vt:lpwstr>20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390020210419</vt:lpwstr>
  </property>
  <property fmtid="{D5CDD505-2E9C-101B-9397-08002B2CF9AE}" pid="34" name="TYPE_N_DATE">
    <vt:lpwstr>39020210419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