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2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תפ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8"/>
              </w:rPr>
              <w:t>6101-02-09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מדינת ישראל ואח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נ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גיוסי ואח</w:t>
            </w:r>
            <w:r>
              <w:rPr>
                <w:b/>
                <w:bCs/>
                <w:sz w:val="26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20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8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2"/>
        </w:rPr>
      </w:pPr>
      <w:r>
        <w:rPr>
          <w:rFonts w:cs="Tahoma" w:ascii="Tahoma" w:hAnsi="Tahoma"/>
          <w:b/>
          <w:bCs/>
          <w:color w:val="000080"/>
          <w:sz w:val="20"/>
          <w:szCs w:val="22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92"/>
        <w:gridCol w:w="752"/>
        <w:gridCol w:w="3676"/>
      </w:tblGrid>
      <w:tr>
        <w:trPr>
          <w:trHeight w:val="337" w:hRule="atLeast"/>
        </w:trPr>
        <w:tc>
          <w:tcPr>
            <w:tcW w:w="429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rtl w:val="true"/>
              </w:rPr>
              <w:t xml:space="preserve">     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לפני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: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כב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השופט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אברהם טל</w:t>
            </w:r>
            <w:r>
              <w:rPr>
                <w:b/>
                <w:bCs/>
                <w:sz w:val="26"/>
                <w:szCs w:val="28"/>
                <w:rtl w:val="true"/>
              </w:rPr>
              <w:t>,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סג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נ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אב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כב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שופט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ד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ר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אחיקם סטולר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כב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שופטת רות לורך</w:t>
            </w:r>
          </w:p>
        </w:tc>
        <w:tc>
          <w:tcPr>
            <w:tcW w:w="752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Appellant"/>
      <w:bookmarkStart w:id="2" w:name="LastJudge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8"/>
              </w:rPr>
            </w:pPr>
            <w:r>
              <w:rPr>
                <w:rFonts w:cs="Arial" w:ascii="Arial" w:hAnsi="Arial"/>
                <w:b/>
                <w:bCs/>
                <w:sz w:val="26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אחמד גיוסי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2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אחמד עזונה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LineNumber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#3#</w:t>
      </w:r>
      <w:r>
        <w:rPr>
          <w:rStyle w:val="LineNumber"/>
          <w:sz w:val="6"/>
          <w:szCs w:val="6"/>
          <w:rtl w:val="true"/>
        </w:rPr>
        <w:t>&gt;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 w:val="6"/>
          <w:szCs w:val="24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szCs w:val="24"/>
          <w:rtl w:val="true"/>
        </w:rPr>
        <w:t>חקיקה שאוזכרה</w:t>
      </w:r>
      <w:r>
        <w:rPr>
          <w:rStyle w:val="LineNumber"/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Cs w:val="24"/>
        </w:rPr>
      </w:pPr>
      <w:hyperlink r:id="rId2">
        <w:r>
          <w:rPr>
            <w:rStyle w:val="Hyperlink"/>
            <w:rFonts w:cs="Arial" w:ascii="FrankRuehl" w:hAnsi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Arial" w:ascii="FrankRuehl" w:hAnsi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cs="Arial" w:ascii="FrankRuehl" w:hAnsi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Style w:val="LineNumber"/>
          <w:rFonts w:cs="FrankRuehl" w:ascii="FrankRuehl" w:hAnsi="FrankRuehl"/>
          <w:szCs w:val="24"/>
          <w:rtl w:val="true"/>
        </w:rPr>
        <w:t xml:space="preserve">: </w:t>
      </w:r>
      <w:r>
        <w:rPr>
          <w:rStyle w:val="LineNumber"/>
          <w:rFonts w:ascii="FrankRuehl" w:hAnsi="FrankRuehl" w:cs="FrankRuehl"/>
          <w:szCs w:val="24"/>
          <w:rtl w:val="true"/>
        </w:rPr>
        <w:t>סע</w:t>
      </w:r>
      <w:r>
        <w:rPr>
          <w:rStyle w:val="LineNumber"/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cs="Arial" w:ascii="FrankRuehl" w:hAnsi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cs="Arial"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FrankRuehl" w:hAnsi="FrankRuehl"/>
          <w:sz w:val="6"/>
          <w:szCs w:val="6"/>
        </w:rPr>
      </w:pPr>
      <w:r>
        <w:rPr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Style w:val="LineNumber"/>
          <w:rFonts w:ascii="Arial" w:hAnsi="Arial" w:cs="Aria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rStyle w:val="LineNumber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  <w:tab/>
      </w:r>
      <w:bookmarkStart w:id="10" w:name="ABSTRACT_START"/>
      <w:bookmarkEnd w:id="10"/>
      <w:r>
        <w:rPr>
          <w:sz w:val="28"/>
          <w:sz w:val="28"/>
          <w:szCs w:val="28"/>
          <w:rtl w:val="true"/>
        </w:rPr>
        <w:t>הנאשמים הורשעו על פי הודאתם בעובדות כתב אישום 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בעבירה של קשירת קשר לביצוע פשע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לפי סעיף </w:t>
      </w:r>
      <w:hyperlink r:id="rId5">
        <w:r>
          <w:rPr>
            <w:rStyle w:val="Hyperlink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חוק 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ז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ובעבירה של נשיאת נשק לפי </w:t>
      </w:r>
      <w:hyperlink r:id="rId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 לחוק</w:t>
      </w:r>
      <w:bookmarkStart w:id="11" w:name="ABSTRACT_END"/>
      <w:bookmarkEnd w:id="11"/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u w:val="single"/>
          <w:rtl w:val="true"/>
        </w:rPr>
        <w:t>לפי עובדות כתב האישום 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עובר לאירועים נושא כתב 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ניטש סכסוך דמים בין משפחות הנאשמים למשפחתו של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 הסכסוך נאלצו המנוח ואביו לגלות ממקום מגוריהם שבג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לג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וליה ועברו לעיר אחרת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במועד שאינו ידוע במדויק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בסמוך ליום </w:t>
      </w:r>
      <w:r>
        <w:rPr>
          <w:sz w:val="28"/>
          <w:szCs w:val="28"/>
        </w:rPr>
        <w:t>19.12.08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קשרו הנאשמים קשר להמית את המנוח וזאת במסגרת הסכסוך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במסגרת הקשר ולשם קידומו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נשאו הנאשמים על גופם בג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לג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וליה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כלי נשק מסוג שאינו ידוע למאשימה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ביום </w:t>
      </w:r>
      <w:r>
        <w:rPr>
          <w:sz w:val="28"/>
          <w:szCs w:val="28"/>
        </w:rPr>
        <w:t>19.12.08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 המנוח לבית משפחתו שבג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לג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וליה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בשעה </w:t>
      </w:r>
      <w:r>
        <w:rPr>
          <w:sz w:val="28"/>
          <w:szCs w:val="28"/>
        </w:rPr>
        <w:t>17:30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לערך אסף אותו אחד ממכריו עם 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והשלושה נסעו הלוך ושוב ברחבי 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לג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וליה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נורה המנוח על ידי מי שזהותם אינה ברורה למאשימה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מתוך כוונה להמיתו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 מהפגיעות בגופו של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נגרמו לו נזקים חמורים למוח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לירך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לכבד ולקיבה והוא מת כתוצאה מהנזק החמור שנגרם למוחו 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>מלכתחילה הוגש נגד הנאשמים כתב אישום המייחס להם עבירת רצח של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 שמיעת עדי התביעה הגיעו הצדדים להסדר טיעון לפיו תוקן כתב האישום המקורי כפי שפורט לעיל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כמו כן במסגרת הסדר הטיעון הוסכם כי התביעה תעתור להטיל על כל נאשם עונש הולם וראוי של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מאסר 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 על תנאי ופיצוי למשפחת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ואילו ההגנה תעתור לעונש מאסר בפועל לתקופה קצרה משבע שנים ותבקש להימנע מהטלת פיצוי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 xml:space="preserve">מתסקיר שירות המבחן שהוגש בעניינו של הנאשם 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 xml:space="preserve">עולה כי הנאשם הוא כבן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נעדר הרשעות קודמות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סיים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לימוד במגמת אלקטרוניקה עם תעודת בגרות מלאה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 סיום לימודיו החל לעבוד בסופר מרקט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 עבד גם שותפו לכתב 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תפקודו נשא אופי תקין בדרך כלל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 תיאר את הרקע לעבירה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סכסוך דמים מתמשך במקום מגוריו בין משפחת המנוח לבין משפחות נוספות בכללם גם משפחתו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תיאר תחושות של איום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פחד וחוסר אונים מתמשכים אל מול התנהגות מאיימת ופרובקטיבית של המנוח בכפר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לפי תפיסתו של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רצח בן דודו 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לפני כשלוש 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וסכסוך הדמים שהתפתח עקב כך 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קטע את אורח חייו הקודם ותכניותיו לעתיד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בקשירת הקשר והחזקת 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 לצאת מתחושת חוסר האונים והתסכול בהם היה מצוי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שירות המבחן התרשם כי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 חש תחושה של סיכון לעצמו עם שחרורו מהמעצר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 בהיותו נתון במעצר בתיק 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לפני מספר 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נרצח בן דוד נוסף שלו במסגרת אותו סכסוך דמים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להתרשמות שירות 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 מתקשה בשלב זה לבחון את המניעים בתפקיד שלקח על עצמו בסכסוך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חציית גבולות החוק והשלכותיה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 מתקשה לראות את הבעייתיות הנגזרת מהתנהגותו ותופס אותה כאמצעי להגנה על עצמו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 משפחתו וכפרו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 אינו מחובר לעוצמת האיום הנשקף לצד האחר מעצם קשירת הקשר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 היעדר אמפתיה לקורבן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כשעיקר דאגתו לשלומו ולשלום משפחתו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במצב דברים 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נוכח גישתו של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חומרת העבירות המיוחסות 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והסיכון ממצבו כל עוד הסכסוך בין המשפחות לא נפתר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אין לשרות המבחן המלצה 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 xml:space="preserve">מתסקיר שירות המבחן בעניינו של הנאשם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עולה כי הנאשם הוא כבן </w:t>
      </w:r>
      <w:r>
        <w:rPr>
          <w:sz w:val="28"/>
          <w:szCs w:val="28"/>
        </w:rPr>
        <w:t>23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סיים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לימוד עם תעודת בגרות מלאה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התכוון להמשיך את לימודיו אולם נאלץ לדחות זאת על רקע רציחתו של בן דודו וסכסוך הדמים שהתפתח על רקע זה בהמשך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עד למעצרו הוא עבד בסופר מרקט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הנאשם הסביר את ביצוע העבירות על רקע תחושת הזדהות עם סבלה של משפחת מוצאו בעקבות אובדנים שחוו בסכסוך הדמים בין משפחתו של המנוח למשפחתו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שירות המבחן התרשם כי תפקודו של 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 בדרך כלל תקין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לחובתו הרשעה אחת בעבירת איומים שבוצעה חודשים ספורים בטרם העבירות דנן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 נטל על עצמו אחריות רבה לבני 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חש שמוטלת עליו אחריות לפעולה כלשהי על מנת להגן על המשפחה ונוכח דפוסים אישיותיים אימפולסיביים וכוחניים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נשאב למעורבות ישירה בסכסוך וחיפוש נקמה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שירות המבחן התרשם כי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עסוק בעיקר בקורבנותו וקורבנות משפחתו בסכסוך הדמים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 מתקשה להבין את התנהגותו הבעייתית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ולפיכך גם בעניינו של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 לשרות המבחן המלצה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ב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כ המאשימה</w:t>
      </w:r>
      <w:r>
        <w:rPr>
          <w:sz w:val="28"/>
          <w:sz w:val="28"/>
          <w:szCs w:val="28"/>
          <w:rtl w:val="true"/>
        </w:rPr>
        <w:t xml:space="preserve">  עותרת לגזור על כל אחד מן הנאשמים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מאסר 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 על תנאי ולחייבו בפיצוי משפחת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טוענת כי בבסיס תיקון כתב האישום 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עומדים קשיים ראייתיים שהתגלו במהלך שמיעת הראיות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בצד השיקולים לקולא היא ציינה את העובדה כי הנאשמים ניצבו תחילה בפני כתב אישום חמור המייחס להם עבירת 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 הודאתם שחסכה זמן שיפוטי וסייעה להתגבר על קשיים ראייתיים וכן את נסיבותיהם האישיות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כנגד שיקולים אלה הפנתה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לכך שמדובר בעבירות שהן פרי סכסוך דמים בין משפחותיהם לבין משפחת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הנאשמים קשרו קשר להמית את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הצטיידו לשם כך ונשאו על גופם 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לנאשמים יש מעורבות עקיפה ברצח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 כי לא מיוחסת להם שותפות כלשהי בהמתת 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הפנתה לאמור בתסקירי שירות 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כאשר אצל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 הפנמה אמיתית של חומרת 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לא מסוגל לראות את הבעייתיות בהתנהגותו ולפי תפיסתו הוא פעל כאמצעי הגנה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כשכל עולמו סובב סביב סכסוך הדמים שגבה קורבנות רבים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ביחס לנאשם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שירות המבחן מתרשם מנאשם בעל דפוסים אימפולסיביים אשר עמדו בבסיס העבירות נושא תיק 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בעל סמכות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אחריות ויכולת השפעה על בני משפחתו אך במקום לנצל מעמד זה להביא את סכסוך הדמים לסיום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פעל כמתואר בכתב האישום המתוקן תוך חיפוש אחר נקמה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ציינה כי לאחר שהצדדים הגיעו להסדר 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אותר כלי הנשק שבאמצעותו בוצע הרצח של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למרות החקירה שנעשתה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בסופו של יום לא הועמד לדין מי ממחזיקי הנשק בגין ביצוע הרצח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עותרת לחייב את הנאשמים בפיצוי משפחת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בהיותם נפגעי 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 אם לנאשמים אין קשר ישיר להמתת 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ב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 xml:space="preserve">כ הנאשם 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ציין כי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 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נעדר עבר 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בחור נורמטיבי לחלוטין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בוגר תיכון שלא היה מעורב מעולם בפלילים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 לעיוננו אסופת מסמכים המלמדים על תפקודו בבית הספר התיכון הטכנולוגי בטירה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 אופיו הנעים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תרומתו בכפר ותפקודו המקצועי כפי שאלה עולים ממכתבו של ראש מועצת 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לג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וליה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מכתבו של מר ראבי סעיד אברהים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מכתבו של מנהל בית הספר ומכתבו של  בעל הנגריה בה עבד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 כי מלכתחילה עמד הנאשם בפני סיכון של הרשעה בעבירת רצח שעונשה מאסר 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 אך בשל שמיעת ראיות התביעה וניהול המשפט על ידי ההגנה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השתכנעה המאשימה לתקן את כתב האישום המקורי באופן משמעותי לקולא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 ציין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החשודים שברשותם נמצא כלי הנשק באמצעותו נרצח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הורשעו בבית משפט צבאי בגין עבירה של סחר באמצעי לחימה ונידונו במסגרת הסדר טיעון ל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בפועל בלבד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היפנה לכך  שבסופו של 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 פי כתב האישום 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עבירת הרצח לא בוצעה על ידי הנאשמים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 אם הם קשרו קשר להמית את המנוח הם לא מימשו את התכנית ולכך יש משמעות רבה לעניין העונש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 להסתפק בעונש מאסר בפועל החופף את תקופת מעצרם של הנאשמים בתיק זה שנמשכה כשנה וחצי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 לפיצוי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עותר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 לחייב את הנאשמים בפיצוי משפחת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 פי עובדות כתב האישום 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הנאשמים לא מימשו את מטרת הקשר ולא גרמו למות 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ב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 xml:space="preserve">כ הנאשם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 שהסדר הטיעון בתיק זה הינו מוזר שכן הוא לא נגזר באופן ישיר מן הראיות שנשמעו אלא נעשה על ידי הצדדים מטעמים פרגמטיים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היפנה לכך שהחקירה הייתה כושלת ובסופו של יום אנשים שביצעו את הרצח מתהלכים חופשי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כשבסוף שמיעת ראיות התביעה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נותרו פרטי התרחשות אירוע הרצח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עמומים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 כי בשל הסיכון שהנאשמים יורשעו בעבירת 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ונוכח המשך עינוי הדין של הנאשמים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הגיעו הצדדים להסדר הטיעון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לחובת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אמנם הרשעה 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בעבירה שאיננה מן החמורות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 כי העונש צריך לשקף את העובדה כי נוכח החקירה שהתנהלה בתיק 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האחראים לביצוע הרצח מתהלכים חופשי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העובדות שבבסיס עבירת הרצח נותרו בערפל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ולנתונים אלה השפעה שלילית על היכולת להביא לפתרון סכסוך הדמים הקשה במקום מגוריהם של הנאשמים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לפיכך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עותר גם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 במאסר בפועל החופף את תקופת מעצרו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לעניין הפיצוי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הנאשם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 שאין מקום לחייב את הנאשמים בפיצוי נוכח העובדה כי הם הורשעו בעבירה של קשירת קשר מבלי שמטרת הקשר יצאה לפועל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rtl w:val="true"/>
        </w:rPr>
        <w:t xml:space="preserve">. 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השיקולים לחומרא</w:t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לחומרא יש לזקוף את העבירות עצמן ובעיקר את הרקע לביצוען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לצד עבירת קשירת הקשר לביצוע פשע קבע המחוקק עונש מירבי של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מאסר 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ולצד העבירה של נשיאת 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שגם בה הורשעו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קבע המחוקק עונש מירבי של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כפי שצוין לעיל בהרחבה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 בנאשמים צעירים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קשרו קשר להמית את המנוח וזאת נוכח סכסוך הדמים בין משפחותיהם למשפחת 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הנאשמים לא הסתפקו בכך ועל פי עובדות כתב האישום 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הם נשאו על גופם כלי נשק ביישוב בו הם מתגוררים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 גם בוצע הרצח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התנהגות זו של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כשהיא באה על רקע הסכסוך ומתוך רגשי נקמה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 שעולה מדברי הנאשמים עצמם בפני שירות 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 חמורה ומסוכנת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בוודאי כל זמן שהסכסוך האלים לא בא על פתרונו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למרות גילם הצעיר של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וניהול אורח חיים 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הנאשמים שקועים בתוך סכסוך הדמים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מתקשים בהבנה  ממשית של התנהגותם הבעייתית ואף שירות המבחן התרשם מקיומו של סיכון מהנאשמים כל עוד הסכסוך בין המשפחות קיים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יש לגנות כל מעשה המבוצע במסגרת סכסוך הדמים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שגבה קורבנות וגרם סבל רב למשפחות המעורבות 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 העונש המוטל להרתיע מפני מעשים כפי שעשו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 אם לא המיתו את 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השיקולים לקולא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לקולא יש לזקוף את תיקון כתב האישום המקורי באופן משמעותי לקולא ואת הודאת הנאשמים 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 הודאתם נעשתה רק לאחר שמיעת ראיות התביעה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הצדדים הגיעו להסדר הטיעון רק בשל הקשיים הראייתיים שעולו במהלך 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 הינם צעירים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 מעצרם הם ניהלו אורח חיים 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כשהרשעתו הקודמת היחידה של 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הינה בעבירה שאינה חמורה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עבור שני הנאשמים מדובר במאסר 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כשהם נתונים במעצר מזה כשנה וחצי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>לאחר ששקלנו את השיקולים השונים שוכנענו כי איזון בין השיקולים מחייב הטלת עונש מאסר בפועל ארוך מהעונש לו עותרת ההגנה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ישקף את חומרת המעשים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גינוי העמקת סכסוך הדמים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 המסוכנות הנשקפת מהנאשמים נוכח עמדתם ביחס לסכסוך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 הצורך בהרתעתם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 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מצאנו לנכון לאמץ את הרף העליון של הסדר 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נוכח השיקולים 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ובעיקר בשל גילם הצעיר של 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היות המאסר ראשון עבורם ובמיוחד תיקון כתב האישום המקורי לקולא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 לרכיב הפיצוי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שוכנענו כי הגם שלנאשמים לא מיוחסת בכתב האישום המתוקן מעורבות ישירה ברצח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 נוכח מעורבותם העקיפה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קשירת הקשר להמית את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נשיאת הנשק לשם קידומו של הקשר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ומניע הנקם שעמד בבסיס מעשיהם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כעולה מדבריהם בפני שירות המבחן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ישנה הצדקה לחייבם בפיצוי משפחת 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אין צורך להכביר מלים בדבר הנזק והסבל שנגרמו להם ממות 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 עם 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בקביעת גובה הפיצוי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נתחשב במעורבותם העקיפה בלבד של הנאשמים במותו של 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>לפיכך אנחנו גוזרים על כל אחד מן הנאשמים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66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בפועל שתחילתם ביום מעצרו בתיק זה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30.12.08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על 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והתנאי הוא שלא יעבור תוך שלוש שנים משחרורו מהמאסר עבירה בה הורשע או עבירת אלימות כלפי גוף מסוג 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 xml:space="preserve">תשלום פיצוי למשפחת המנוח בסכום של </w:t>
      </w:r>
      <w:r>
        <w:rPr>
          <w:sz w:val="28"/>
          <w:szCs w:val="28"/>
        </w:rPr>
        <w:t>20,000</w:t>
      </w:r>
      <w:r>
        <w:rPr>
          <w:sz w:val="28"/>
          <w:szCs w:val="28"/>
          <w:rtl w:val="true"/>
        </w:rPr>
        <w:t xml:space="preserve"> ₪, </w:t>
      </w:r>
      <w:r>
        <w:rPr>
          <w:sz w:val="28"/>
          <w:sz w:val="28"/>
          <w:szCs w:val="28"/>
          <w:rtl w:val="true"/>
        </w:rPr>
        <w:t>שיופקד בקופת 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ש תוך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 והוא יועבר למשפחת המנוח לפי הפרטים שתמסור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המאשימה למזכירות 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 xml:space="preserve">לא יופקד הסכום במועד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יישא ריבית והפרשי הצמדה ויועבר לגבייה 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 המרכז לגביית קנסות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rtl w:val="true"/>
        </w:rPr>
        <w:t>הודעה לנאשמים זכותם לערער לביהמ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 xml:space="preserve">ש העליון תוך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 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#6#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ז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סיון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20/05/2010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 הצדדים והנאשמים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טל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אברהם</w:t>
            </w:r>
            <w:r>
              <w:rPr>
                <w:szCs w:val="28"/>
                <w:rtl w:val="true"/>
              </w:rPr>
              <w:t xml:space="preserve">  </w:t>
            </w:r>
            <w:r>
              <w:rPr>
                <w:rFonts w:cs="FrankRuehl"/>
                <w:szCs w:val="28"/>
                <w:rtl w:val="true"/>
              </w:rPr>
              <w:t>טל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סגן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אב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ד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ד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ר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אחיקם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סטולר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רות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לורך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/Users/liorb/Downloads/study2025-p2/ME-09-02-6101-121.doc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6101-02-09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 </w:t>
    </w:r>
    <w:r>
      <w:rPr>
        <w:color w:val="000000"/>
        <w:sz w:val="22"/>
        <w:sz w:val="22"/>
        <w:szCs w:val="22"/>
        <w:rtl w:val="true"/>
      </w:rPr>
      <w:t>אחמד גיוסי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2016-07-27T13:15:00Z</dcterms:created>
  <dc:creator> </dc:creator>
  <dc:description/>
  <cp:keywords/>
  <dc:language>en-IL</dc:language>
  <cp:lastModifiedBy>hofit</cp:lastModifiedBy>
  <dcterms:modified xsi:type="dcterms:W3CDTF">2016-07-27T13:15:00Z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 אחמד גיוסי;אחמד עזונה</vt:lpwstr>
  </property>
  <property fmtid="{D5CDD505-2E9C-101B-9397-08002B2CF9AE}" pid="4" name="CITY">
    <vt:lpwstr>מרכז</vt:lpwstr>
  </property>
  <property fmtid="{D5CDD505-2E9C-101B-9397-08002B2CF9AE}" pid="5" name="DATE">
    <vt:lpwstr>20100520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אברהם טל; אחיקם סטולר;רות לורך</vt:lpwstr>
  </property>
  <property fmtid="{D5CDD505-2E9C-101B-9397-08002B2CF9AE}" pid="9" name="LAWLISTTMP1">
    <vt:lpwstr>70301/499.a.1;144.b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6101</vt:lpwstr>
  </property>
  <property fmtid="{D5CDD505-2E9C-101B-9397-08002B2CF9AE}" pid="24" name="NEWPARTB">
    <vt:lpwstr>02</vt:lpwstr>
  </property>
  <property fmtid="{D5CDD505-2E9C-101B-9397-08002B2CF9AE}" pid="25" name="NEWPARTC">
    <vt:lpwstr>09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09 02 6101 121 htm</vt:lpwstr>
  </property>
  <property fmtid="{D5CDD505-2E9C-101B-9397-08002B2CF9AE}" pid="35" name="TYPE">
    <vt:lpwstr>2</vt:lpwstr>
  </property>
  <property fmtid="{D5CDD505-2E9C-101B-9397-08002B2CF9AE}" pid="36" name="TYPE_ABS_DATE">
    <vt:lpwstr>390020100520</vt:lpwstr>
  </property>
  <property fmtid="{D5CDD505-2E9C-101B-9397-08002B2CF9AE}" pid="37" name="TYPE_N_DATE">
    <vt:lpwstr>39020100520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