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8306"/>
                <w:tab w:val="center" w:pos="4153" w:leader="none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 </w:t>
            </w:r>
            <w:r>
              <w:rPr>
                <w:b/>
                <w:bCs/>
                <w:sz w:val="26"/>
                <w:szCs w:val="26"/>
              </w:rPr>
              <w:t>63535-10-13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ביאטרה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4153"/>
                <w:tab w:val="right" w:pos="8306" w:leader="none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אפריל </w:t>
            </w:r>
            <w:r>
              <w:rPr>
                <w:b/>
                <w:bCs/>
                <w:sz w:val="26"/>
                <w:szCs w:val="26"/>
              </w:rPr>
              <w:t>2015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rFonts w:eastAsia="David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63554-10-13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הנשיא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בפועל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ר אברהם אברהם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סגן הנשיא בנימין ארבל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 יונתן אברהם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Style w:val="TimesNewRomanTimesNewRoman"/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אחמד ביאטרה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נוכחים</w:t>
      </w:r>
      <w:r>
        <w:rPr>
          <w:b w:val="false"/>
          <w:bCs w:val="false"/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מטעם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יערה לב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מטעם הנאשם 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ניזאר עבוד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בעצמו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באמצעות הליווי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').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305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5" w:name="PsakDin"/>
      <w:bookmarkStart w:id="6" w:name="LawTable_End"/>
      <w:bookmarkEnd w:id="5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pacing w:lineRule="auto" w:line="360" w:before="0" w:after="120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כב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סגן הנשיא בנימין ארבל</w:t>
      </w:r>
    </w:p>
    <w:p>
      <w:pPr>
        <w:pStyle w:val="Normal"/>
        <w:spacing w:lineRule="auto" w:line="360" w:before="360" w:after="120"/>
        <w:ind w:end="0"/>
        <w:jc w:val="both"/>
        <w:rPr/>
      </w:pPr>
      <w:r>
        <w:rPr>
          <w:b/>
          <w:b/>
          <w:bCs/>
          <w:u w:val="single"/>
          <w:rtl w:val="true"/>
        </w:rPr>
        <w:t>א</w:t>
      </w:r>
      <w:r>
        <w:rPr>
          <w:b/>
          <w:bCs/>
          <w:u w:val="single"/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כללי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הנאשם הורשע על ידינו  בשני פריטי אישום מתוך שלושה בהם הואשם</w:t>
      </w:r>
      <w:r>
        <w:rPr>
          <w:rtl w:val="true"/>
        </w:rPr>
        <w:t xml:space="preserve">. </w:t>
      </w:r>
      <w:r>
        <w:rPr>
          <w:rtl w:val="true"/>
        </w:rPr>
        <w:t>אישומים אלה הינם תוצאתו של סכסוך דמים המתנהל בין שתי משפחות שכנות</w:t>
      </w:r>
      <w:r>
        <w:rPr>
          <w:rtl w:val="true"/>
        </w:rPr>
        <w:t xml:space="preserve">, </w:t>
      </w:r>
      <w:r>
        <w:rPr>
          <w:rtl w:val="true"/>
        </w:rPr>
        <w:t>המתגוררות בעיר נצרת</w:t>
      </w:r>
      <w:r>
        <w:rPr>
          <w:rtl w:val="true"/>
        </w:rPr>
        <w:t xml:space="preserve">. </w:t>
      </w:r>
      <w:r>
        <w:rPr>
          <w:rtl w:val="true"/>
        </w:rPr>
        <w:t>במהלכו של סכסוך זה</w:t>
      </w:r>
      <w:r>
        <w:rPr>
          <w:rtl w:val="true"/>
        </w:rPr>
        <w:t xml:space="preserve">, </w:t>
      </w:r>
      <w:r>
        <w:rPr>
          <w:rtl w:val="true"/>
        </w:rPr>
        <w:t>נקטו בני שתי המשפחות אלימות קשה</w:t>
      </w:r>
      <w:r>
        <w:rPr>
          <w:rtl w:val="true"/>
        </w:rPr>
        <w:t xml:space="preserve">, </w:t>
      </w:r>
      <w:r>
        <w:rPr>
          <w:rtl w:val="true"/>
        </w:rPr>
        <w:t>משפחה  נגד חברתה</w:t>
      </w:r>
      <w:r>
        <w:rPr>
          <w:rtl w:val="true"/>
        </w:rPr>
        <w:t xml:space="preserve">, </w:t>
      </w:r>
      <w:r>
        <w:rPr>
          <w:rtl w:val="true"/>
        </w:rPr>
        <w:t>תוך שימוש מסיבי בכלי נשק חם</w:t>
      </w:r>
      <w:r>
        <w:rPr>
          <w:rtl w:val="true"/>
        </w:rPr>
        <w:t xml:space="preserve">. </w:t>
      </w:r>
      <w:r>
        <w:rPr>
          <w:rtl w:val="true"/>
        </w:rPr>
        <w:t>הנאשם זוכה כאמור מן האישום הראשון מחמת הספק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עלינו לגשת עתה למלאכת גזירת עונשו בשני פריטי האישום האחרים</w:t>
      </w:r>
      <w:r>
        <w:rPr>
          <w:rtl w:val="true"/>
        </w:rPr>
        <w:t xml:space="preserve">, </w:t>
      </w:r>
      <w:r>
        <w:rPr>
          <w:rtl w:val="true"/>
        </w:rPr>
        <w:t>בהם הורשע</w:t>
      </w:r>
      <w:bookmarkStart w:id="10" w:name="ABSTRACT_END"/>
      <w:bookmarkEnd w:id="10"/>
      <w:r>
        <w:rPr>
          <w:rtl w:val="true"/>
        </w:rPr>
        <w:t>.</w:t>
      </w:r>
    </w:p>
    <w:p>
      <w:pPr>
        <w:pStyle w:val="Normal"/>
        <w:spacing w:lineRule="auto" w:line="360" w:before="360" w:after="12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האירוע נשוא האישום השני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/>
        <w:t>2</w:t>
      </w:r>
      <w:r>
        <w:rPr>
          <w:rtl w:val="true"/>
        </w:rPr>
        <w:t xml:space="preserve">. </w:t>
        <w:tab/>
      </w:r>
      <w:r>
        <w:rPr>
          <w:rtl w:val="true"/>
        </w:rPr>
        <w:t xml:space="preserve">האירוע השני אירע בערבו של יום </w:t>
      </w:r>
      <w:r>
        <w:rPr/>
        <w:t>18.8.11</w:t>
      </w:r>
      <w:r>
        <w:rPr>
          <w:rtl w:val="true"/>
        </w:rPr>
        <w:t xml:space="preserve">. </w:t>
      </w:r>
      <w:r>
        <w:rPr>
          <w:rtl w:val="true"/>
        </w:rPr>
        <w:t>אותו ערב</w:t>
      </w:r>
      <w:r>
        <w:rPr>
          <w:rtl w:val="true"/>
        </w:rPr>
        <w:t xml:space="preserve">, </w:t>
      </w:r>
      <w:r>
        <w:rPr>
          <w:rtl w:val="true"/>
        </w:rPr>
        <w:t>נסעו ארבעה מבני משפחת יוסף במכוניתם בתוך השכונה המזרחית בנצרת</w:t>
      </w:r>
      <w:r>
        <w:rPr>
          <w:rtl w:val="true"/>
        </w:rPr>
        <w:t xml:space="preserve">, </w:t>
      </w:r>
      <w:r>
        <w:rPr>
          <w:rtl w:val="true"/>
        </w:rPr>
        <w:t>בדרכם לתפילת הערב של חודש הרמדאן במסגד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 נסיעתם נורו לעברם יריות רבות</w:t>
      </w:r>
      <w:r>
        <w:rPr>
          <w:rtl w:val="true"/>
        </w:rPr>
        <w:t xml:space="preserve">, </w:t>
      </w:r>
      <w:r>
        <w:rPr>
          <w:rtl w:val="true"/>
        </w:rPr>
        <w:t xml:space="preserve">מכלי נשק שהחזיקו ארבעה מבני משפחת ביאטרה – משפחתו של הנאשם </w:t>
      </w:r>
      <w:r>
        <w:rPr>
          <w:rtl w:val="true"/>
        </w:rPr>
        <w:t xml:space="preserve">- </w:t>
      </w:r>
      <w:r>
        <w:rPr>
          <w:rtl w:val="true"/>
        </w:rPr>
        <w:t>אשר ארבו להם בבניין הנמצא בשלבי בניה לצד הדרך</w:t>
      </w:r>
      <w:r>
        <w:rPr>
          <w:rtl w:val="true"/>
        </w:rPr>
        <w:t xml:space="preserve">. </w:t>
      </w:r>
      <w:r>
        <w:rPr>
          <w:rtl w:val="true"/>
        </w:rPr>
        <w:t>בין היורים היה הנאשם ועימו היו גם סאלח</w:t>
      </w:r>
      <w:r>
        <w:rPr>
          <w:rtl w:val="true"/>
        </w:rPr>
        <w:t xml:space="preserve">, </w:t>
      </w:r>
      <w:r>
        <w:rPr>
          <w:rtl w:val="true"/>
        </w:rPr>
        <w:t>מוחמד ועימאד ביאטרה</w:t>
      </w:r>
      <w:r>
        <w:rPr>
          <w:rtl w:val="true"/>
        </w:rPr>
        <w:t xml:space="preserve">. </w:t>
      </w:r>
      <w:r>
        <w:rPr>
          <w:rtl w:val="true"/>
        </w:rPr>
        <w:t>בידי הארבעה היו שלושה אקדחים וכן רובה 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. </w:t>
      </w:r>
      <w:r>
        <w:rPr>
          <w:rtl w:val="true"/>
        </w:rPr>
        <w:t>הירי פגע בכל חלקי הרכב</w:t>
      </w:r>
      <w:r>
        <w:rPr>
          <w:rtl w:val="true"/>
        </w:rPr>
        <w:t xml:space="preserve">, </w:t>
      </w:r>
      <w:r>
        <w:rPr>
          <w:rtl w:val="true"/>
        </w:rPr>
        <w:t>ובפרט בדלת הנוסע הימנית</w:t>
      </w:r>
      <w:r>
        <w:rPr>
          <w:rtl w:val="true"/>
        </w:rPr>
        <w:t>-</w:t>
      </w:r>
      <w:r>
        <w:rPr>
          <w:rtl w:val="true"/>
        </w:rPr>
        <w:t>קדמית של הרכב</w:t>
      </w:r>
      <w:r>
        <w:rPr>
          <w:rtl w:val="true"/>
        </w:rPr>
        <w:t xml:space="preserve">, </w:t>
      </w:r>
      <w:r>
        <w:rPr>
          <w:rtl w:val="true"/>
        </w:rPr>
        <w:t>שם ישב עלי יוסף</w:t>
      </w:r>
      <w:r>
        <w:rPr>
          <w:rtl w:val="true"/>
        </w:rPr>
        <w:t xml:space="preserve">, </w:t>
      </w:r>
      <w:r>
        <w:rPr>
          <w:rtl w:val="true"/>
        </w:rPr>
        <w:t>אשר נפצע מהירי</w:t>
      </w:r>
      <w:r>
        <w:rPr>
          <w:rtl w:val="true"/>
        </w:rPr>
        <w:t xml:space="preserve">. </w:t>
      </w:r>
      <w:r>
        <w:rPr>
          <w:rtl w:val="true"/>
        </w:rPr>
        <w:t>לצידו של עלי ישבו בניו עאמר ועומר וכן נכדו מוחמד</w:t>
      </w:r>
      <w:r>
        <w:rPr>
          <w:rtl w:val="true"/>
        </w:rPr>
        <w:t xml:space="preserve">. </w:t>
      </w:r>
      <w:r>
        <w:rPr>
          <w:rtl w:val="true"/>
        </w:rPr>
        <w:t>שלושת אלה לא נפגעו פיזית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הנוסעים ברכב מילטו עצמם מהזירה</w:t>
      </w:r>
      <w:r>
        <w:rPr>
          <w:rtl w:val="true"/>
        </w:rPr>
        <w:t xml:space="preserve">, </w:t>
      </w:r>
      <w:r>
        <w:rPr>
          <w:rtl w:val="true"/>
        </w:rPr>
        <w:t>כאשר רכבם נכנס לחצר משפחת ארשד– שהינם קרובי משפחתם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מן הירי נפגע עלי יוסף ברגליו</w:t>
      </w:r>
      <w:r>
        <w:rPr>
          <w:rtl w:val="true"/>
        </w:rPr>
        <w:t xml:space="preserve">. </w:t>
      </w:r>
      <w:r>
        <w:rPr>
          <w:rtl w:val="true"/>
        </w:rPr>
        <w:t>נגרם לו פצע ירי פתוח ושבר בברך ימין</w:t>
      </w:r>
      <w:r>
        <w:rPr>
          <w:rtl w:val="true"/>
        </w:rPr>
        <w:t xml:space="preserve">, </w:t>
      </w:r>
      <w:r>
        <w:rPr>
          <w:rtl w:val="true"/>
        </w:rPr>
        <w:t>פצעי ירי בשוק השמאלית וכן שפשופים ופצעים בזרוע ימין ובפנים אשר הצריכו אשפוז וטיפול רפואי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בהכרעת הדין החלטנו להרשיע את הנאשם בביצוע העבירות המיוחסות לו באישום הנ</w:t>
      </w:r>
      <w:r>
        <w:rPr>
          <w:rtl w:val="true"/>
        </w:rPr>
        <w:t>"</w:t>
      </w:r>
      <w:r>
        <w:rPr>
          <w:rtl w:val="true"/>
        </w:rPr>
        <w:t>ל כדלקמן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60" w:start="1245" w:end="0"/>
        <w:jc w:val="both"/>
        <w:rPr>
          <w:rFonts w:cs="David"/>
          <w:b/>
          <w:bCs/>
        </w:rPr>
      </w:pPr>
      <w:r>
        <w:rPr>
          <w:rFonts w:cs="David"/>
          <w:b/>
          <w:b/>
          <w:bCs/>
          <w:rtl w:val="true"/>
        </w:rPr>
        <w:t>ניסיון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לרצח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–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עבירה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לפי</w:t>
      </w:r>
      <w:r>
        <w:rPr>
          <w:rFonts w:eastAsia="Calibri" w:cs="Calibri"/>
          <w:b/>
          <w:b/>
          <w:bCs/>
          <w:rtl w:val="true"/>
        </w:rPr>
        <w:t xml:space="preserve"> </w:t>
      </w:r>
      <w:hyperlink r:id="rId16">
        <w:r>
          <w:rPr>
            <w:rStyle w:val="Hyperlink"/>
            <w:rFonts w:cs="David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color w:val="0000FF"/>
            <w:u w:val="single"/>
          </w:rPr>
          <w:t>305+29</w:t>
        </w:r>
      </w:hyperlink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</w:t>
      </w:r>
      <w:hyperlink r:id="rId17">
        <w:r>
          <w:rPr>
            <w:rStyle w:val="Hyperlink"/>
            <w:rFonts w:cs="David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eastAsia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התשל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ז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–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Cs/>
        </w:rPr>
        <w:t>1977</w:t>
      </w:r>
      <w:r>
        <w:rPr>
          <w:rFonts w:cs="David"/>
          <w:b/>
          <w:bCs/>
          <w:rtl w:val="true"/>
        </w:rPr>
        <w:t xml:space="preserve"> (</w:t>
      </w:r>
      <w:r>
        <w:rPr>
          <w:rFonts w:cs="David"/>
          <w:b/>
          <w:b/>
          <w:bCs/>
          <w:rtl w:val="true"/>
        </w:rPr>
        <w:t>להלן</w:t>
      </w:r>
      <w:r>
        <w:rPr>
          <w:rFonts w:cs="David"/>
          <w:b/>
          <w:bCs/>
          <w:rtl w:val="true"/>
        </w:rPr>
        <w:t>: "</w:t>
      </w:r>
      <w:r>
        <w:rPr>
          <w:rFonts w:cs="David"/>
          <w:b/>
          <w:b/>
          <w:bCs/>
          <w:rtl w:val="true"/>
        </w:rPr>
        <w:t>החוק</w:t>
      </w:r>
      <w:r>
        <w:rPr>
          <w:rFonts w:cs="David"/>
          <w:b/>
          <w:bCs/>
          <w:rtl w:val="true"/>
        </w:rPr>
        <w:t>").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60" w:start="1245" w:end="0"/>
        <w:jc w:val="both"/>
        <w:rPr>
          <w:rFonts w:cs="David"/>
          <w:b/>
          <w:bCs/>
        </w:rPr>
      </w:pPr>
      <w:r>
        <w:rPr>
          <w:rFonts w:cs="David"/>
          <w:b/>
          <w:b/>
          <w:bCs/>
          <w:rtl w:val="true"/>
        </w:rPr>
        <w:t>חבלה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חמורה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בנסיבות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מחמירות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–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עבירה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לפי</w:t>
      </w:r>
      <w:r>
        <w:rPr>
          <w:rFonts w:eastAsia="Calibri" w:cs="Calibri"/>
          <w:b/>
          <w:b/>
          <w:bCs/>
          <w:rtl w:val="true"/>
        </w:rPr>
        <w:t xml:space="preserve"> </w:t>
      </w:r>
      <w:hyperlink r:id="rId18">
        <w:r>
          <w:rPr>
            <w:rStyle w:val="Hyperlink"/>
            <w:rFonts w:cs="David"/>
            <w:b/>
            <w:b/>
            <w:bCs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color w:val="0000FF"/>
            <w:u w:val="single"/>
          </w:rPr>
          <w:t>335+333</w:t>
        </w:r>
      </w:hyperlink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לחוק</w:t>
      </w:r>
      <w:r>
        <w:rPr>
          <w:rFonts w:cs="David"/>
          <w:b/>
          <w:bCs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60" w:start="1245" w:end="0"/>
        <w:jc w:val="both"/>
        <w:rPr>
          <w:rFonts w:cs="David"/>
          <w:b/>
          <w:bCs/>
        </w:rPr>
      </w:pPr>
      <w:r>
        <w:rPr>
          <w:rFonts w:cs="David"/>
          <w:b/>
          <w:b/>
          <w:bCs/>
          <w:rtl w:val="true"/>
        </w:rPr>
        <w:t>עבירות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בנשק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–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עבירה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לפי</w:t>
      </w:r>
      <w:r>
        <w:rPr>
          <w:rFonts w:eastAsia="Calibri" w:cs="Calibri"/>
          <w:b/>
          <w:b/>
          <w:bCs/>
          <w:rtl w:val="true"/>
        </w:rPr>
        <w:t xml:space="preserve"> </w:t>
      </w:r>
      <w:hyperlink r:id="rId19">
        <w:r>
          <w:rPr>
            <w:rStyle w:val="Hyperlink"/>
            <w:rFonts w:cs="David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color w:val="0000FF"/>
            <w:u w:val="single"/>
          </w:rPr>
          <w:t>144</w:t>
        </w:r>
        <w:r>
          <w:rPr>
            <w:rStyle w:val="Hyperlink"/>
            <w:rFonts w:cs="David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David"/>
          <w:b/>
          <w:bCs/>
          <w:rtl w:val="true"/>
        </w:rPr>
        <w:t xml:space="preserve"> + </w:t>
      </w:r>
      <w:hyperlink r:id="rId20">
        <w:r>
          <w:rPr>
            <w:rStyle w:val="Hyperlink"/>
            <w:rFonts w:cs="David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rFonts w:cs="David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David"/>
          <w:b/>
          <w:bCs/>
          <w:rtl w:val="true"/>
        </w:rPr>
        <w:t xml:space="preserve"> + </w:t>
      </w:r>
      <w:hyperlink r:id="rId21">
        <w:r>
          <w:rPr>
            <w:rStyle w:val="Hyperlink"/>
            <w:rFonts w:cs="David"/>
            <w:b/>
            <w:bCs/>
            <w:color w:val="0000FF"/>
            <w:u w:val="single"/>
          </w:rPr>
          <w:t>29</w:t>
        </w:r>
      </w:hyperlink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לחוק</w:t>
      </w:r>
      <w:r>
        <w:rPr>
          <w:rFonts w:cs="David"/>
          <w:b/>
          <w:bCs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60" w:start="1245" w:end="0"/>
        <w:jc w:val="both"/>
        <w:rPr>
          <w:rFonts w:cs="David"/>
          <w:b/>
          <w:bCs/>
        </w:rPr>
      </w:pPr>
      <w:r>
        <w:rPr>
          <w:rFonts w:cs="David"/>
          <w:b/>
          <w:b/>
          <w:bCs/>
          <w:rtl w:val="true"/>
        </w:rPr>
        <w:t>ירי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באיזור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מגורים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–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עבירה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לפי</w:t>
      </w:r>
      <w:r>
        <w:rPr>
          <w:rFonts w:eastAsia="Calibri" w:cs="Calibri"/>
          <w:b/>
          <w:b/>
          <w:bCs/>
          <w:rtl w:val="true"/>
        </w:rPr>
        <w:t xml:space="preserve"> </w:t>
      </w:r>
      <w:hyperlink r:id="rId22">
        <w:r>
          <w:rPr>
            <w:rStyle w:val="Hyperlink"/>
            <w:rFonts w:cs="David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color w:val="0000FF"/>
            <w:u w:val="single"/>
          </w:rPr>
          <w:t>340</w:t>
        </w:r>
        <w:r>
          <w:rPr>
            <w:rStyle w:val="Hyperlink"/>
            <w:rFonts w:cs="David"/>
            <w:b/>
            <w:b/>
            <w:bCs/>
            <w:color w:val="0000FF"/>
            <w:u w:val="single"/>
            <w:rtl w:val="true"/>
          </w:rPr>
          <w:t>א</w:t>
        </w:r>
      </w:hyperlink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Cs/>
          <w:rtl w:val="true"/>
        </w:rPr>
        <w:t xml:space="preserve">+ </w:t>
      </w:r>
      <w:hyperlink r:id="rId23">
        <w:r>
          <w:rPr>
            <w:rStyle w:val="Hyperlink"/>
            <w:rFonts w:cs="David"/>
            <w:b/>
            <w:bCs/>
            <w:color w:val="0000FF"/>
            <w:u w:val="single"/>
          </w:rPr>
          <w:t>29</w:t>
        </w:r>
      </w:hyperlink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לחוק</w:t>
      </w:r>
      <w:r>
        <w:rPr>
          <w:rFonts w:cs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36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</w:t>
      </w:r>
      <w:r>
        <w:rPr>
          <w:b/>
          <w:bCs/>
          <w:u w:val="single"/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האישום השלישי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/>
        <w:t>3</w:t>
      </w:r>
      <w:r>
        <w:rPr>
          <w:rtl w:val="true"/>
        </w:rPr>
        <w:t xml:space="preserve">. 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האירוע נשוא האישום השני ארע בחודש אוגוסט </w:t>
      </w:r>
      <w:r>
        <w:rPr/>
        <w:t>2011</w:t>
      </w:r>
      <w:r>
        <w:rPr>
          <w:rtl w:val="true"/>
        </w:rPr>
        <w:t xml:space="preserve">. </w:t>
      </w:r>
      <w:r>
        <w:rPr>
          <w:rtl w:val="true"/>
        </w:rPr>
        <w:t>שלושה חודשים קודם לכן</w:t>
      </w:r>
      <w:r>
        <w:rPr>
          <w:rtl w:val="true"/>
        </w:rPr>
        <w:t xml:space="preserve">, </w:t>
      </w:r>
      <w:r>
        <w:rPr>
          <w:rtl w:val="true"/>
        </w:rPr>
        <w:t>התרחש אירוע ירי קודם</w:t>
      </w:r>
      <w:r>
        <w:rPr>
          <w:rtl w:val="true"/>
        </w:rPr>
        <w:t xml:space="preserve">, </w:t>
      </w:r>
      <w:r>
        <w:rPr>
          <w:rtl w:val="true"/>
        </w:rPr>
        <w:t>אשר בעטיו הוגש נגד הנאשם האישום הראשון נשוא תיק זה</w:t>
      </w:r>
      <w:r>
        <w:rPr>
          <w:rtl w:val="true"/>
        </w:rPr>
        <w:t xml:space="preserve">.  </w:t>
      </w:r>
      <w:r>
        <w:rPr>
          <w:rtl w:val="true"/>
        </w:rPr>
        <w:t>סמוך לאחר מעשה הירי הראשון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זימנה המשטרה את הנאשם לחקירה ואף הוציאה נגדו צווי מעצר</w:t>
      </w:r>
      <w:r>
        <w:rPr>
          <w:rtl w:val="true"/>
        </w:rPr>
        <w:t xml:space="preserve">. </w:t>
      </w:r>
      <w:r>
        <w:rPr>
          <w:rtl w:val="true"/>
        </w:rPr>
        <w:t>המשטרה המשיכה לחפשו גם אחרי מעשה הירי נשוא האישום השני</w:t>
      </w:r>
      <w:r>
        <w:rPr>
          <w:rtl w:val="true"/>
        </w:rPr>
        <w:t xml:space="preserve">. </w:t>
      </w:r>
      <w:r>
        <w:rPr>
          <w:rtl w:val="true"/>
        </w:rPr>
        <w:t>הנאשם לא התייצב לחקירה</w:t>
      </w:r>
      <w:r>
        <w:rPr>
          <w:rtl w:val="true"/>
        </w:rPr>
        <w:t xml:space="preserve">, </w:t>
      </w:r>
      <w:r>
        <w:rPr>
          <w:rtl w:val="true"/>
        </w:rPr>
        <w:t xml:space="preserve">ונמלט ביודעין מרשויות אכיפת החוק עד שנעצר בעיר ראשון לציון ביום </w:t>
      </w:r>
      <w:r>
        <w:rPr/>
        <w:t>27.10.13</w:t>
      </w:r>
      <w:r>
        <w:rPr>
          <w:rtl w:val="true"/>
        </w:rPr>
        <w:t xml:space="preserve">. </w:t>
      </w:r>
      <w:r>
        <w:rPr>
          <w:rtl w:val="true"/>
        </w:rPr>
        <w:t>בשל כך</w:t>
      </w:r>
      <w:r>
        <w:rPr>
          <w:rtl w:val="true"/>
        </w:rPr>
        <w:t xml:space="preserve">, </w:t>
      </w:r>
      <w:r>
        <w:rPr>
          <w:rtl w:val="true"/>
        </w:rPr>
        <w:t>נטען נגדו</w:t>
      </w:r>
      <w:r>
        <w:rPr>
          <w:rtl w:val="true"/>
        </w:rPr>
        <w:t xml:space="preserve">, </w:t>
      </w:r>
      <w:r>
        <w:rPr>
          <w:rtl w:val="true"/>
        </w:rPr>
        <w:t>כי הוא עשה דבר בכוונה למנוע ולהכשיל הליך שיפוטי</w:t>
      </w:r>
      <w:r>
        <w:rPr>
          <w:rtl w:val="true"/>
        </w:rPr>
        <w:t xml:space="preserve">. </w:t>
      </w:r>
      <w:r>
        <w:rPr>
          <w:rtl w:val="true"/>
        </w:rPr>
        <w:t>בהכרעת הדין קיבלנו את טענותיה של המאשימה לעניין זה</w:t>
      </w:r>
      <w:r>
        <w:rPr>
          <w:rtl w:val="true"/>
        </w:rPr>
        <w:t xml:space="preserve">, </w:t>
      </w:r>
      <w:r>
        <w:rPr>
          <w:rtl w:val="true"/>
        </w:rPr>
        <w:t>והרשענו אותו</w:t>
      </w:r>
      <w:r>
        <w:rPr>
          <w:rtl w:val="true"/>
        </w:rPr>
        <w:t xml:space="preserve">, </w:t>
      </w:r>
      <w:r>
        <w:rPr>
          <w:rtl w:val="true"/>
        </w:rPr>
        <w:t>בגין המעשים האמורים</w:t>
      </w:r>
      <w:r>
        <w:rPr>
          <w:rtl w:val="true"/>
        </w:rPr>
        <w:t xml:space="preserve">, </w:t>
      </w:r>
      <w:r>
        <w:rPr>
          <w:rtl w:val="true"/>
        </w:rPr>
        <w:t xml:space="preserve">בביצוע עבירה של שיבוש מהלכי משפט – עבירה הקבועה </w:t>
      </w:r>
      <w:hyperlink r:id="rId24">
        <w:r>
          <w:rPr>
            <w:rStyle w:val="Hyperlink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תשל</w:t>
      </w:r>
      <w:r>
        <w:rPr>
          <w:rtl w:val="true"/>
        </w:rPr>
        <w:t>"</w:t>
      </w:r>
      <w:r>
        <w:rPr>
          <w:rtl w:val="true"/>
        </w:rPr>
        <w:t xml:space="preserve">ז – 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360" w:after="12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</w:t>
      </w:r>
      <w:r>
        <w:rPr>
          <w:b/>
          <w:bCs/>
          <w:u w:val="single"/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טענות המאשימה 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/>
        <w:t>4</w:t>
      </w:r>
      <w:r>
        <w:rPr>
          <w:rtl w:val="true"/>
        </w:rPr>
        <w:t xml:space="preserve">. </w:t>
        <w:tab/>
      </w: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עבירת הניסיון לרצח בה הורשע הנאשם</w:t>
      </w:r>
      <w:r>
        <w:rPr>
          <w:rtl w:val="true"/>
        </w:rPr>
        <w:t xml:space="preserve">, </w:t>
      </w:r>
      <w:r>
        <w:rPr>
          <w:rtl w:val="true"/>
        </w:rPr>
        <w:t>הינה אחת העבירות החמורות שבספר החוקים</w:t>
      </w:r>
      <w:r>
        <w:rPr>
          <w:rtl w:val="true"/>
        </w:rPr>
        <w:t xml:space="preserve">, </w:t>
      </w:r>
      <w:r>
        <w:rPr>
          <w:rtl w:val="true"/>
        </w:rPr>
        <w:t xml:space="preserve">לצידה נקבע עונש מירבי של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 מאסר</w:t>
      </w:r>
      <w:r>
        <w:rPr>
          <w:rtl w:val="true"/>
        </w:rPr>
        <w:t xml:space="preserve">. </w:t>
      </w:r>
      <w:r>
        <w:rPr>
          <w:rtl w:val="true"/>
        </w:rPr>
        <w:t>הערך החברתי המוגן הינו עקרון קדושת החיים והצורך למנוע התנהגויות המסכנות חיי אדם</w:t>
      </w:r>
      <w:r>
        <w:rPr>
          <w:rtl w:val="true"/>
        </w:rPr>
        <w:t xml:space="preserve">. </w:t>
      </w:r>
      <w:r>
        <w:rPr>
          <w:rtl w:val="true"/>
        </w:rPr>
        <w:t>אף העבירה של חבלה חמורה בנסיבות מחמירות בה הורשע הנאשם</w:t>
      </w:r>
      <w:r>
        <w:rPr>
          <w:rtl w:val="true"/>
        </w:rPr>
        <w:t xml:space="preserve">, </w:t>
      </w:r>
      <w:r>
        <w:rPr>
          <w:rtl w:val="true"/>
        </w:rPr>
        <w:t>משקפת את אותם ערכים חברתיים של שמירה על שלמות גופו ובטחונו של הפרט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 לעבירות של החזקה או נשיאת נשק שלא כדין</w:t>
      </w:r>
      <w:r>
        <w:rPr>
          <w:rtl w:val="true"/>
        </w:rPr>
        <w:t xml:space="preserve">, </w:t>
      </w:r>
      <w:r>
        <w:rPr>
          <w:rtl w:val="true"/>
        </w:rPr>
        <w:t>מדובר בעבירות בעלות פוטנציאל מסוכן</w:t>
      </w:r>
      <w:r>
        <w:rPr>
          <w:rtl w:val="true"/>
        </w:rPr>
        <w:t xml:space="preserve">. </w:t>
      </w:r>
      <w:r>
        <w:rPr>
          <w:rtl w:val="true"/>
        </w:rPr>
        <w:t>המחזיק נשק שלא כדין</w:t>
      </w:r>
      <w:r>
        <w:rPr>
          <w:rtl w:val="true"/>
        </w:rPr>
        <w:t xml:space="preserve">, </w:t>
      </w:r>
      <w:r>
        <w:rPr>
          <w:rtl w:val="true"/>
        </w:rPr>
        <w:t>עלול להשתמש בו ולפגוע בבני אדם</w:t>
      </w:r>
      <w:r>
        <w:rPr>
          <w:rtl w:val="true"/>
        </w:rPr>
        <w:t xml:space="preserve">. </w:t>
      </w:r>
      <w:r>
        <w:rPr>
          <w:rtl w:val="true"/>
        </w:rPr>
        <w:t>העבירה נקבעה כעבירה מסוכנת</w:t>
      </w:r>
      <w:r>
        <w:rPr>
          <w:rtl w:val="true"/>
        </w:rPr>
        <w:t xml:space="preserve">, </w:t>
      </w:r>
      <w:r>
        <w:rPr>
          <w:rtl w:val="true"/>
        </w:rPr>
        <w:t>בה כרוך סיכון נוסף להסלמה עבריינית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ואילו העבירה של שיבוש מהלכי משפט</w:t>
      </w:r>
      <w:r>
        <w:rPr>
          <w:rtl w:val="true"/>
        </w:rPr>
        <w:t xml:space="preserve">, </w:t>
      </w:r>
      <w:r>
        <w:rPr>
          <w:rtl w:val="true"/>
        </w:rPr>
        <w:t>פוגעת באושיות המשפט ובערך המוגן של טוהר ההליך השיפוטי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מוסיפה באת כוח המאשימה וטוענת</w:t>
      </w:r>
      <w:r>
        <w:rPr>
          <w:rtl w:val="true"/>
        </w:rPr>
        <w:t xml:space="preserve">, </w:t>
      </w:r>
      <w:r>
        <w:rPr>
          <w:rtl w:val="true"/>
        </w:rPr>
        <w:t>כי מעשיו של הנאשם פגעו פגיעה משמעותית וקשה בכל הערכים המוגנים</w:t>
      </w:r>
      <w:r>
        <w:rPr>
          <w:rtl w:val="true"/>
        </w:rPr>
        <w:t xml:space="preserve">. </w:t>
      </w:r>
      <w:r>
        <w:rPr>
          <w:rtl w:val="true"/>
        </w:rPr>
        <w:t>המעשה שעשה חמור לאור נסיבותיו</w:t>
      </w:r>
      <w:r>
        <w:rPr>
          <w:rtl w:val="true"/>
        </w:rPr>
        <w:t xml:space="preserve">. </w:t>
      </w:r>
      <w:r>
        <w:rPr>
          <w:rtl w:val="true"/>
        </w:rPr>
        <w:t>הנאשם ושותפיו למעשה ארבו למתלוננים במטרה לרצחם</w:t>
      </w:r>
      <w:r>
        <w:rPr>
          <w:rtl w:val="true"/>
        </w:rPr>
        <w:t xml:space="preserve">, </w:t>
      </w:r>
      <w:r>
        <w:rPr>
          <w:rtl w:val="true"/>
        </w:rPr>
        <w:t>וירו ירי מסיבי מארבעה כלי נשק לעבר המכונית בה נסעו המתלוננים</w:t>
      </w:r>
      <w:r>
        <w:rPr>
          <w:rtl w:val="true"/>
        </w:rPr>
        <w:t xml:space="preserve">. </w:t>
      </w:r>
      <w:r>
        <w:rPr>
          <w:rtl w:val="true"/>
        </w:rPr>
        <w:t>רק בנס הסתיימה הפרשייה בפציעתו של אחד מבין המתלוננים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הנסיבות הקשורות לאירוע העבירה מלמדות על תכנון שקדם לביצוע העבירות</w:t>
      </w:r>
      <w:r>
        <w:rPr>
          <w:rtl w:val="true"/>
        </w:rPr>
        <w:t xml:space="preserve">. </w:t>
      </w:r>
      <w:r>
        <w:rPr>
          <w:rtl w:val="true"/>
        </w:rPr>
        <w:t>התארגנות של ארבעה שותפים למעשה – התארגנות אשר תוכננה מראש תוך הצטיידות בכלי נשק</w:t>
      </w:r>
      <w:r>
        <w:rPr>
          <w:rtl w:val="true"/>
        </w:rPr>
        <w:t xml:space="preserve">, </w:t>
      </w:r>
      <w:r>
        <w:rPr>
          <w:rtl w:val="true"/>
        </w:rPr>
        <w:t>ובעשיית מארב לרכב המתלוננים</w:t>
      </w:r>
      <w:r>
        <w:rPr>
          <w:rtl w:val="true"/>
        </w:rPr>
        <w:t xml:space="preserve">. </w:t>
      </w:r>
      <w:r>
        <w:rPr>
          <w:rtl w:val="true"/>
        </w:rPr>
        <w:t>היורים ידעו כי המתלוננים אמורים לעשות דרכם בשעה הקבועה בדרכם לתפילת הרמדאן ובהתאם ארבו להם על מנת לפגוע בהם</w:t>
      </w:r>
      <w:r>
        <w:rPr>
          <w:rtl w:val="true"/>
        </w:rPr>
        <w:t xml:space="preserve">. </w:t>
      </w:r>
      <w:r>
        <w:rPr>
          <w:rtl w:val="true"/>
        </w:rPr>
        <w:t>אין המדובר בפרץ אלימות ספונטנית</w:t>
      </w:r>
      <w:r>
        <w:rPr>
          <w:rtl w:val="true"/>
        </w:rPr>
        <w:t xml:space="preserve">, </w:t>
      </w:r>
      <w:r>
        <w:rPr>
          <w:rtl w:val="true"/>
        </w:rPr>
        <w:t>אלא בכוונת מכוון</w:t>
      </w:r>
      <w:r>
        <w:rPr>
          <w:rtl w:val="true"/>
        </w:rPr>
        <w:t xml:space="preserve">. </w:t>
      </w:r>
      <w:r>
        <w:rPr>
          <w:rtl w:val="true"/>
        </w:rPr>
        <w:t>ההצטיידות בכלי הנשק שבכוחם להמית אדם וביצוע ירי מסיבי</w:t>
      </w:r>
      <w:r>
        <w:rPr>
          <w:rtl w:val="true"/>
        </w:rPr>
        <w:t xml:space="preserve">, </w:t>
      </w:r>
      <w:r>
        <w:rPr>
          <w:rtl w:val="true"/>
        </w:rPr>
        <w:t>הן מתוך המבנה בו ארבו והן לאחר מכן תוך כדי התקדמות לרכב</w:t>
      </w:r>
      <w:r>
        <w:rPr>
          <w:rtl w:val="true"/>
        </w:rPr>
        <w:t xml:space="preserve">, </w:t>
      </w:r>
      <w:r>
        <w:rPr>
          <w:rtl w:val="true"/>
        </w:rPr>
        <w:t>יוצר פוטנציאל חומרה רב יותר למעשה הנאשם וחבריו</w:t>
      </w:r>
      <w:r>
        <w:rPr>
          <w:rtl w:val="true"/>
        </w:rPr>
        <w:t xml:space="preserve">. </w:t>
      </w:r>
      <w:r>
        <w:rPr>
          <w:rtl w:val="true"/>
        </w:rPr>
        <w:t>הירי עלול היה לפגוע בחפים מפשע וכן במתלוננים</w:t>
      </w:r>
      <w:r>
        <w:rPr>
          <w:rtl w:val="true"/>
        </w:rPr>
        <w:t xml:space="preserve">. </w:t>
      </w:r>
      <w:r>
        <w:rPr>
          <w:rtl w:val="true"/>
        </w:rPr>
        <w:t>רק המתלונן עלי יוסף נפגע ברגליו מקליעים שחדרו וגרמו לו פצעי ירי בשתי רגליו</w:t>
      </w:r>
      <w:r>
        <w:rPr>
          <w:rtl w:val="true"/>
        </w:rPr>
        <w:t xml:space="preserve">, </w:t>
      </w:r>
      <w:r>
        <w:rPr>
          <w:rtl w:val="true"/>
        </w:rPr>
        <w:t>כולל שבר – דבר שחייב את אשפוזו</w:t>
      </w:r>
      <w:r>
        <w:rPr>
          <w:rtl w:val="true"/>
        </w:rPr>
        <w:t xml:space="preserve">. </w:t>
      </w:r>
      <w:r>
        <w:rPr>
          <w:rtl w:val="true"/>
        </w:rPr>
        <w:t>כן נגרם נזק לרכושם של המתלוננים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 למדיניות הענישה הנהוגה</w:t>
      </w:r>
      <w:r>
        <w:rPr>
          <w:rtl w:val="true"/>
        </w:rPr>
        <w:t xml:space="preserve">, </w:t>
      </w:r>
      <w:r>
        <w:rPr>
          <w:rtl w:val="true"/>
        </w:rPr>
        <w:t>טוענת באת כוח המאשימה כי יש לקבוע מתחם ענישה</w:t>
      </w:r>
      <w:r>
        <w:rPr>
          <w:rtl w:val="true"/>
        </w:rPr>
        <w:t xml:space="preserve">, </w:t>
      </w:r>
      <w:r>
        <w:rPr>
          <w:rtl w:val="true"/>
        </w:rPr>
        <w:t>בהתאם לרמת הענישה המקובלת</w:t>
      </w:r>
      <w:r>
        <w:rPr>
          <w:rtl w:val="true"/>
        </w:rPr>
        <w:t xml:space="preserve">, </w:t>
      </w:r>
      <w:r>
        <w:rPr>
          <w:rtl w:val="true"/>
        </w:rPr>
        <w:t xml:space="preserve">במנעד שבין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 מאסר בפועל ביחס לעבירת הניסיון לרצח</w:t>
      </w:r>
      <w:r>
        <w:rPr>
          <w:rtl w:val="true"/>
        </w:rPr>
        <w:t xml:space="preserve">. </w:t>
      </w:r>
      <w:r>
        <w:rPr>
          <w:rtl w:val="true"/>
        </w:rPr>
        <w:t>המאשימה מתייחסת למתחם זה כחל גם על ביצוע עבירות בנשק</w:t>
      </w:r>
      <w:r>
        <w:rPr>
          <w:rtl w:val="true"/>
        </w:rPr>
        <w:t xml:space="preserve">, </w:t>
      </w:r>
      <w:r>
        <w:rPr>
          <w:rtl w:val="true"/>
        </w:rPr>
        <w:t>ובצדק אינה מפרידה בין העונש על עבירת הניסיון לרצח</w:t>
      </w:r>
      <w:r>
        <w:rPr>
          <w:rtl w:val="true"/>
        </w:rPr>
        <w:t xml:space="preserve">, </w:t>
      </w:r>
      <w:r>
        <w:rPr>
          <w:rtl w:val="true"/>
        </w:rPr>
        <w:t>לבין הענישה החלה על עבירות 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 למדיניות הענישה לגבי עבירה של שיבוש מהלכי משפט</w:t>
      </w:r>
      <w:r>
        <w:rPr>
          <w:rtl w:val="true"/>
        </w:rPr>
        <w:t xml:space="preserve">, </w:t>
      </w:r>
      <w:r>
        <w:rPr>
          <w:rtl w:val="true"/>
        </w:rPr>
        <w:t>נע המתחם בין מנעד של מספר חודשי מאסר על תנאי לבין מספר חודשי מאסר 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הנסיבות שאינן קשורות לביצוע העבירה</w:t>
      </w:r>
      <w:r>
        <w:rPr>
          <w:rtl w:val="true"/>
        </w:rPr>
        <w:t xml:space="preserve">, </w:t>
      </w:r>
      <w:r>
        <w:rPr>
          <w:rtl w:val="true"/>
        </w:rPr>
        <w:t>אף הן נוטות לכף החומרה אליבא דבאת כוח המאשימה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הנאשם לא נטל אחריות כלשהי למעשיו</w:t>
      </w:r>
      <w:r>
        <w:rPr>
          <w:rtl w:val="true"/>
        </w:rPr>
        <w:t xml:space="preserve">. </w:t>
      </w:r>
      <w:r>
        <w:rPr>
          <w:rtl w:val="true"/>
        </w:rPr>
        <w:t>חלוף הזמן אינו פועל לזכותו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הוא עצמו בהסתתרותו</w:t>
      </w:r>
      <w:r>
        <w:rPr>
          <w:rtl w:val="true"/>
        </w:rPr>
        <w:t xml:space="preserve">, </w:t>
      </w:r>
      <w:r>
        <w:rPr>
          <w:rtl w:val="true"/>
        </w:rPr>
        <w:t>גרם לכך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יש להתייחס לגורם זה דווקא בחומרה</w:t>
      </w:r>
      <w:r>
        <w:rPr>
          <w:rtl w:val="true"/>
        </w:rPr>
        <w:t xml:space="preserve">. </w:t>
      </w:r>
      <w:r>
        <w:rPr>
          <w:rtl w:val="true"/>
        </w:rPr>
        <w:t>לנאשם הרשעה בעבירה פלילית אחת של הפרעה לשוטר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 נמצאו כל שיקולים המצדיקים סטייה לקולה ממתחם העונש ההולם</w:t>
      </w:r>
      <w:r>
        <w:rPr>
          <w:rtl w:val="true"/>
        </w:rPr>
        <w:t xml:space="preserve">, </w:t>
      </w:r>
      <w:r>
        <w:rPr>
          <w:rtl w:val="true"/>
        </w:rPr>
        <w:t>ואין כל שיקולי שיקום העומדים על הפרק</w:t>
      </w:r>
      <w:r>
        <w:rPr>
          <w:rtl w:val="true"/>
        </w:rPr>
        <w:t xml:space="preserve">. </w:t>
      </w:r>
      <w:r>
        <w:rPr>
          <w:rtl w:val="true"/>
        </w:rPr>
        <w:t>נהפוך הוא</w:t>
      </w:r>
      <w:r>
        <w:rPr>
          <w:rtl w:val="true"/>
        </w:rPr>
        <w:t xml:space="preserve">, </w:t>
      </w:r>
      <w:r>
        <w:rPr>
          <w:rtl w:val="true"/>
        </w:rPr>
        <w:t>בעבירות שלפנינו</w:t>
      </w:r>
      <w:r>
        <w:rPr>
          <w:rtl w:val="true"/>
        </w:rPr>
        <w:t xml:space="preserve">, </w:t>
      </w:r>
      <w:r>
        <w:rPr>
          <w:rtl w:val="true"/>
        </w:rPr>
        <w:t>יש צורך בהרתעה נוכח חומרתן היתרה של 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המאשימה מבקשת כי עונש המאסר שיגזר על הנאשם בגין העבירות של שיבוש מהלכי משפט</w:t>
      </w:r>
      <w:r>
        <w:rPr>
          <w:rtl w:val="true"/>
        </w:rPr>
        <w:t xml:space="preserve">, </w:t>
      </w:r>
      <w:r>
        <w:rPr>
          <w:rtl w:val="true"/>
        </w:rPr>
        <w:t>יצטבר לעונש המאסר בגין העבירות נשוא האישום השני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יש להשית עליו עונשי מאסר מותנים</w:t>
      </w:r>
      <w:r>
        <w:rPr>
          <w:rtl w:val="true"/>
        </w:rPr>
        <w:t xml:space="preserve">, </w:t>
      </w:r>
      <w:r>
        <w:rPr>
          <w:rtl w:val="true"/>
        </w:rPr>
        <w:t>קנס ופיצוי משמעותי למתלוננים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360" w:after="12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ה</w:t>
      </w:r>
      <w:r>
        <w:rPr>
          <w:b/>
          <w:bCs/>
          <w:u w:val="single"/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טיעוני הסניגוריה 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/>
        <w:t>5</w:t>
      </w:r>
      <w:r>
        <w:rPr>
          <w:rtl w:val="true"/>
        </w:rPr>
        <w:t xml:space="preserve">. </w:t>
        <w:tab/>
      </w:r>
      <w:r>
        <w:rPr>
          <w:rtl w:val="true"/>
        </w:rPr>
        <w:t>הסניגור מצביע על נסיבותיו האישיות של הנאשם</w:t>
      </w:r>
      <w:r>
        <w:rPr>
          <w:rtl w:val="true"/>
        </w:rPr>
        <w:t xml:space="preserve">. </w:t>
      </w:r>
      <w:r>
        <w:rPr>
          <w:rtl w:val="true"/>
        </w:rPr>
        <w:t>גילו הצעיר</w:t>
      </w:r>
      <w:r>
        <w:rPr>
          <w:rtl w:val="true"/>
        </w:rPr>
        <w:t xml:space="preserve">, </w:t>
      </w:r>
      <w:r>
        <w:rPr>
          <w:rtl w:val="true"/>
        </w:rPr>
        <w:t>התנהלותו הנורמטיבית עד כה</w:t>
      </w:r>
      <w:r>
        <w:rPr>
          <w:rtl w:val="true"/>
        </w:rPr>
        <w:t xml:space="preserve">, </w:t>
      </w:r>
      <w:r>
        <w:rPr>
          <w:rtl w:val="true"/>
        </w:rPr>
        <w:t>על כך שעבד בעסקי המשפחה</w:t>
      </w:r>
      <w:r>
        <w:rPr>
          <w:rtl w:val="true"/>
        </w:rPr>
        <w:t xml:space="preserve">. </w:t>
      </w:r>
      <w:r>
        <w:rPr>
          <w:rtl w:val="true"/>
        </w:rPr>
        <w:t>לחובתו נרשמה רק הרשעה קודמת אחת בעבירה של הפרעה לשוטר בעת מילוי תפקידו</w:t>
      </w:r>
      <w:r>
        <w:rPr>
          <w:rtl w:val="true"/>
        </w:rPr>
        <w:t xml:space="preserve">. </w:t>
      </w:r>
      <w:r>
        <w:rPr>
          <w:rtl w:val="true"/>
        </w:rPr>
        <w:t>כן הוא מצביע על העובדה כי הוא זוכה מהאישום הראשון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לטעמו של הסניגור</w:t>
      </w:r>
      <w:r>
        <w:rPr>
          <w:rtl w:val="true"/>
        </w:rPr>
        <w:t xml:space="preserve">, </w:t>
      </w:r>
      <w:r>
        <w:rPr>
          <w:rtl w:val="true"/>
        </w:rPr>
        <w:t>יש לנקוט במקרה שלפנינו בעקרון אחידות הענישה</w:t>
      </w:r>
      <w:r>
        <w:rPr>
          <w:rtl w:val="true"/>
        </w:rPr>
        <w:t xml:space="preserve">. </w:t>
      </w:r>
      <w:r>
        <w:rPr>
          <w:rtl w:val="true"/>
        </w:rPr>
        <w:t>חבריו של הנאשם לביצוע המעשים נשוא האישום השני</w:t>
      </w:r>
      <w:r>
        <w:rPr>
          <w:rtl w:val="true"/>
        </w:rPr>
        <w:t xml:space="preserve">, </w:t>
      </w:r>
      <w:r>
        <w:rPr>
          <w:rtl w:val="true"/>
        </w:rPr>
        <w:t xml:space="preserve">נשפטו במסגרת תיק </w:t>
      </w:r>
      <w:hyperlink r:id="rId26"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ח </w:t>
        </w:r>
        <w:r>
          <w:rPr>
            <w:rStyle w:val="Hyperlink"/>
            <w:color w:val="0000FF"/>
            <w:u w:val="single"/>
          </w:rPr>
          <w:t>18482-11-11</w:t>
        </w:r>
      </w:hyperlink>
      <w:r>
        <w:rPr>
          <w:rtl w:val="true"/>
        </w:rPr>
        <w:t xml:space="preserve">, </w:t>
      </w:r>
      <w:r>
        <w:rPr>
          <w:rtl w:val="true"/>
        </w:rPr>
        <w:t>בו הואשמו בביצוע אותם מעשים שיוחסו לנאשם באישום השני</w:t>
      </w:r>
      <w:r>
        <w:rPr>
          <w:rtl w:val="true"/>
        </w:rPr>
        <w:t xml:space="preserve">. </w:t>
      </w:r>
      <w:r>
        <w:rPr>
          <w:rtl w:val="true"/>
        </w:rPr>
        <w:t>העבירות נגד נאשמים אלה תוקנו במסגרת 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כאשר ביחס לנאשם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אחיו של הנאשם דידן – תוקן כתב האישום לסיוע לעבירות נשק</w:t>
      </w:r>
      <w:r>
        <w:rPr>
          <w:rtl w:val="true"/>
        </w:rPr>
        <w:t xml:space="preserve">, </w:t>
      </w:r>
      <w:r>
        <w:rPr>
          <w:rtl w:val="true"/>
        </w:rPr>
        <w:t xml:space="preserve">ואילו שני הנאשמים האחרים הורשעו בעבירות של חבלה בכוונה מחמירה לפי </w:t>
      </w:r>
      <w:hyperlink r:id="rId27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במקום עבירת הנסיון לרצח</w:t>
      </w:r>
      <w:r>
        <w:rPr>
          <w:rtl w:val="true"/>
        </w:rPr>
        <w:t xml:space="preserve">, </w:t>
      </w:r>
      <w:r>
        <w:rPr>
          <w:rtl w:val="true"/>
        </w:rPr>
        <w:t>ושאר העבירות בהן הורשע הנאשם באישום השני</w:t>
      </w:r>
      <w:r>
        <w:rPr>
          <w:rtl w:val="true"/>
        </w:rPr>
        <w:t xml:space="preserve">,  </w:t>
      </w:r>
      <w:r>
        <w:rPr>
          <w:rtl w:val="true"/>
        </w:rPr>
        <w:t xml:space="preserve">ונגזרו עליהם עונשים של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ו</w:t>
      </w:r>
      <w:r>
        <w:rPr>
          <w:rtl w:val="true"/>
        </w:rPr>
        <w:t xml:space="preserve">-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לשיטתו של הסניגור</w:t>
      </w:r>
      <w:r>
        <w:rPr>
          <w:rtl w:val="true"/>
        </w:rPr>
        <w:t xml:space="preserve">, </w:t>
      </w:r>
      <w:r>
        <w:rPr>
          <w:rtl w:val="true"/>
        </w:rPr>
        <w:t>כיוון שמדובר באותם מעשים גופם בהם הורשע הנאשם והשוני היחיד הינו תיקון סעיף האישום</w:t>
      </w:r>
      <w:r>
        <w:rPr>
          <w:rtl w:val="true"/>
        </w:rPr>
        <w:t xml:space="preserve">, </w:t>
      </w:r>
      <w:r>
        <w:rPr>
          <w:rtl w:val="true"/>
        </w:rPr>
        <w:t>הרי יש לגזור גזירה שווה לעניין העונש</w:t>
      </w:r>
      <w:r>
        <w:rPr>
          <w:rtl w:val="true"/>
        </w:rPr>
        <w:t xml:space="preserve">, </w:t>
      </w:r>
      <w:r>
        <w:rPr>
          <w:rtl w:val="true"/>
        </w:rPr>
        <w:t>או לעשות בו שימוש כמעין מורה דרך לגזירת העונש כנגד הנאשם שלפנינו</w:t>
      </w:r>
      <w:r>
        <w:rPr>
          <w:rtl w:val="true"/>
        </w:rPr>
        <w:t xml:space="preserve">. </w:t>
      </w:r>
      <w:r>
        <w:rPr>
          <w:rtl w:val="true"/>
        </w:rPr>
        <w:t>עקרון אחידות העונש מחייב אף</w:t>
      </w:r>
      <w:r>
        <w:rPr>
          <w:rtl w:val="true"/>
        </w:rPr>
        <w:t xml:space="preserve">, </w:t>
      </w:r>
      <w:r>
        <w:rPr>
          <w:rtl w:val="true"/>
        </w:rPr>
        <w:t>לטעמו של הסניגור</w:t>
      </w:r>
      <w:r>
        <w:rPr>
          <w:rtl w:val="true"/>
        </w:rPr>
        <w:t xml:space="preserve">, </w:t>
      </w:r>
      <w:r>
        <w:rPr>
          <w:rtl w:val="true"/>
        </w:rPr>
        <w:t>שלא להיכנס למתחמי הענישה הנוגעים לעבירת הניסיון לרצח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/>
        <w:t>7</w:t>
      </w:r>
      <w:r>
        <w:rPr>
          <w:rtl w:val="true"/>
        </w:rPr>
        <w:t xml:space="preserve">. </w:t>
        <w:tab/>
      </w:r>
      <w:r>
        <w:rPr>
          <w:rtl w:val="true"/>
        </w:rPr>
        <w:t>הסניגור ביקש כי נזקוף לזכותו של הנאשם את העובדה כי מזה מספר שנים שורר השקט בין שתי המשפחות הניצות</w:t>
      </w:r>
      <w:r>
        <w:rPr>
          <w:rtl w:val="true"/>
        </w:rPr>
        <w:t xml:space="preserve">. </w:t>
      </w:r>
      <w:r>
        <w:rPr>
          <w:rtl w:val="true"/>
        </w:rPr>
        <w:t>הנאשם נמלט מהעיר נצרת רק מחמת חששו מבני המשפחה האחרת</w:t>
      </w:r>
      <w:r>
        <w:rPr>
          <w:rtl w:val="true"/>
        </w:rPr>
        <w:t xml:space="preserve">, </w:t>
      </w:r>
      <w:r>
        <w:rPr>
          <w:rtl w:val="true"/>
        </w:rPr>
        <w:t>ולא על מנת לשבש מהלכי משפט</w:t>
      </w:r>
      <w:r>
        <w:rPr>
          <w:rtl w:val="true"/>
        </w:rPr>
        <w:t xml:space="preserve">. </w:t>
      </w:r>
      <w:r>
        <w:rPr>
          <w:rtl w:val="true"/>
        </w:rPr>
        <w:t>הוא לא התנגד למעצרו ואף הסכים כי יעצר עד תום ההליכים המשפטיים נגדו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tl w:val="true"/>
        </w:rPr>
        <w:t>בשל כל הנסיבות האמורות</w:t>
      </w:r>
      <w:r>
        <w:rPr>
          <w:rtl w:val="true"/>
        </w:rPr>
        <w:t xml:space="preserve">, </w:t>
      </w:r>
      <w:r>
        <w:rPr>
          <w:rtl w:val="true"/>
        </w:rPr>
        <w:t>מבקש הנאשם כי לא ימוצה הדין עימו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/>
        <w:t>8</w:t>
      </w:r>
      <w:r>
        <w:rPr>
          <w:rtl w:val="true"/>
        </w:rPr>
        <w:t xml:space="preserve">. </w:t>
        <w:tab/>
      </w:r>
      <w:r>
        <w:rPr>
          <w:rtl w:val="true"/>
        </w:rPr>
        <w:t>לנאשם עצמו ניתנה האפשרות לשאת את דבריו בפני בית המשפט</w:t>
      </w:r>
      <w:r>
        <w:rPr>
          <w:rtl w:val="true"/>
        </w:rPr>
        <w:t xml:space="preserve">. </w:t>
      </w:r>
      <w:r>
        <w:rPr>
          <w:rtl w:val="true"/>
        </w:rPr>
        <w:t xml:space="preserve">כל שאמר היה כי הינו מודה לבית המשפט על הזיכוי בגין האישום הראשון </w:t>
      </w:r>
      <w:r>
        <w:rPr>
          <w:rtl w:val="true"/>
        </w:rPr>
        <w:t>"</w:t>
      </w:r>
      <w:r>
        <w:rPr>
          <w:b/>
          <w:b/>
          <w:bCs/>
          <w:rtl w:val="true"/>
        </w:rPr>
        <w:t>ואני ממשיך הלאה כדי שיצא הצדק לאור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/>
        <w:t>9</w:t>
      </w:r>
      <w:r>
        <w:rPr>
          <w:rtl w:val="true"/>
        </w:rPr>
        <w:t xml:space="preserve">. </w:t>
        <w:tab/>
      </w:r>
      <w:r>
        <w:rPr>
          <w:rtl w:val="true"/>
        </w:rPr>
        <w:t>לשני הצדדים ניתנה האפשרות להגיש פסיקה</w:t>
      </w:r>
      <w:r>
        <w:rPr>
          <w:rtl w:val="true"/>
        </w:rPr>
        <w:t xml:space="preserve">, </w:t>
      </w:r>
      <w:r>
        <w:rPr>
          <w:rtl w:val="true"/>
        </w:rPr>
        <w:t>התומכת בטיעוניהם</w:t>
      </w:r>
      <w:r>
        <w:rPr>
          <w:rtl w:val="true"/>
        </w:rPr>
        <w:t xml:space="preserve">. </w:t>
      </w:r>
      <w:r>
        <w:rPr>
          <w:rtl w:val="true"/>
        </w:rPr>
        <w:t>רק המאשימה ניצלה אפשרות זו</w:t>
      </w:r>
      <w:r>
        <w:rPr>
          <w:rtl w:val="true"/>
        </w:rPr>
        <w:t>.</w:t>
      </w:r>
    </w:p>
    <w:p>
      <w:pPr>
        <w:pStyle w:val="Normal"/>
        <w:spacing w:lineRule="auto" w:line="360" w:before="36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הראיות לעונש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/>
        <w:t>10</w:t>
      </w:r>
      <w:r>
        <w:rPr>
          <w:rtl w:val="true"/>
        </w:rPr>
        <w:t xml:space="preserve">. </w:t>
        <w:tab/>
      </w:r>
      <w:r>
        <w:rPr>
          <w:rtl w:val="true"/>
        </w:rPr>
        <w:t>המאשימה הגישה</w:t>
      </w:r>
      <w:r>
        <w:rPr>
          <w:rtl w:val="true"/>
        </w:rPr>
        <w:t xml:space="preserve">, </w:t>
      </w:r>
      <w:r>
        <w:rPr>
          <w:rtl w:val="true"/>
        </w:rPr>
        <w:t>כראיה לצורך גזירת העונש</w:t>
      </w:r>
      <w:r>
        <w:rPr>
          <w:rtl w:val="true"/>
        </w:rPr>
        <w:t xml:space="preserve">, </w:t>
      </w:r>
      <w:r>
        <w:rPr>
          <w:rtl w:val="true"/>
        </w:rPr>
        <w:t>את גיליון הרישום הפלילי של הנאשם</w:t>
      </w:r>
      <w:r>
        <w:rPr>
          <w:rtl w:val="true"/>
        </w:rPr>
        <w:t xml:space="preserve">, </w:t>
      </w:r>
      <w:r>
        <w:rPr>
          <w:rtl w:val="true"/>
        </w:rPr>
        <w:t>ממנו עולה כי הלה הורשע פעם אחת בעבירה של הפרעה לשוטר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/>
        <w:t>11</w:t>
      </w:r>
      <w:r>
        <w:rPr>
          <w:rtl w:val="true"/>
        </w:rPr>
        <w:t xml:space="preserve">. 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הגיש הסניגור את פרוטוקול הדיון במשפטם של שלושת שותפיו של הנאשם לעבירה</w:t>
      </w:r>
      <w:r>
        <w:rPr>
          <w:rtl w:val="true"/>
        </w:rPr>
        <w:t xml:space="preserve">, </w:t>
      </w:r>
      <w:r>
        <w:rPr>
          <w:rtl w:val="true"/>
        </w:rPr>
        <w:t>שלושתם ביצעו יחד עימו את המארב</w:t>
      </w:r>
      <w:r>
        <w:rPr>
          <w:rtl w:val="true"/>
        </w:rPr>
        <w:t xml:space="preserve">, </w:t>
      </w:r>
      <w:r>
        <w:rPr>
          <w:rtl w:val="true"/>
        </w:rPr>
        <w:t>וירו מנשקם לעבר המתלוננים</w:t>
      </w:r>
      <w:r>
        <w:rPr>
          <w:rtl w:val="true"/>
        </w:rPr>
        <w:t xml:space="preserve">. </w:t>
      </w:r>
      <w:r>
        <w:rPr>
          <w:rtl w:val="true"/>
        </w:rPr>
        <w:t>כאשר שניים מתוכם הואשמו במסגרת הסדר טיעון בעבירות קלות יותר</w:t>
      </w:r>
      <w:r>
        <w:rPr>
          <w:rtl w:val="true"/>
        </w:rPr>
        <w:t xml:space="preserve">, </w:t>
      </w:r>
      <w:r>
        <w:rPr>
          <w:rtl w:val="true"/>
        </w:rPr>
        <w:t>בגין מעשים זהים למעשים  שביצע הנאשם יחד עמם – עבירות כדלקמן</w:t>
      </w:r>
      <w:r>
        <w:rPr>
          <w:rtl w:val="true"/>
        </w:rPr>
        <w:t>:</w:t>
      </w:r>
    </w:p>
    <w:p>
      <w:pPr>
        <w:pStyle w:val="Normal"/>
        <w:spacing w:lineRule="auto" w:line="360" w:before="0" w:after="120"/>
        <w:ind w:hanging="720" w:start="1440" w:end="0"/>
        <w:jc w:val="start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חבלה בכוונה מחמירה</w:t>
      </w:r>
      <w:r>
        <w:rPr>
          <w:rtl w:val="true"/>
        </w:rPr>
        <w:t xml:space="preserve">- </w:t>
      </w:r>
      <w:r>
        <w:rPr>
          <w:rtl w:val="true"/>
        </w:rPr>
        <w:t xml:space="preserve">עבירה לפי </w:t>
      </w:r>
      <w:hyperlink r:id="rId29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start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חבלה חמורה בנסיבות מחמירות – עבירה לפי </w:t>
      </w:r>
      <w:hyperlink r:id="rId30">
        <w:r>
          <w:rPr>
            <w:rStyle w:val="Hyperlink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color w:val="0000FF"/>
            <w:u w:val="single"/>
          </w:rPr>
          <w:t>335+333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start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 xml:space="preserve">עבירות בנשק – עבירה לפי </w:t>
      </w:r>
      <w:hyperlink r:id="rId31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32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33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 xml:space="preserve">ירי באיזור מגורים – עבירה לפי </w:t>
      </w:r>
      <w:hyperlink r:id="rId34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+ </w:t>
      </w:r>
      <w:hyperlink r:id="rId35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firstLine="60" w:start="720" w:end="0"/>
        <w:jc w:val="both"/>
        <w:rPr/>
      </w:pPr>
      <w:r>
        <w:rPr>
          <w:rtl w:val="true"/>
        </w:rPr>
        <w:t>הפרקליטות הסכימה כי יגזרו על שותפים למעשה אלה עונשים מירביים של שלוש וארבע שנים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/>
        <w:t>12</w:t>
      </w:r>
      <w:r>
        <w:rPr>
          <w:rtl w:val="true"/>
        </w:rPr>
        <w:t xml:space="preserve">. </w:t>
        <w:tab/>
      </w:r>
      <w:r>
        <w:rPr>
          <w:rtl w:val="true"/>
        </w:rPr>
        <w:t>בית המשפט קבע כי מתחם העונש ההולם גבי</w:t>
      </w:r>
      <w:r>
        <w:rPr>
          <w:rtl w:val="true"/>
        </w:rPr>
        <w:t xml:space="preserve"> </w:t>
      </w:r>
      <w:r>
        <w:rPr>
          <w:rtl w:val="true"/>
        </w:rPr>
        <w:t xml:space="preserve">עבירות אלה נע בין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לבין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אך החליט לחרוג ממתחם זה לקולא לאור קשיים ראייתיים שנטענו על ידי המאשימה</w:t>
      </w:r>
      <w:r>
        <w:rPr>
          <w:rtl w:val="true"/>
        </w:rPr>
        <w:t xml:space="preserve">, </w:t>
      </w:r>
      <w:r>
        <w:rPr>
          <w:rtl w:val="true"/>
        </w:rPr>
        <w:t xml:space="preserve">ובסופו של יום גזר על הנאשם עונשי מאסר של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באשר לנאשם השלישי</w:t>
      </w:r>
      <w:r>
        <w:rPr>
          <w:rtl w:val="true"/>
        </w:rPr>
        <w:t xml:space="preserve">, </w:t>
      </w:r>
      <w:r>
        <w:rPr>
          <w:rtl w:val="true"/>
        </w:rPr>
        <w:t>הוא הואשם והורשע רק בעבירות של סיוע</w:t>
      </w:r>
      <w:r>
        <w:rPr>
          <w:rtl w:val="true"/>
        </w:rPr>
        <w:t xml:space="preserve">, </w:t>
      </w:r>
      <w:r>
        <w:rPr>
          <w:rtl w:val="true"/>
        </w:rPr>
        <w:t xml:space="preserve">כאשר הסדר הטיעון לגביו כלל עונש מאסר מוסכם של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וכך נגזר עליו</w:t>
      </w:r>
      <w:r>
        <w:rPr>
          <w:rtl w:val="true"/>
        </w:rPr>
        <w:t>.</w:t>
      </w:r>
    </w:p>
    <w:p>
      <w:pPr>
        <w:pStyle w:val="Normal"/>
        <w:keepNext w:val="true"/>
        <w:spacing w:lineRule="auto" w:line="360" w:before="36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</w:t>
      </w:r>
      <w:r>
        <w:rPr>
          <w:b/>
          <w:bCs/>
          <w:u w:val="single"/>
          <w:rtl w:val="true"/>
        </w:rPr>
        <w:t xml:space="preserve">.  </w:t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/>
        <w:t>13</w:t>
      </w:r>
      <w:r>
        <w:rPr>
          <w:rtl w:val="true"/>
        </w:rPr>
        <w:t xml:space="preserve">.  </w:t>
        <w:tab/>
      </w:r>
      <w:r>
        <w:rPr>
          <w:rtl w:val="true"/>
        </w:rPr>
        <w:t>בבואנו לגזור את עונשו של הנאשם עלינו לילך לפי עקרון ההלימה ולמצוא את האיזון הנכון בין חומרת מעשה העבירה על מכלול נסיבותיו ומידת אשמו של הנאשם</w:t>
      </w:r>
      <w:r>
        <w:rPr>
          <w:rtl w:val="true"/>
        </w:rPr>
        <w:t xml:space="preserve">, </w:t>
      </w:r>
      <w:r>
        <w:rPr>
          <w:rtl w:val="true"/>
        </w:rPr>
        <w:t>ובין סוג ומידת העונש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tl w:val="true"/>
        </w:rPr>
        <w:t xml:space="preserve">לשם כך עלינו לקבוע ראשית את מתחם העונש ההולם כפי הקבוע </w:t>
      </w:r>
      <w:hyperlink r:id="rId36">
        <w:r>
          <w:rPr>
            <w:rStyle w:val="Hyperlink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המציג אמות מידה הנוגעות לערך החברתי שנפגע מביצוע העבירה</w:t>
      </w:r>
      <w:r>
        <w:rPr>
          <w:rtl w:val="true"/>
        </w:rPr>
        <w:t xml:space="preserve">, </w:t>
      </w:r>
      <w:r>
        <w:rPr>
          <w:rtl w:val="true"/>
        </w:rPr>
        <w:t>מידת הפגיעה בו</w:t>
      </w:r>
      <w:r>
        <w:rPr>
          <w:rtl w:val="true"/>
        </w:rPr>
        <w:t xml:space="preserve">, </w:t>
      </w:r>
      <w:r>
        <w:rPr>
          <w:rtl w:val="true"/>
        </w:rPr>
        <w:t xml:space="preserve">מדיניות הענישה  הנהוגה והנסיבות הקשורות בביצוע העבירה </w:t>
      </w:r>
      <w:r>
        <w:rPr>
          <w:rtl w:val="true"/>
        </w:rPr>
        <w:t>(</w:t>
      </w:r>
      <w:r>
        <w:rPr>
          <w:rtl w:val="true"/>
        </w:rPr>
        <w:t xml:space="preserve">כקבוע </w:t>
      </w:r>
      <w:hyperlink r:id="rId38">
        <w:r>
          <w:rPr>
            <w:rStyle w:val="Hyperlink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').</w:t>
        </w:r>
      </w:hyperlink>
      <w:r>
        <w:rPr>
          <w:rtl w:val="true"/>
        </w:rPr>
        <w:t xml:space="preserve"> </w:t>
      </w:r>
      <w:r>
        <w:rPr>
          <w:rtl w:val="true"/>
        </w:rPr>
        <w:t>כן עלינו לקבוע</w:t>
      </w:r>
      <w:r>
        <w:rPr>
          <w:rtl w:val="true"/>
        </w:rPr>
        <w:t xml:space="preserve">, </w:t>
      </w:r>
      <w:r>
        <w:rPr>
          <w:rtl w:val="true"/>
        </w:rPr>
        <w:t>לאור ריבוי העבירות</w:t>
      </w:r>
      <w:r>
        <w:rPr>
          <w:rtl w:val="true"/>
        </w:rPr>
        <w:t xml:space="preserve">, </w:t>
      </w:r>
      <w:r>
        <w:rPr>
          <w:rtl w:val="true"/>
        </w:rPr>
        <w:t>האם נתייחס לכלל העבירות כאל אירוע אחד ונקבע בהתאם מתחם עונש אחד תוך גזירת עונש כולל לכל העבירות בשל אותו אירוע</w:t>
      </w:r>
      <w:r>
        <w:rPr>
          <w:rtl w:val="true"/>
        </w:rPr>
        <w:t xml:space="preserve">, </w:t>
      </w:r>
      <w:r>
        <w:rPr>
          <w:rtl w:val="true"/>
        </w:rPr>
        <w:t>או כאל מספר אירועים נפרדים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/>
        <w:t>14</w:t>
      </w:r>
      <w:r>
        <w:rPr>
          <w:rtl w:val="true"/>
        </w:rPr>
        <w:t xml:space="preserve">. </w:t>
        <w:tab/>
      </w:r>
      <w:r>
        <w:rPr>
          <w:rtl w:val="true"/>
        </w:rPr>
        <w:t>ראשית אציין</w:t>
      </w:r>
      <w:r>
        <w:rPr>
          <w:rtl w:val="true"/>
        </w:rPr>
        <w:t xml:space="preserve">, </w:t>
      </w:r>
      <w:r>
        <w:rPr>
          <w:rtl w:val="true"/>
        </w:rPr>
        <w:t>כי לפנינו שני אירועים שונים</w:t>
      </w:r>
      <w:r>
        <w:rPr>
          <w:rtl w:val="true"/>
        </w:rPr>
        <w:t xml:space="preserve">, </w:t>
      </w:r>
      <w:r>
        <w:rPr>
          <w:rtl w:val="true"/>
        </w:rPr>
        <w:t>המחייבים קביעת שני מתחמי ענישה</w:t>
      </w:r>
      <w:r>
        <w:rPr>
          <w:rtl w:val="true"/>
        </w:rPr>
        <w:t xml:space="preserve">. </w:t>
      </w:r>
      <w:r>
        <w:rPr>
          <w:rtl w:val="true"/>
        </w:rPr>
        <w:t>מחד קיים לנו אירוע הניסיון לרצח</w:t>
      </w:r>
      <w:r>
        <w:rPr>
          <w:rtl w:val="true"/>
        </w:rPr>
        <w:t xml:space="preserve">. </w:t>
      </w:r>
      <w:r>
        <w:rPr>
          <w:rtl w:val="true"/>
        </w:rPr>
        <w:t>אירוע זה כלל שימוש בנשק שלא כדין</w:t>
      </w:r>
      <w:r>
        <w:rPr>
          <w:rtl w:val="true"/>
        </w:rPr>
        <w:t xml:space="preserve">, </w:t>
      </w:r>
      <w:r>
        <w:rPr>
          <w:rtl w:val="true"/>
        </w:rPr>
        <w:t>לרבות החזקתו ונשיאתו</w:t>
      </w:r>
      <w:r>
        <w:rPr>
          <w:rtl w:val="true"/>
        </w:rPr>
        <w:t xml:space="preserve">, </w:t>
      </w:r>
      <w:r>
        <w:rPr>
          <w:rtl w:val="true"/>
        </w:rPr>
        <w:t>את עבירת הירי באיזור מגורים</w:t>
      </w:r>
      <w:r>
        <w:rPr>
          <w:rtl w:val="true"/>
        </w:rPr>
        <w:t xml:space="preserve">, </w:t>
      </w:r>
      <w:r>
        <w:rPr>
          <w:rtl w:val="true"/>
        </w:rPr>
        <w:t>ותוצאת הירי</w:t>
      </w:r>
      <w:r>
        <w:rPr>
          <w:rtl w:val="true"/>
        </w:rPr>
        <w:t xml:space="preserve">, </w:t>
      </w:r>
      <w:r>
        <w:rPr>
          <w:rtl w:val="true"/>
        </w:rPr>
        <w:t>שהיא גרימת חבלה חמורה בנסיבות מחמירות</w:t>
      </w:r>
      <w:r>
        <w:rPr>
          <w:rtl w:val="true"/>
        </w:rPr>
        <w:t xml:space="preserve">. </w:t>
      </w:r>
      <w:r>
        <w:rPr>
          <w:rtl w:val="true"/>
        </w:rPr>
        <w:t>לכל אלה נקבע מתחם עונש הולם אחד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/>
        <w:t>15</w:t>
      </w:r>
      <w:r>
        <w:rPr>
          <w:rtl w:val="true"/>
        </w:rPr>
        <w:t xml:space="preserve">. </w:t>
        <w:tab/>
      </w:r>
      <w:r>
        <w:rPr>
          <w:rtl w:val="true"/>
        </w:rPr>
        <w:t xml:space="preserve">בנוסף קיימת לנו העבירה נשוא האישום השלישי </w:t>
      </w:r>
      <w:r>
        <w:rPr>
          <w:rtl w:val="true"/>
        </w:rPr>
        <w:t xml:space="preserve">- </w:t>
      </w:r>
      <w:r>
        <w:rPr>
          <w:rtl w:val="true"/>
        </w:rPr>
        <w:t>שהינה עבירה נפרדת של שיבוש מהלכי משפט</w:t>
      </w:r>
      <w:r>
        <w:rPr>
          <w:rtl w:val="true"/>
        </w:rPr>
        <w:t xml:space="preserve">. </w:t>
      </w:r>
      <w:r>
        <w:rPr>
          <w:rtl w:val="true"/>
        </w:rPr>
        <w:t>עבירה זו נפרשה על פני תקופה ארוכה</w:t>
      </w:r>
      <w:r>
        <w:rPr>
          <w:rtl w:val="true"/>
        </w:rPr>
        <w:t xml:space="preserve">, </w:t>
      </w:r>
      <w:r>
        <w:rPr>
          <w:rtl w:val="true"/>
        </w:rPr>
        <w:t>אשר תחילתה קדמה לביצוע העבירות נשוא האישום השני</w:t>
      </w:r>
      <w:r>
        <w:rPr>
          <w:rtl w:val="true"/>
        </w:rPr>
        <w:t xml:space="preserve">, </w:t>
      </w:r>
      <w:r>
        <w:rPr>
          <w:rtl w:val="true"/>
        </w:rPr>
        <w:t>ונמשכה שנים רבות לאחריהן – בהן חמק הנאשם מפני המשטרה</w:t>
      </w:r>
      <w:r>
        <w:rPr>
          <w:rtl w:val="true"/>
        </w:rPr>
        <w:t xml:space="preserve">, </w:t>
      </w:r>
      <w:r>
        <w:rPr>
          <w:rtl w:val="true"/>
        </w:rPr>
        <w:t>וסיכל את ההליך התלוי נגדו</w:t>
      </w:r>
      <w:r>
        <w:rPr>
          <w:rtl w:val="true"/>
        </w:rPr>
        <w:t xml:space="preserve">. </w:t>
      </w:r>
      <w:r>
        <w:rPr>
          <w:rtl w:val="true"/>
        </w:rPr>
        <w:t xml:space="preserve">עבירה זו החלה בחודש מאי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עת ידע הנאשם  כי הוא נדרש לחקירה בשל חשדות הנוגעים לעבירה אחרת שיוחסה לו – עבירה ממנה זוכה על ידינו משום הספק</w:t>
      </w:r>
      <w:r>
        <w:rPr>
          <w:rtl w:val="true"/>
        </w:rPr>
        <w:t xml:space="preserve">. </w:t>
      </w:r>
      <w:r>
        <w:rPr>
          <w:rtl w:val="true"/>
        </w:rPr>
        <w:t>העבירה נמשכה גם כשנדרש הנאשם לחקירה בגין העבירות נשוא האישום השני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firstLine="720" w:end="0"/>
        <w:jc w:val="both"/>
        <w:rPr/>
      </w:pP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נדרשים אנו לקבוע גבי עבירה זו מתחם ענישה נפרד</w:t>
      </w:r>
      <w:r>
        <w:rPr>
          <w:rtl w:val="true"/>
        </w:rPr>
        <w:t>.</w:t>
      </w:r>
    </w:p>
    <w:p>
      <w:pPr>
        <w:pStyle w:val="Normal"/>
        <w:keepNext w:val="true"/>
        <w:spacing w:lineRule="auto" w:line="360" w:before="36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ח</w:t>
      </w:r>
      <w:r>
        <w:rPr>
          <w:b/>
          <w:bCs/>
          <w:u w:val="single"/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מתחם העונש ההולם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/>
        <w:t>16</w:t>
      </w:r>
      <w:r>
        <w:rPr>
          <w:rtl w:val="true"/>
        </w:rPr>
        <w:t xml:space="preserve">. </w:t>
        <w:tab/>
      </w:r>
      <w:r>
        <w:rPr>
          <w:rtl w:val="true"/>
        </w:rPr>
        <w:t>הערך החברתי המוגן בעבירות של רצח</w:t>
      </w:r>
      <w:r>
        <w:rPr>
          <w:rtl w:val="true"/>
        </w:rPr>
        <w:t xml:space="preserve">, </w:t>
      </w:r>
      <w:r>
        <w:rPr>
          <w:rtl w:val="true"/>
        </w:rPr>
        <w:t>והעבירה הנגזרת ממנו של ניסיון לרצח</w:t>
      </w:r>
      <w:r>
        <w:rPr>
          <w:rtl w:val="true"/>
        </w:rPr>
        <w:t xml:space="preserve">, </w:t>
      </w:r>
      <w:r>
        <w:rPr>
          <w:rtl w:val="true"/>
        </w:rPr>
        <w:t>הינו ערך קדושת החיים</w:t>
      </w:r>
      <w:r>
        <w:rPr>
          <w:rtl w:val="true"/>
        </w:rPr>
        <w:t xml:space="preserve">, </w:t>
      </w:r>
      <w:r>
        <w:rPr>
          <w:rtl w:val="true"/>
        </w:rPr>
        <w:t>שהינו מערכי היסוד החשובים של כל חברה אנושית מתוקנת</w:t>
      </w:r>
      <w:r>
        <w:rPr>
          <w:rtl w:val="true"/>
        </w:rPr>
        <w:t xml:space="preserve">. </w:t>
      </w:r>
      <w:r>
        <w:rPr>
          <w:rtl w:val="true"/>
        </w:rPr>
        <w:t>בכללו של ערך זה מצויה גם שאיפתה של החברה להגן על חייהם</w:t>
      </w:r>
      <w:r>
        <w:rPr>
          <w:rtl w:val="true"/>
        </w:rPr>
        <w:t xml:space="preserve">, </w:t>
      </w:r>
      <w:r>
        <w:rPr>
          <w:rtl w:val="true"/>
        </w:rPr>
        <w:t>שלמות גופם וביטחונם האישי של חבריה</w:t>
      </w:r>
      <w:r>
        <w:rPr>
          <w:rtl w:val="true"/>
        </w:rPr>
        <w:t xml:space="preserve">.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כל המנסה לקטול את זולתו</w:t>
      </w:r>
      <w:r>
        <w:rPr>
          <w:rtl w:val="true"/>
        </w:rPr>
        <w:t xml:space="preserve">, </w:t>
      </w:r>
      <w:r>
        <w:rPr>
          <w:rtl w:val="true"/>
        </w:rPr>
        <w:t>פוגע אנושות בערכי יסוד חברתיים אלה</w:t>
      </w:r>
      <w:r>
        <w:rPr>
          <w:rtl w:val="true"/>
        </w:rPr>
        <w:t xml:space="preserve">, </w:t>
      </w:r>
      <w:r>
        <w:rPr>
          <w:rtl w:val="true"/>
        </w:rPr>
        <w:t>תוך פגיעה בחברה כולה כחברה</w:t>
      </w:r>
      <w:r>
        <w:rPr>
          <w:rtl w:val="true"/>
        </w:rPr>
        <w:t xml:space="preserve">, </w:t>
      </w:r>
      <w:r>
        <w:rPr>
          <w:rtl w:val="true"/>
        </w:rPr>
        <w:t>וכל אחד מן הפרטים מהם היא מורכבת בנפרד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המנסה להמית את זולתו יוצר סיכון של ממש לערכי יסוד אלה</w:t>
      </w:r>
      <w:r>
        <w:rPr>
          <w:rtl w:val="true"/>
        </w:rPr>
        <w:t xml:space="preserve">. </w:t>
      </w:r>
      <w:r>
        <w:rPr>
          <w:rtl w:val="true"/>
        </w:rPr>
        <w:t>עבירת הניסיון לרצח כוללת בתוכה את יסוד הכוונה להמית</w:t>
      </w:r>
      <w:r>
        <w:rPr>
          <w:rtl w:val="true"/>
        </w:rPr>
        <w:t xml:space="preserve">, </w:t>
      </w:r>
      <w:r>
        <w:rPr>
          <w:rtl w:val="true"/>
        </w:rPr>
        <w:t xml:space="preserve">יסוד שאמנם לא התממש </w:t>
      </w:r>
      <w:r>
        <w:rPr>
          <w:rtl w:val="true"/>
        </w:rPr>
        <w:t xml:space="preserve">- </w:t>
      </w:r>
      <w:r>
        <w:rPr>
          <w:rtl w:val="true"/>
        </w:rPr>
        <w:t>אך המנסה להוציא כוונתו אל הפועל גילה כוונה לפגוע בערכים המוגנים של החיים ושלמות גופו של הקורבן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tl w:val="true"/>
        </w:rPr>
        <w:t>ומכאן אף נגזרת חומרתה הרבה של עבירת הניסיון לרצח</w:t>
      </w:r>
      <w:r>
        <w:rPr>
          <w:rtl w:val="true"/>
        </w:rPr>
        <w:t xml:space="preserve">, </w:t>
      </w:r>
      <w:r>
        <w:rPr>
          <w:rtl w:val="true"/>
        </w:rPr>
        <w:t>אשר בשונה מניסיון לביצוע עבירות אחרות</w:t>
      </w:r>
      <w:r>
        <w:rPr>
          <w:rtl w:val="true"/>
        </w:rPr>
        <w:t xml:space="preserve">, </w:t>
      </w:r>
      <w:r>
        <w:rPr>
          <w:rtl w:val="true"/>
        </w:rPr>
        <w:t>נקבעה</w:t>
      </w:r>
      <w:r>
        <w:rPr>
          <w:rtl w:val="true"/>
        </w:rPr>
        <w:t xml:space="preserve">- </w:t>
      </w:r>
      <w:r>
        <w:rPr>
          <w:rtl w:val="true"/>
        </w:rPr>
        <w:t xml:space="preserve">חרף היותה עבירת נסיון </w:t>
      </w:r>
      <w:r>
        <w:rPr>
          <w:rtl w:val="true"/>
        </w:rPr>
        <w:t xml:space="preserve">- </w:t>
      </w:r>
      <w:r>
        <w:rPr>
          <w:rtl w:val="true"/>
        </w:rPr>
        <w:t xml:space="preserve">כעבירה מושלמת לפי </w:t>
      </w:r>
      <w:hyperlink r:id="rId39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305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ראה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5797/11</w:t>
        </w:r>
      </w:hyperlink>
      <w:r>
        <w:rPr>
          <w:rtl w:val="true"/>
        </w:rPr>
        <w:t xml:space="preserve">  </w:t>
      </w:r>
      <w:r>
        <w:rPr>
          <w:b/>
          <w:b/>
          <w:bCs/>
          <w:rtl w:val="true"/>
        </w:rPr>
        <w:t>צסן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5.8.12</w:t>
      </w:r>
      <w:r>
        <w:rPr>
          <w:rtl w:val="true"/>
        </w:rPr>
        <w:t>)).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/>
        <w:t>17</w:t>
      </w:r>
      <w:r>
        <w:rPr>
          <w:rtl w:val="true"/>
        </w:rPr>
        <w:t xml:space="preserve">.  </w:t>
        <w:tab/>
      </w:r>
      <w:r>
        <w:rPr>
          <w:rtl w:val="true"/>
        </w:rPr>
        <w:t>ניסיון הרצח נעשה במקרה שלפנינו תוך קשירת קשר לביצוע פשע על ידי ארבעה</w:t>
      </w:r>
      <w:r>
        <w:rPr>
          <w:rtl w:val="true"/>
        </w:rPr>
        <w:t xml:space="preserve">, </w:t>
      </w:r>
      <w:r>
        <w:rPr>
          <w:rtl w:val="true"/>
        </w:rPr>
        <w:t>אשר הצטיידו בכלי נשק קטלניים</w:t>
      </w:r>
      <w:r>
        <w:rPr>
          <w:rtl w:val="true"/>
        </w:rPr>
        <w:t xml:space="preserve">, </w:t>
      </w:r>
      <w:r>
        <w:rPr>
          <w:rtl w:val="true"/>
        </w:rPr>
        <w:t>אשר כל אחד מהם בנפרד בכוחו להמית אדם</w:t>
      </w:r>
      <w:r>
        <w:rPr>
          <w:rtl w:val="true"/>
        </w:rPr>
        <w:t xml:space="preserve">, </w:t>
      </w:r>
      <w:r>
        <w:rPr>
          <w:rtl w:val="true"/>
        </w:rPr>
        <w:t>תוך ביצוע מארב מתוכנן וירי של קליעי תחמושת רבים לעבר מכוניתם של המתלוננים</w:t>
      </w:r>
      <w:r>
        <w:rPr>
          <w:rtl w:val="true"/>
        </w:rPr>
        <w:t xml:space="preserve">, </w:t>
      </w:r>
      <w:r>
        <w:rPr>
          <w:rtl w:val="true"/>
        </w:rPr>
        <w:t>תוך כוונה להמיתם</w:t>
      </w:r>
      <w:r>
        <w:rPr>
          <w:rtl w:val="true"/>
        </w:rPr>
        <w:t xml:space="preserve">. </w:t>
      </w:r>
      <w:r>
        <w:rPr>
          <w:rtl w:val="true"/>
        </w:rPr>
        <w:t>אגב כך</w:t>
      </w:r>
      <w:r>
        <w:rPr>
          <w:rtl w:val="true"/>
        </w:rPr>
        <w:t xml:space="preserve">, </w:t>
      </w:r>
      <w:r>
        <w:rPr>
          <w:rtl w:val="true"/>
        </w:rPr>
        <w:t>נפגע המתלונן עלי</w:t>
      </w:r>
      <w:r>
        <w:rPr>
          <w:rtl w:val="true"/>
        </w:rPr>
        <w:t xml:space="preserve">, </w:t>
      </w:r>
      <w:r>
        <w:rPr>
          <w:rtl w:val="true"/>
        </w:rPr>
        <w:t>ונגרמו לו חבלות קשות בשתי גפיו התחתונות</w:t>
      </w:r>
      <w:r>
        <w:rPr>
          <w:rtl w:val="true"/>
        </w:rPr>
        <w:t xml:space="preserve">. </w:t>
      </w:r>
      <w:r>
        <w:rPr>
          <w:rtl w:val="true"/>
        </w:rPr>
        <w:t>הערכים החברתיים אשר נפגעו כאן הינם ערכי החיים</w:t>
      </w:r>
      <w:r>
        <w:rPr>
          <w:rtl w:val="true"/>
        </w:rPr>
        <w:t xml:space="preserve">, </w:t>
      </w:r>
      <w:r>
        <w:rPr>
          <w:rtl w:val="true"/>
        </w:rPr>
        <w:t>שלמות הגוף והביטחון וכך גם הערכים המוגנים בעבירה של חבלה חמורה בנסיבות מחמירות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/>
        <w:t>18</w:t>
      </w:r>
      <w:r>
        <w:rPr>
          <w:rtl w:val="true"/>
        </w:rPr>
        <w:t xml:space="preserve">. </w:t>
        <w:tab/>
      </w:r>
      <w:r>
        <w:rPr>
          <w:rtl w:val="true"/>
        </w:rPr>
        <w:t>באת כוח המאשימה הפנתה תשומת לבנו למספר פסקי דין</w:t>
      </w:r>
      <w:r>
        <w:rPr>
          <w:rtl w:val="true"/>
        </w:rPr>
        <w:t xml:space="preserve">, </w:t>
      </w:r>
      <w:r>
        <w:rPr>
          <w:rtl w:val="true"/>
        </w:rPr>
        <w:t>מהם עולה התייחסות הפסיקה לעבירות מעין אלה</w:t>
      </w:r>
      <w:r>
        <w:rPr>
          <w:rtl w:val="true"/>
        </w:rPr>
        <w:t xml:space="preserve">, </w:t>
      </w:r>
      <w:r>
        <w:rPr>
          <w:rtl w:val="true"/>
        </w:rPr>
        <w:t>הנעברות תמיד כמכלול אחד</w:t>
      </w:r>
      <w:r>
        <w:rPr>
          <w:rtl w:val="true"/>
        </w:rPr>
        <w:t xml:space="preserve">, </w:t>
      </w:r>
      <w:r>
        <w:rPr>
          <w:rtl w:val="true"/>
        </w:rPr>
        <w:t>כאשר ברבים מן המקרים</w:t>
      </w:r>
      <w:r>
        <w:rPr>
          <w:rtl w:val="true"/>
        </w:rPr>
        <w:t xml:space="preserve">, </w:t>
      </w:r>
      <w:r>
        <w:rPr>
          <w:rtl w:val="true"/>
        </w:rPr>
        <w:t>גם אם לא הוצאה כוונת הקטילה מן הכוח אל הפועל</w:t>
      </w:r>
      <w:r>
        <w:rPr>
          <w:rtl w:val="true"/>
        </w:rPr>
        <w:t xml:space="preserve">, </w:t>
      </w:r>
      <w:r>
        <w:rPr>
          <w:rtl w:val="true"/>
        </w:rPr>
        <w:t>עדיין נגרמו לקורבן פגיעות גופניות קשות וחמורות</w:t>
      </w:r>
      <w:r>
        <w:rPr>
          <w:rtl w:val="true"/>
        </w:rPr>
        <w:t xml:space="preserve">, </w:t>
      </w:r>
      <w:r>
        <w:rPr>
          <w:rtl w:val="true"/>
        </w:rPr>
        <w:t>כפי שהתרחש במקרה שלפנינו בו נפגע עלי קשות ברגליו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tl w:val="true"/>
        </w:rPr>
        <w:t>באת כוח המאשימה המציאה לעיוננו מספר פסקי דין מהם ניתן ללמוד על מדיניות הענישה הנוהגת והמשתנה לפי הנסיבות השונות של כל אירוע ואירוע</w:t>
      </w:r>
      <w:r>
        <w:rPr>
          <w:rtl w:val="true"/>
        </w:rPr>
        <w:t xml:space="preserve">, </w:t>
      </w:r>
      <w:r>
        <w:rPr>
          <w:rtl w:val="true"/>
        </w:rPr>
        <w:t>מידת החומרה שיש לייחס לכל מעשה עבירה בנפרד</w:t>
      </w:r>
      <w:r>
        <w:rPr>
          <w:rtl w:val="true"/>
        </w:rPr>
        <w:t xml:space="preserve">, </w:t>
      </w:r>
      <w:r>
        <w:rPr>
          <w:rtl w:val="true"/>
        </w:rPr>
        <w:t>על פי נסיבותיו המיוחדות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מתחם העונש ההולם נע במקרה שלפנינו בין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 מאסר על כל העבירות נשוא האישום השני כמכלול אחד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/>
        <w:t>19</w:t>
      </w:r>
      <w:r>
        <w:rPr>
          <w:rtl w:val="true"/>
        </w:rPr>
        <w:t xml:space="preserve">. </w:t>
        <w:tab/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 xml:space="preserve">כי זה לא מכבר הזדמן לנו </w:t>
      </w:r>
      <w:r>
        <w:rPr>
          <w:rtl w:val="true"/>
        </w:rPr>
        <w:t>(</w:t>
      </w:r>
      <w:r>
        <w:rPr>
          <w:rtl w:val="true"/>
        </w:rPr>
        <w:t>בהרכב שונה במקצת</w:t>
      </w:r>
      <w:r>
        <w:rPr>
          <w:rtl w:val="true"/>
        </w:rPr>
        <w:t xml:space="preserve">) </w:t>
      </w:r>
      <w:r>
        <w:rPr>
          <w:rtl w:val="true"/>
        </w:rPr>
        <w:t xml:space="preserve">לסקור את הפסיקה הנוהגת בעבירה של ניסיון לרצח </w:t>
      </w:r>
      <w:r>
        <w:rPr>
          <w:rtl w:val="true"/>
        </w:rPr>
        <w:t>(</w:t>
      </w:r>
      <w:r>
        <w:rPr>
          <w:rtl w:val="true"/>
        </w:rPr>
        <w:t>הפעם תוך שימוש בסכין נגד קרבן אחד</w:t>
      </w:r>
      <w:r>
        <w:rPr>
          <w:rtl w:val="true"/>
        </w:rPr>
        <w:t xml:space="preserve">) </w:t>
      </w:r>
      <w:r>
        <w:rPr>
          <w:rtl w:val="true"/>
        </w:rPr>
        <w:t>בנסיבות שמידת חומרתן דומה לחומרת המעשה שלפנינו</w:t>
      </w:r>
      <w:r>
        <w:rPr>
          <w:rtl w:val="true"/>
        </w:rPr>
        <w:t xml:space="preserve">. </w:t>
      </w:r>
      <w:r>
        <w:rPr>
          <w:rtl w:val="true"/>
        </w:rPr>
        <w:t>בגזר הדין</w:t>
      </w:r>
      <w:r>
        <w:rPr>
          <w:rtl w:val="true"/>
        </w:rPr>
        <w:t xml:space="preserve">, </w:t>
      </w:r>
      <w:r>
        <w:rPr>
          <w:rtl w:val="true"/>
        </w:rPr>
        <w:t>שהינו פרי קולמוסה של חברתנו</w:t>
      </w:r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 א</w:t>
      </w:r>
      <w:r>
        <w:rPr>
          <w:rtl w:val="true"/>
        </w:rPr>
        <w:t xml:space="preserve">' </w:t>
      </w:r>
      <w:r>
        <w:rPr>
          <w:rtl w:val="true"/>
        </w:rPr>
        <w:t>הלמן</w:t>
      </w:r>
      <w:r>
        <w:rPr>
          <w:rtl w:val="true"/>
        </w:rPr>
        <w:t>, (</w:t>
      </w:r>
      <w:hyperlink r:id="rId42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ח </w:t>
        </w:r>
        <w:r>
          <w:rPr>
            <w:rStyle w:val="Hyperlink"/>
            <w:color w:val="0000FF"/>
            <w:u w:val="single"/>
          </w:rPr>
          <w:t>18515-08-13</w:t>
        </w:r>
      </w:hyperlink>
      <w:r>
        <w:rPr>
          <w:rtl w:val="true"/>
        </w:rPr>
        <w:t xml:space="preserve"> [ </w:t>
      </w:r>
      <w:r>
        <w:rPr/>
        <w:t>12.12.14</w:t>
      </w:r>
      <w:r>
        <w:rPr>
          <w:rtl w:val="true"/>
        </w:rPr>
        <w:t xml:space="preserve">]) </w:t>
      </w:r>
      <w:r>
        <w:rPr>
          <w:rtl w:val="true"/>
        </w:rPr>
        <w:t>פורטה רשימה ארוכה של גזרי דין</w:t>
      </w:r>
      <w:r>
        <w:rPr>
          <w:rtl w:val="true"/>
        </w:rPr>
        <w:t xml:space="preserve">, </w:t>
      </w:r>
      <w:r>
        <w:rPr>
          <w:rtl w:val="true"/>
        </w:rPr>
        <w:t xml:space="preserve">בהם נגזרו בין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 מאסר על נאשמים שהורשעו בעבירות של ניסיון ברצח ועבירות נלוות</w:t>
      </w:r>
      <w:r>
        <w:rPr>
          <w:rtl w:val="true"/>
        </w:rPr>
        <w:t xml:space="preserve">. </w:t>
      </w:r>
      <w:r>
        <w:rPr>
          <w:rtl w:val="true"/>
        </w:rPr>
        <w:t>איני רואה מקום וצורך לחזור על הפסיקה שהובאה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כל מקרה ונסיבותיו הוא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tl w:val="true"/>
        </w:rPr>
        <w:t>פסיקה אמפירית עשויה להעניק לשופט כלי הערכה</w:t>
      </w:r>
      <w:r>
        <w:rPr>
          <w:rtl w:val="true"/>
        </w:rPr>
        <w:t xml:space="preserve">, </w:t>
      </w:r>
      <w:r>
        <w:rPr>
          <w:rtl w:val="true"/>
        </w:rPr>
        <w:t>אשר בהצטברם לנסיבות הקונקרטיות שלפנינו</w:t>
      </w:r>
      <w:r>
        <w:rPr>
          <w:rtl w:val="true"/>
        </w:rPr>
        <w:t xml:space="preserve">, </w:t>
      </w:r>
      <w:r>
        <w:rPr>
          <w:rtl w:val="true"/>
        </w:rPr>
        <w:t xml:space="preserve">ובחינתם לאור הנסיבות המפורטות </w:t>
      </w:r>
      <w:hyperlink r:id="rId43">
        <w:r>
          <w:rPr>
            <w:rStyle w:val="Hyperlink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יתנו לנו ארגז כלים הולם לקביעת מתחם העונש ההולם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firstLine="720" w:end="0"/>
        <w:jc w:val="both"/>
        <w:rPr/>
      </w:pPr>
      <w:r>
        <w:rPr>
          <w:rtl w:val="true"/>
        </w:rPr>
        <w:t>להלן נבחן את נסיבותיהן של העבירות אותן עבר הנאשם</w:t>
      </w:r>
      <w:r>
        <w:rPr>
          <w:rtl w:val="true"/>
        </w:rPr>
        <w:t>:</w:t>
      </w:r>
    </w:p>
    <w:p>
      <w:pPr>
        <w:pStyle w:val="Normal"/>
        <w:spacing w:lineRule="auto" w:line="360" w:before="0" w:after="12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u w:val="single"/>
          <w:rtl w:val="true"/>
        </w:rPr>
        <w:t>התכנון שקדם לביצוע העבירה</w:t>
      </w:r>
      <w:r>
        <w:rPr>
          <w:rtl w:val="true"/>
        </w:rPr>
        <w:t xml:space="preserve"> – רואים אנו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החוברים יחדיו לביצוע מעשה עבירה</w:t>
      </w:r>
      <w:r>
        <w:rPr>
          <w:rtl w:val="true"/>
        </w:rPr>
        <w:t xml:space="preserve">, </w:t>
      </w:r>
      <w:r>
        <w:rPr>
          <w:rtl w:val="true"/>
        </w:rPr>
        <w:t>תוך שהם מצטיידים בכלי נשק רבי עוצמה ומתכננים ביצוע מארב לקורבנותיהם בעיקול הדרך בה נוסעים הם מדי ערב</w:t>
      </w:r>
      <w:r>
        <w:rPr>
          <w:rtl w:val="true"/>
        </w:rPr>
        <w:t xml:space="preserve">. </w:t>
      </w:r>
      <w:r>
        <w:rPr>
          <w:rtl w:val="true"/>
        </w:rPr>
        <w:t>מדובר בתכנון מדוקדק לפרטיו</w:t>
      </w:r>
      <w:r>
        <w:rPr>
          <w:rtl w:val="true"/>
        </w:rPr>
        <w:t xml:space="preserve">, </w:t>
      </w:r>
      <w:r>
        <w:rPr>
          <w:rtl w:val="true"/>
        </w:rPr>
        <w:t>באופן המעיד על נחישות ותעוזה בחתירה אל המטרה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>
          <w:u w:val="single"/>
          <w:rtl w:val="true"/>
        </w:rPr>
        <w:t>חלקו היחסי של הנאשם בביצוע העבירה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הנאשם היה אחד מארבעה מבצעים עיקריים של העבירה אשר נטל חלק פעיל במעשי ההכנה והירי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u w:val="single"/>
          <w:rtl w:val="true"/>
        </w:rPr>
        <w:t>הנזק הצפוי מביצוע העבירה</w:t>
      </w:r>
      <w:r>
        <w:rPr>
          <w:rtl w:val="true"/>
        </w:rPr>
        <w:t xml:space="preserve"> – אין צורך להכביר מילים באשר לתוצאה הטבעית האמורה לנבוע מירי מסיבי של ארבעה כלי נשק קטלניים לעבר יושבי מכונית</w:t>
      </w:r>
      <w:r>
        <w:rPr>
          <w:rtl w:val="true"/>
        </w:rPr>
        <w:t xml:space="preserve">, </w:t>
      </w:r>
      <w:r>
        <w:rPr>
          <w:rtl w:val="true"/>
        </w:rPr>
        <w:t>החולפת בסמוך ליורים</w:t>
      </w:r>
      <w:r>
        <w:rPr>
          <w:rtl w:val="true"/>
        </w:rPr>
        <w:t xml:space="preserve">, </w:t>
      </w:r>
      <w:r>
        <w:rPr>
          <w:rtl w:val="true"/>
        </w:rPr>
        <w:t>בטווח קצר ובמהירות איטית עקב עיקול הדרך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  <w:tab/>
      </w:r>
      <w:r>
        <w:rPr>
          <w:u w:val="single"/>
          <w:rtl w:val="true"/>
        </w:rPr>
        <w:t xml:space="preserve">הנזק אשר נגרם בפועל </w:t>
      </w:r>
      <w:r>
        <w:rPr>
          <w:rtl w:val="true"/>
        </w:rPr>
        <w:t>– הנזק אשר נגרם בפועל היה פגיעת קליעים ברגליו של עלי</w:t>
      </w:r>
      <w:r>
        <w:rPr>
          <w:rtl w:val="true"/>
        </w:rPr>
        <w:t xml:space="preserve">, </w:t>
      </w:r>
      <w:r>
        <w:rPr>
          <w:rtl w:val="true"/>
        </w:rPr>
        <w:t>אשר הצריכו אשפוז רפואי למשך שבעה ימים</w:t>
      </w:r>
      <w:r>
        <w:rPr>
          <w:rtl w:val="true"/>
        </w:rPr>
        <w:t xml:space="preserve">. </w:t>
      </w:r>
      <w:r>
        <w:rPr>
          <w:rtl w:val="true"/>
        </w:rPr>
        <w:t>בנס לא נגרם נזק אחר</w:t>
      </w:r>
      <w:r>
        <w:rPr>
          <w:rtl w:val="true"/>
        </w:rPr>
        <w:t xml:space="preserve">, </w:t>
      </w:r>
      <w:r>
        <w:rPr>
          <w:rtl w:val="true"/>
        </w:rPr>
        <w:t>או חמור יותר</w:t>
      </w:r>
      <w:r>
        <w:rPr>
          <w:rtl w:val="true"/>
        </w:rPr>
        <w:t xml:space="preserve">, </w:t>
      </w:r>
      <w:r>
        <w:rPr>
          <w:rtl w:val="true"/>
        </w:rPr>
        <w:t>לנוסעי המכונית האחרים</w:t>
      </w:r>
      <w:r>
        <w:rPr>
          <w:rtl w:val="true"/>
        </w:rPr>
        <w:t xml:space="preserve">. </w:t>
      </w:r>
      <w:r>
        <w:rPr>
          <w:rtl w:val="true"/>
        </w:rPr>
        <w:t>למכונית נגרם נזק כבד מעשרות קליעים שחוררו את דפנותיה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 xml:space="preserve">. </w:t>
        <w:tab/>
      </w:r>
      <w:r>
        <w:rPr>
          <w:u w:val="single"/>
          <w:rtl w:val="true"/>
        </w:rPr>
        <w:t xml:space="preserve">הסיבות אשר הביאו לביצוע העבירה </w:t>
      </w:r>
      <w:r>
        <w:rPr>
          <w:rtl w:val="true"/>
        </w:rPr>
        <w:t>– סיבות אלה לא הובהרו די צרכן</w:t>
      </w:r>
      <w:r>
        <w:rPr>
          <w:rtl w:val="true"/>
        </w:rPr>
        <w:t xml:space="preserve">. </w:t>
      </w:r>
      <w:r>
        <w:rPr>
          <w:rtl w:val="true"/>
        </w:rPr>
        <w:t>נראה שעקב מריבה של מה בכך</w:t>
      </w:r>
      <w:r>
        <w:rPr>
          <w:rtl w:val="true"/>
        </w:rPr>
        <w:t xml:space="preserve">, </w:t>
      </w:r>
      <w:r>
        <w:rPr>
          <w:rtl w:val="true"/>
        </w:rPr>
        <w:t>פרץ סכסוך דמים בין המשפחות – סכסוך אשר הלך והסלים עד כדי מלחמה של ממש בין המשפחות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 xml:space="preserve">. </w:t>
        <w:tab/>
      </w:r>
      <w:r>
        <w:rPr>
          <w:u w:val="single"/>
          <w:rtl w:val="true"/>
        </w:rPr>
        <w:t>נתונים נוספים</w:t>
      </w:r>
      <w:r>
        <w:rPr>
          <w:rtl w:val="true"/>
        </w:rPr>
        <w:t xml:space="preserve"> –</w:t>
      </w:r>
      <w:r>
        <w:rPr>
          <w:rtl w:val="true"/>
        </w:rPr>
        <w:tab/>
      </w:r>
      <w:r>
        <w:rPr>
          <w:rtl w:val="true"/>
        </w:rPr>
        <w:t>נראה כי הנאשם הבין היטב את ערך מעשיו</w:t>
      </w:r>
      <w:r>
        <w:rPr>
          <w:rtl w:val="true"/>
        </w:rPr>
        <w:t xml:space="preserve">, </w:t>
      </w:r>
      <w:r>
        <w:rPr>
          <w:rtl w:val="true"/>
        </w:rPr>
        <w:t>את הפסול שבהם ושמעם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המעשים נעשו באופן מתוכנן</w:t>
      </w:r>
      <w:r>
        <w:rPr>
          <w:rtl w:val="true"/>
        </w:rPr>
        <w:t xml:space="preserve">, </w:t>
      </w:r>
      <w:r>
        <w:rPr>
          <w:rtl w:val="true"/>
        </w:rPr>
        <w:t>אשר עלול היה לגרום לקורבנות לפצעי ירי רבים</w:t>
      </w:r>
      <w:r>
        <w:rPr>
          <w:rtl w:val="true"/>
        </w:rPr>
        <w:t xml:space="preserve">, </w:t>
      </w:r>
      <w:r>
        <w:rPr>
          <w:rtl w:val="true"/>
        </w:rPr>
        <w:t>לכל אחד מהם בנפרד</w:t>
      </w:r>
      <w:r>
        <w:rPr>
          <w:rtl w:val="true"/>
        </w:rPr>
        <w:t xml:space="preserve">, </w:t>
      </w:r>
      <w:r>
        <w:rPr>
          <w:rtl w:val="true"/>
        </w:rPr>
        <w:t>לנכות ולמוות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/>
        <w:t>20</w:t>
      </w:r>
      <w:r>
        <w:rPr>
          <w:rtl w:val="true"/>
        </w:rPr>
        <w:t xml:space="preserve">. </w:t>
        <w:tab/>
      </w:r>
      <w:r>
        <w:rPr>
          <w:rtl w:val="true"/>
        </w:rPr>
        <w:t>לאחר בחינת מכלול כל השיקולים שלעיל</w:t>
      </w:r>
      <w:r>
        <w:rPr>
          <w:rtl w:val="true"/>
        </w:rPr>
        <w:t xml:space="preserve">, </w:t>
      </w:r>
      <w:r>
        <w:rPr>
          <w:rtl w:val="true"/>
        </w:rPr>
        <w:t>סבורני כי מתחם הענישה המוצע על ידי המאשימה</w:t>
      </w:r>
      <w:r>
        <w:rPr>
          <w:rtl w:val="true"/>
        </w:rPr>
        <w:t xml:space="preserve">, </w:t>
      </w:r>
      <w:r>
        <w:rPr>
          <w:rtl w:val="true"/>
        </w:rPr>
        <w:t>הולם ואף נוטה לצד הקולא</w:t>
      </w:r>
      <w:r>
        <w:rPr>
          <w:rtl w:val="true"/>
        </w:rPr>
        <w:t xml:space="preserve">. </w:t>
      </w:r>
      <w:r>
        <w:rPr>
          <w:rtl w:val="true"/>
        </w:rPr>
        <w:t>על כן אני מציע לחבריי כי נקבע כי מתחם הענישה ההולם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tl w:val="true"/>
        </w:rPr>
        <w:t xml:space="preserve">, </w:t>
      </w:r>
      <w:r>
        <w:rPr>
          <w:rtl w:val="true"/>
        </w:rPr>
        <w:t>בנסיבותינו</w:t>
      </w:r>
      <w:r>
        <w:rPr>
          <w:rtl w:val="true"/>
        </w:rPr>
        <w:t xml:space="preserve">, </w:t>
      </w:r>
      <w:r>
        <w:rPr>
          <w:rtl w:val="true"/>
        </w:rPr>
        <w:t xml:space="preserve">בין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>.</w:t>
      </w:r>
    </w:p>
    <w:p>
      <w:pPr>
        <w:pStyle w:val="Normal"/>
        <w:keepNext w:val="true"/>
        <w:spacing w:lineRule="auto" w:line="360" w:before="36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</w:t>
      </w:r>
      <w:r>
        <w:rPr>
          <w:b/>
          <w:bCs/>
          <w:u w:val="single"/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 xml:space="preserve">קביעת העונש 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/>
        <w:t>21</w:t>
      </w:r>
      <w:r>
        <w:rPr>
          <w:rtl w:val="true"/>
        </w:rPr>
        <w:t xml:space="preserve">. </w:t>
        <w:tab/>
      </w:r>
      <w:r>
        <w:rPr>
          <w:rtl w:val="true"/>
        </w:rPr>
        <w:t>עונשו של הנאשם ייגזר בתוך מתחם העונש ההולם</w:t>
      </w:r>
      <w:r>
        <w:rPr>
          <w:rtl w:val="true"/>
        </w:rPr>
        <w:t xml:space="preserve">, </w:t>
      </w:r>
      <w:r>
        <w:rPr>
          <w:rtl w:val="true"/>
        </w:rPr>
        <w:t>תוך התחשבות בנסיבות שאינן קשורות בביצוע העבירה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tl w:val="true"/>
        </w:rPr>
        <w:t>לצד הקולא לא נמצאו נסיבות רבות</w:t>
      </w:r>
      <w:r>
        <w:rPr>
          <w:rtl w:val="true"/>
        </w:rPr>
        <w:t xml:space="preserve">, </w:t>
      </w:r>
      <w:r>
        <w:rPr>
          <w:rtl w:val="true"/>
        </w:rPr>
        <w:t>פרט לגילו הצעיר של הנאשם והעובדה כי הורשע פעם אחת בעבר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לצד החומרה יש לשקול את אי הבעת הצער מצד הנאשם</w:t>
      </w:r>
      <w:r>
        <w:rPr>
          <w:rtl w:val="true"/>
        </w:rPr>
        <w:t xml:space="preserve">, </w:t>
      </w:r>
      <w:r>
        <w:rPr>
          <w:rtl w:val="true"/>
        </w:rPr>
        <w:t>אשר קיבל את זכות המילה האחרונה אך לא ניצלה באופן המשקף</w:t>
      </w:r>
      <w:r>
        <w:rPr>
          <w:rtl w:val="true"/>
        </w:rPr>
        <w:t xml:space="preserve"> </w:t>
      </w:r>
      <w:r>
        <w:rPr>
          <w:rtl w:val="true"/>
        </w:rPr>
        <w:t>הכלת הרע שבמעשיו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פרט לאופיים הקשה של מעשיו</w:t>
      </w:r>
      <w:r>
        <w:rPr>
          <w:rtl w:val="true"/>
        </w:rPr>
        <w:t xml:space="preserve">, </w:t>
      </w:r>
      <w:r>
        <w:rPr>
          <w:rtl w:val="true"/>
        </w:rPr>
        <w:t>אשר שימשו לנו כאמות מידה לקביעת מתחם הענישה ההולם</w:t>
      </w:r>
      <w:r>
        <w:rPr>
          <w:rtl w:val="true"/>
        </w:rPr>
        <w:t xml:space="preserve">, </w:t>
      </w:r>
      <w:r>
        <w:rPr>
          <w:rtl w:val="true"/>
        </w:rPr>
        <w:t>הרי נראה כי הנאשם ובני משפחתו הטילו באופן כלשהוא</w:t>
      </w:r>
      <w:r>
        <w:rPr>
          <w:rtl w:val="true"/>
        </w:rPr>
        <w:t xml:space="preserve">, </w:t>
      </w:r>
      <w:r>
        <w:rPr>
          <w:rtl w:val="true"/>
        </w:rPr>
        <w:t>את חתיתם על קורבנותיהם</w:t>
      </w:r>
      <w:r>
        <w:rPr>
          <w:rtl w:val="true"/>
        </w:rPr>
        <w:t xml:space="preserve">. </w:t>
      </w:r>
      <w:r>
        <w:rPr>
          <w:rtl w:val="true"/>
        </w:rPr>
        <w:t>אלה הובאו</w:t>
      </w:r>
      <w:r>
        <w:rPr>
          <w:rtl w:val="true"/>
        </w:rPr>
        <w:t xml:space="preserve">, </w:t>
      </w:r>
      <w:r>
        <w:rPr>
          <w:rtl w:val="true"/>
        </w:rPr>
        <w:t>על כורחם</w:t>
      </w:r>
      <w:r>
        <w:rPr>
          <w:rtl w:val="true"/>
        </w:rPr>
        <w:t xml:space="preserve">, </w:t>
      </w:r>
      <w:r>
        <w:rPr>
          <w:rtl w:val="true"/>
        </w:rPr>
        <w:t>לאולם בית המשפט</w:t>
      </w:r>
      <w:r>
        <w:rPr>
          <w:rtl w:val="true"/>
        </w:rPr>
        <w:t xml:space="preserve">, </w:t>
      </w:r>
      <w:r>
        <w:rPr>
          <w:rtl w:val="true"/>
        </w:rPr>
        <w:t>התייצבו על דוכן העדים כעלה נידף וסירבו להעיד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firstLine="720" w:end="0"/>
        <w:jc w:val="both"/>
        <w:rPr/>
      </w:pPr>
      <w:r>
        <w:rPr>
          <w:rtl w:val="true"/>
        </w:rPr>
        <w:t xml:space="preserve">מבטיו של הנאשם הצמיתו את העדים </w:t>
      </w:r>
      <w:r>
        <w:rPr>
          <w:rtl w:val="true"/>
        </w:rPr>
        <w:t xml:space="preserve">- </w:t>
      </w:r>
      <w:r>
        <w:rPr>
          <w:rtl w:val="true"/>
        </w:rPr>
        <w:t>ולימדונו על המסוכנות הטמונה בו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/>
        <w:t>22</w:t>
      </w:r>
      <w:r>
        <w:rPr>
          <w:rtl w:val="true"/>
        </w:rPr>
        <w:t xml:space="preserve">. 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הסניגור ניסה להכוויננו לקביעת רף ענישה נמוך בהרבה – רף הנגזר מן העונשים שהושתו על שותפיו של הנאשם בהליך קודם ומעיקרון אחידות 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איני סבור כי יש לגזור גזירה שווה בין גזרי הדין שנגזרו על שותפיו של הנאשם</w:t>
      </w:r>
      <w:r>
        <w:rPr>
          <w:rtl w:val="true"/>
        </w:rPr>
        <w:t xml:space="preserve">, </w:t>
      </w:r>
      <w:r>
        <w:rPr>
          <w:rtl w:val="true"/>
        </w:rPr>
        <w:t>הגם שאלה נדונו בשל אותם מעשים גופם</w:t>
      </w:r>
      <w:r>
        <w:rPr>
          <w:rtl w:val="true"/>
        </w:rPr>
        <w:t xml:space="preserve">, </w:t>
      </w:r>
      <w:r>
        <w:rPr>
          <w:rtl w:val="true"/>
        </w:rPr>
        <w:t>בהם הורשע הנאשם</w:t>
      </w:r>
      <w:r>
        <w:rPr>
          <w:rtl w:val="true"/>
        </w:rPr>
        <w:t xml:space="preserve">. </w:t>
      </w:r>
      <w:r>
        <w:rPr>
          <w:rtl w:val="true"/>
        </w:rPr>
        <w:t>ההבדל ביניהם הוא בסוג העבירות בהן הם הורשעו</w:t>
      </w:r>
      <w:r>
        <w:rPr>
          <w:rtl w:val="true"/>
        </w:rPr>
        <w:t xml:space="preserve">, </w:t>
      </w:r>
      <w:r>
        <w:rPr>
          <w:rtl w:val="true"/>
        </w:rPr>
        <w:t>בהסתמך על כתב אישום מתוקן שהוגש נגדם על ידי הפרקליטות במסגרת של הסדר טיעון וכן בקשיים הראייתיים שנקיימו לגבי אותם אחרים</w:t>
      </w:r>
      <w:r>
        <w:rPr>
          <w:rtl w:val="true"/>
        </w:rPr>
        <w:t xml:space="preserve">, </w:t>
      </w:r>
      <w:r>
        <w:rPr>
          <w:rtl w:val="true"/>
        </w:rPr>
        <w:t>כפי שהוצהר מפי ב</w:t>
      </w:r>
      <w:r>
        <w:rPr>
          <w:rtl w:val="true"/>
        </w:rPr>
        <w:t>"</w:t>
      </w:r>
      <w:r>
        <w:rPr>
          <w:rtl w:val="true"/>
        </w:rPr>
        <w:t>כ המאשימה בדיון בו נתקבל ההסדר הנ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/>
        <w:t>23</w:t>
      </w:r>
      <w:r>
        <w:rPr>
          <w:rtl w:val="true"/>
        </w:rPr>
        <w:t xml:space="preserve">. </w:t>
        <w:tab/>
      </w:r>
      <w:r>
        <w:rPr>
          <w:rtl w:val="true"/>
        </w:rPr>
        <w:t>כבר נפסק לא אחת</w:t>
      </w:r>
      <w:r>
        <w:rPr>
          <w:rtl w:val="true"/>
        </w:rPr>
        <w:t xml:space="preserve">, </w:t>
      </w:r>
      <w:r>
        <w:rPr>
          <w:rtl w:val="true"/>
        </w:rPr>
        <w:t>כי כלל אחידות הענישה אינו חל שעה שחלק ממבצעי העבירה מורשע ונענש במסגרת 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ואילו האחרים בוחרים לנהל את משפטם עד תום </w:t>
      </w:r>
      <w:r>
        <w:rPr>
          <w:rtl w:val="true"/>
        </w:rPr>
        <w:t>(</w:t>
      </w:r>
      <w:r>
        <w:rPr>
          <w:rtl w:val="true"/>
        </w:rPr>
        <w:t xml:space="preserve">ראה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5640-97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רייך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/>
        <w:t>28.3.94</w:t>
      </w:r>
      <w:r>
        <w:rPr>
          <w:rtl w:val="true"/>
        </w:rPr>
        <w:t>]).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tl w:val="true"/>
        </w:rPr>
        <w:t>במקרה שלפנינו</w:t>
      </w:r>
      <w:r>
        <w:rPr>
          <w:rtl w:val="true"/>
        </w:rPr>
        <w:t xml:space="preserve">, </w:t>
      </w:r>
      <w:r>
        <w:rPr>
          <w:rtl w:val="true"/>
        </w:rPr>
        <w:t>הגם שהנאשמים האחרים נטלו חלק באותם מעשים גופם</w:t>
      </w:r>
      <w:r>
        <w:rPr>
          <w:rtl w:val="true"/>
        </w:rPr>
        <w:t xml:space="preserve">, </w:t>
      </w:r>
      <w:r>
        <w:rPr>
          <w:rtl w:val="true"/>
        </w:rPr>
        <w:t>הרי הפרקליטות החליטה לתקן את כתבי האישום</w:t>
      </w:r>
      <w:r>
        <w:rPr>
          <w:rtl w:val="true"/>
        </w:rPr>
        <w:t xml:space="preserve">, </w:t>
      </w:r>
      <w:r>
        <w:rPr>
          <w:rtl w:val="true"/>
        </w:rPr>
        <w:t>לצורך הגעה להסדר טיעון</w:t>
      </w:r>
      <w:r>
        <w:rPr>
          <w:rtl w:val="true"/>
        </w:rPr>
        <w:t xml:space="preserve">, </w:t>
      </w:r>
      <w:r>
        <w:rPr>
          <w:rtl w:val="true"/>
        </w:rPr>
        <w:t>נוכח קשיים ראייתיים בהם נתקלה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tl w:val="true"/>
        </w:rPr>
        <w:t>קביעת קשיים מעין אלה</w:t>
      </w:r>
      <w:r>
        <w:rPr>
          <w:rtl w:val="true"/>
        </w:rPr>
        <w:t xml:space="preserve">, </w:t>
      </w:r>
      <w:r>
        <w:rPr>
          <w:rtl w:val="true"/>
        </w:rPr>
        <w:t>קודם להכרעת הדין</w:t>
      </w:r>
      <w:r>
        <w:rPr>
          <w:rtl w:val="true"/>
        </w:rPr>
        <w:t xml:space="preserve">, </w:t>
      </w:r>
      <w:r>
        <w:rPr>
          <w:rtl w:val="true"/>
        </w:rPr>
        <w:t>הינה פריבילגיה ואף חובה המוטלת על הפרקליטות</w:t>
      </w:r>
      <w:r>
        <w:rPr>
          <w:rtl w:val="true"/>
        </w:rPr>
        <w:t xml:space="preserve">, </w:t>
      </w:r>
      <w:r>
        <w:rPr>
          <w:rtl w:val="true"/>
        </w:rPr>
        <w:t>במסגרת הערכת סיכויי ההרשעה</w:t>
      </w:r>
      <w:r>
        <w:rPr>
          <w:rtl w:val="true"/>
        </w:rPr>
        <w:t xml:space="preserve">, </w:t>
      </w:r>
      <w:r>
        <w:rPr>
          <w:rtl w:val="true"/>
        </w:rPr>
        <w:t>במסגרת מילוי תפקידה כרשות מרשויות אכיפת החוק</w:t>
      </w:r>
      <w:r>
        <w:rPr>
          <w:rtl w:val="true"/>
        </w:rPr>
        <w:t xml:space="preserve">, </w:t>
      </w:r>
      <w:r>
        <w:rPr>
          <w:rtl w:val="true"/>
        </w:rPr>
        <w:t xml:space="preserve">המשמשת כגורם המתווך בין גורמי החקירה והאכיפה לבין בית המשפט </w:t>
      </w:r>
      <w:r>
        <w:rPr>
          <w:rtl w:val="true"/>
        </w:rPr>
        <w:t>(</w:t>
      </w:r>
      <w:r>
        <w:rPr>
          <w:rtl w:val="true"/>
        </w:rPr>
        <w:t xml:space="preserve">ראה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4597-13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אנטוניו פיצו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</w:t>
      </w:r>
      <w:r>
        <w:rPr>
          <w:rtl w:val="true"/>
        </w:rPr>
        <w:t xml:space="preserve">ל </w:t>
      </w:r>
      <w:r>
        <w:rPr>
          <w:rtl w:val="true"/>
        </w:rPr>
        <w:t>[</w:t>
      </w:r>
      <w:r>
        <w:rPr/>
        <w:t>22.9.14</w:t>
      </w:r>
      <w:r>
        <w:rPr>
          <w:rtl w:val="true"/>
        </w:rPr>
        <w:t>]).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נפסק</w:t>
      </w:r>
      <w:r>
        <w:rPr>
          <w:rtl w:val="true"/>
        </w:rPr>
        <w:t xml:space="preserve">, </w:t>
      </w:r>
      <w:r>
        <w:rPr>
          <w:rtl w:val="true"/>
        </w:rPr>
        <w:t xml:space="preserve">כי אין להקיש על רמת הענישה ואחידותה בהסדרי טיעון </w:t>
      </w:r>
      <w:r>
        <w:rPr>
          <w:rtl w:val="true"/>
        </w:rPr>
        <w:t>(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2378-13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נאסר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[</w:t>
      </w:r>
      <w:r>
        <w:rPr/>
        <w:t>8.5.14</w:t>
      </w:r>
      <w:r>
        <w:rPr>
          <w:rtl w:val="true"/>
        </w:rPr>
        <w:t xml:space="preserve">];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8056-10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עוואד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/>
        <w:t>19.11.12</w:t>
      </w:r>
      <w:r>
        <w:rPr>
          <w:rtl w:val="true"/>
        </w:rPr>
        <w:t>]).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חרף עקרון אחידות הענישה</w:t>
      </w:r>
      <w:r>
        <w:rPr>
          <w:rtl w:val="true"/>
        </w:rPr>
        <w:t xml:space="preserve">, </w:t>
      </w:r>
      <w:r>
        <w:rPr>
          <w:rtl w:val="true"/>
        </w:rPr>
        <w:t>הרי במקרה שלפנינו</w:t>
      </w:r>
      <w:r>
        <w:rPr>
          <w:rtl w:val="true"/>
        </w:rPr>
        <w:t xml:space="preserve">, </w:t>
      </w:r>
      <w:r>
        <w:rPr>
          <w:rtl w:val="true"/>
        </w:rPr>
        <w:t>משבחר הנאשם לנהל משפטו עד תום</w:t>
      </w:r>
      <w:r>
        <w:rPr>
          <w:rtl w:val="true"/>
        </w:rPr>
        <w:t xml:space="preserve">, </w:t>
      </w:r>
      <w:r>
        <w:rPr>
          <w:rtl w:val="true"/>
        </w:rPr>
        <w:t>ונמצא אשם בעבירה חמורה של ניסיון לרצח</w:t>
      </w:r>
      <w:r>
        <w:rPr>
          <w:rtl w:val="true"/>
        </w:rPr>
        <w:t xml:space="preserve">, </w:t>
      </w:r>
      <w:r>
        <w:rPr>
          <w:rtl w:val="true"/>
        </w:rPr>
        <w:t>בנוסף לעבירות הנלוות</w:t>
      </w:r>
      <w:r>
        <w:rPr>
          <w:rtl w:val="true"/>
        </w:rPr>
        <w:t xml:space="preserve">, </w:t>
      </w:r>
      <w:r>
        <w:rPr>
          <w:rtl w:val="true"/>
        </w:rPr>
        <w:t>יחויב ביהמ</w:t>
      </w:r>
      <w:r>
        <w:rPr>
          <w:rtl w:val="true"/>
        </w:rPr>
        <w:t>"</w:t>
      </w:r>
      <w:r>
        <w:rPr>
          <w:rtl w:val="true"/>
        </w:rPr>
        <w:t>ש לגזור את עונשו באופן עצמאי</w:t>
      </w:r>
      <w:r>
        <w:rPr>
          <w:rtl w:val="true"/>
        </w:rPr>
        <w:t xml:space="preserve">, </w:t>
      </w:r>
      <w:r>
        <w:rPr>
          <w:rtl w:val="true"/>
        </w:rPr>
        <w:t>על פי הכללים שנקבעו בחוק ובפסיקה</w:t>
      </w:r>
      <w:r>
        <w:rPr>
          <w:rtl w:val="true"/>
        </w:rPr>
        <w:t xml:space="preserve">, </w:t>
      </w:r>
      <w:r>
        <w:rPr>
          <w:rtl w:val="true"/>
        </w:rPr>
        <w:t xml:space="preserve">תוך בחינת מעשי הנאשם הניצב בפניו </w:t>
      </w:r>
      <w:r>
        <w:rPr>
          <w:rtl w:val="true"/>
        </w:rPr>
        <w:t xml:space="preserve">- </w:t>
      </w:r>
      <w:r>
        <w:rPr>
          <w:rtl w:val="true"/>
        </w:rPr>
        <w:t xml:space="preserve">כפי העולה מן הראיות שהובאו </w:t>
      </w:r>
      <w:r>
        <w:rPr>
          <w:rtl w:val="true"/>
        </w:rPr>
        <w:t xml:space="preserve">- </w:t>
      </w:r>
      <w:r>
        <w:rPr>
          <w:rtl w:val="true"/>
        </w:rPr>
        <w:t>ובהתעלם מהסדרי טיעון שנעשו לגבי חבריו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tl w:val="true"/>
        </w:rPr>
        <w:t xml:space="preserve">מה עוד שהעונש שנגזר על חבריו של הנאשם חורג ממתחם הענישה שקבע מותב בית המשפט שישב על הדין בעניינם – שהינו חדש בין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עונש הקרוב יותר למתחם שקבענו ויסודו בעבירות הקלות יותר בהן הורשעו הנאשמים האחרים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/>
        <w:t>24</w:t>
      </w:r>
      <w:r>
        <w:rPr>
          <w:rtl w:val="true"/>
        </w:rPr>
        <w:t xml:space="preserve">. </w:t>
        <w:tab/>
      </w:r>
      <w:r>
        <w:rPr>
          <w:rtl w:val="true"/>
        </w:rPr>
        <w:t>ולאחר כל אלה</w:t>
      </w:r>
      <w:r>
        <w:rPr>
          <w:rtl w:val="true"/>
        </w:rPr>
        <w:t xml:space="preserve">, </w:t>
      </w:r>
      <w:r>
        <w:rPr>
          <w:rtl w:val="true"/>
        </w:rPr>
        <w:t>אציע לחבריי</w:t>
      </w:r>
      <w:r>
        <w:rPr>
          <w:rtl w:val="true"/>
        </w:rPr>
        <w:t xml:space="preserve">, </w:t>
      </w:r>
      <w:r>
        <w:rPr>
          <w:rtl w:val="true"/>
        </w:rPr>
        <w:t>בנסיבותיו של הנאשם שלפנינו</w:t>
      </w:r>
      <w:r>
        <w:rPr>
          <w:rtl w:val="true"/>
        </w:rPr>
        <w:t xml:space="preserve">, </w:t>
      </w:r>
      <w:r>
        <w:rPr>
          <w:rtl w:val="true"/>
        </w:rPr>
        <w:t>שלא גילה רעד ולא חמלה על קורבנותיו והצטייר כאדם קר רוח ומסוכן</w:t>
      </w:r>
      <w:r>
        <w:rPr>
          <w:rtl w:val="true"/>
        </w:rPr>
        <w:t xml:space="preserve">, </w:t>
      </w:r>
      <w:r>
        <w:rPr>
          <w:rtl w:val="true"/>
        </w:rPr>
        <w:t>לגזור עליו עונש הקרוב לרף העליון של מתחם הענישה ההולם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ולהטיל עליו עונש מאסר למשך </w:t>
      </w:r>
      <w:r>
        <w:rPr>
          <w:b/>
          <w:bCs/>
        </w:rPr>
        <w:t>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 ו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keepNext w:val="true"/>
        <w:spacing w:lineRule="auto" w:line="360" w:before="360" w:after="120"/>
        <w:ind w:end="0"/>
        <w:jc w:val="both"/>
        <w:rPr/>
      </w:pPr>
      <w:r>
        <w:rPr>
          <w:b/>
          <w:b/>
          <w:bCs/>
          <w:u w:val="single"/>
          <w:rtl w:val="true"/>
        </w:rPr>
        <w:t>י</w:t>
      </w:r>
      <w:r>
        <w:rPr>
          <w:b/>
          <w:bCs/>
          <w:u w:val="single"/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מתחם הענישה והוענש הראוי לגבי האישום השני</w:t>
      </w:r>
      <w:r>
        <w:rPr>
          <w:rtl w:val="true"/>
        </w:rPr>
        <w:t xml:space="preserve">- 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/>
        <w:t>25</w:t>
      </w:r>
      <w:r>
        <w:rPr>
          <w:rtl w:val="true"/>
        </w:rPr>
        <w:t xml:space="preserve">. 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העונש המוצע על ידי הפרקליטות בגין עבירת שיבוש מהלכי משפט נע בין מספר חודשי מאסר על תנאי לבין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tl w:val="true"/>
        </w:rPr>
        <w:t xml:space="preserve">מתחם זה אכן הינו המתחם הנוהג בפסיקה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 xml:space="preserve">למשל </w:t>
      </w:r>
      <w:hyperlink r:id="rId48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ח </w:t>
        </w:r>
        <w:r>
          <w:rPr>
            <w:rStyle w:val="Hyperlink"/>
            <w:color w:val="0000FF"/>
            <w:u w:val="single"/>
            <w:rtl w:val="true"/>
          </w:rPr>
          <w:t>[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] </w:t>
        </w:r>
        <w:r>
          <w:rPr>
            <w:rStyle w:val="Hyperlink"/>
            <w:color w:val="0000FF"/>
            <w:u w:val="single"/>
          </w:rPr>
          <w:t>30145-08-13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דו</w:t>
      </w:r>
      <w:r>
        <w:rPr>
          <w:rtl w:val="true"/>
        </w:rPr>
        <w:t xml:space="preserve">ידוב </w:t>
      </w:r>
      <w:r>
        <w:rPr>
          <w:rtl w:val="true"/>
        </w:rPr>
        <w:t>[</w:t>
      </w:r>
      <w:r>
        <w:rPr/>
        <w:t>14.1.14</w:t>
      </w:r>
      <w:r>
        <w:rPr>
          <w:rtl w:val="true"/>
        </w:rPr>
        <w:t xml:space="preserve">], </w:t>
      </w:r>
      <w:r>
        <w:rPr>
          <w:rtl w:val="true"/>
        </w:rPr>
        <w:t xml:space="preserve">שם קבע בית המשפט המחוזי בתל אביב מתחם הנע בין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</w:t>
      </w:r>
      <w:bookmarkStart w:id="11" w:name="_GoBack"/>
      <w:bookmarkEnd w:id="11"/>
      <w:r>
        <w:rPr>
          <w:rtl w:val="true"/>
        </w:rPr>
        <w:t>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לבין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).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tl w:val="true"/>
        </w:rPr>
        <w:t>מתחם הענישה הראוי בעיניי לעניין שלפנינו</w:t>
      </w:r>
      <w:r>
        <w:rPr>
          <w:rtl w:val="true"/>
        </w:rPr>
        <w:t xml:space="preserve">, </w:t>
      </w:r>
      <w:r>
        <w:rPr>
          <w:rtl w:val="true"/>
        </w:rPr>
        <w:t>בשים לב לנסיבות ולתקופת ההסתתרות הארוכה של הנאשם</w:t>
      </w:r>
      <w:r>
        <w:rPr>
          <w:rtl w:val="true"/>
        </w:rPr>
        <w:t xml:space="preserve">, </w:t>
      </w:r>
      <w:r>
        <w:rPr>
          <w:rtl w:val="true"/>
        </w:rPr>
        <w:t xml:space="preserve">נע בין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 מאסר על תנאי 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tl w:val="true"/>
        </w:rPr>
        <w:t xml:space="preserve">העונש הראוי בנסיבות יעמוד על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מחציתם במצטבר ומחציתם בחופף לעונש בגין העבירות נשוא האישום השני</w:t>
      </w:r>
      <w:r>
        <w:rPr>
          <w:rtl w:val="true"/>
        </w:rPr>
        <w:t>.</w:t>
      </w:r>
    </w:p>
    <w:p>
      <w:pPr>
        <w:pStyle w:val="Normal"/>
        <w:spacing w:lineRule="auto" w:line="360" w:before="360" w:after="120"/>
        <w:ind w:end="0"/>
        <w:jc w:val="both"/>
        <w:rPr/>
      </w:pPr>
      <w:r>
        <w:rPr>
          <w:b/>
          <w:b/>
          <w:bCs/>
          <w:u w:val="single"/>
          <w:rtl w:val="true"/>
        </w:rPr>
        <w:t>יא</w:t>
      </w:r>
      <w:r>
        <w:rPr>
          <w:b/>
          <w:bCs/>
          <w:u w:val="single"/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סוף דבר</w:t>
      </w:r>
      <w:r>
        <w:rPr>
          <w:rtl w:val="true"/>
        </w:rPr>
        <w:t xml:space="preserve">,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/>
        <w:t>26</w:t>
      </w:r>
      <w:r>
        <w:rPr>
          <w:rtl w:val="true"/>
        </w:rPr>
        <w:t xml:space="preserve">. </w:t>
        <w:tab/>
      </w:r>
      <w:r>
        <w:rPr>
          <w:rtl w:val="true"/>
        </w:rPr>
        <w:t>נוכח האמור לעיל</w:t>
      </w:r>
      <w:r>
        <w:rPr>
          <w:rtl w:val="true"/>
        </w:rPr>
        <w:t xml:space="preserve">, </w:t>
      </w:r>
      <w:r>
        <w:rPr>
          <w:rtl w:val="true"/>
        </w:rPr>
        <w:t>אציע לחבריי לגזור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 xml:space="preserve">עונש מאסר בפועל בן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שנים ו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חודשים שתחילתו ביום </w:t>
      </w:r>
      <w:r>
        <w:rPr/>
        <w:t>27.10.13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 </w:t>
        <w:tab/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חדשי מאסר על תנאי לשלוש שנים</w:t>
      </w:r>
      <w:r>
        <w:rPr>
          <w:rtl w:val="true"/>
        </w:rPr>
        <w:t xml:space="preserve">, </w:t>
      </w:r>
      <w:r>
        <w:rPr>
          <w:rtl w:val="true"/>
        </w:rPr>
        <w:t>על עבירה מן העבירות בהן הורשע הנאשם</w:t>
      </w:r>
      <w:r>
        <w:rPr>
          <w:rtl w:val="true"/>
        </w:rPr>
        <w:t xml:space="preserve">, </w:t>
      </w:r>
      <w:r>
        <w:rPr>
          <w:rtl w:val="true"/>
        </w:rPr>
        <w:t>או כל עבירת אלימות מסוג פשע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 </w:t>
        <w:tab/>
      </w:r>
      <w:r>
        <w:rPr>
          <w:rtl w:val="true"/>
        </w:rPr>
        <w:t>חודשיים מאסר על תנאי לשלוש שנים</w:t>
      </w:r>
      <w:r>
        <w:rPr>
          <w:rtl w:val="true"/>
        </w:rPr>
        <w:t xml:space="preserve">, </w:t>
      </w:r>
      <w:r>
        <w:rPr>
          <w:rtl w:val="true"/>
        </w:rPr>
        <w:t>על עבירה של שיבוש מהלכי משפט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 יפצה את הנפגע</w:t>
      </w:r>
      <w:r>
        <w:rPr>
          <w:rtl w:val="true"/>
        </w:rPr>
        <w:t xml:space="preserve">, </w:t>
      </w:r>
      <w:r>
        <w:rPr>
          <w:rtl w:val="true"/>
        </w:rPr>
        <w:t>עלי יוסף</w:t>
      </w:r>
      <w:r>
        <w:rPr>
          <w:rtl w:val="true"/>
        </w:rPr>
        <w:t xml:space="preserve">, </w:t>
      </w:r>
      <w:r>
        <w:rPr>
          <w:rtl w:val="true"/>
        </w:rPr>
        <w:t xml:space="preserve">בסך </w:t>
      </w:r>
      <w:r>
        <w:rPr/>
        <w:t>75,000</w:t>
      </w:r>
      <w:r>
        <w:rPr>
          <w:rtl w:val="true"/>
        </w:rPr>
        <w:t xml:space="preserve"> ₪.</w:t>
      </w:r>
    </w:p>
    <w:tbl>
      <w:tblPr>
        <w:bidiVisual w:val="true"/>
        <w:tblW w:w="2962" w:type="dxa"/>
        <w:jc w:val="start"/>
        <w:tblInd w:w="-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2"/>
      </w:tblGrid>
      <w:tr>
        <w:trPr/>
        <w:tc>
          <w:tcPr>
            <w:tcW w:w="296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962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  <w:lang w:val="en-IL" w:eastAsia="en-IL"/>
              </w:rPr>
              <w:t>בנימין ארבל</w:t>
            </w:r>
            <w:r>
              <w:rPr>
                <w:rFonts w:cs="Times New Roman" w:ascii="Times New Roman" w:hAnsi="Times New Roman"/>
                <w:b/>
                <w:bCs/>
                <w:rtl w:val="true"/>
                <w:lang w:val="en-IL" w:eastAsia="en-IL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  <w:lang w:val="en-IL" w:eastAsia="en-IL"/>
              </w:rPr>
              <w:t>סגן נשיא</w:t>
            </w:r>
          </w:p>
        </w:tc>
      </w:tr>
    </w:tbl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10260" w:type="dxa"/>
        <w:jc w:val="start"/>
        <w:tblInd w:w="-10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260"/>
      </w:tblGrid>
      <w:tr>
        <w:trPr/>
        <w:tc>
          <w:tcPr>
            <w:tcW w:w="1026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</w:r>
          </w:p>
          <w:p>
            <w:pPr>
              <w:pStyle w:val="Normal"/>
              <w:spacing w:lineRule="auto" w:line="360" w:before="0" w:after="120"/>
              <w:ind w:end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כב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 xml:space="preserve">'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הנשיא ד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ר אברהם אברהם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>:</w:t>
            </w:r>
          </w:p>
          <w:p>
            <w:pPr>
              <w:pStyle w:val="Normal"/>
              <w:spacing w:lineRule="auto" w:line="360" w:before="0" w:after="120"/>
              <w:ind w:end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rtl w:val="true"/>
              </w:rPr>
              <w:t>מסכים</w:t>
            </w:r>
            <w:r>
              <w:rPr>
                <w:rFonts w:cs="Times New Roman" w:ascii="Times New Roman" w:hAnsi="Times New Roman"/>
                <w:rtl w:val="true"/>
              </w:rPr>
              <w:t>.</w:t>
            </w:r>
          </w:p>
          <w:p>
            <w:pPr>
              <w:pStyle w:val="Normal"/>
              <w:ind w:start="5760" w:end="0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cs="Times New Roman"/>
                <w:b/>
                <w:bCs/>
                <w:lang w:val="en-IL" w:eastAsia="en-IL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  <w:lang w:val="en-IL" w:eastAsia="en-IL"/>
              </w:rPr>
              <w:t>ד</w:t>
            </w:r>
            <w:r>
              <w:rPr>
                <w:rFonts w:cs="Times New Roman" w:ascii="Times New Roman" w:hAnsi="Times New Roman"/>
                <w:b/>
                <w:bCs/>
                <w:rtl w:val="true"/>
                <w:lang w:val="en-IL" w:eastAsia="en-IL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  <w:lang w:val="en-IL" w:eastAsia="en-IL"/>
              </w:rPr>
              <w:t>ר אברהם אברהם</w:t>
            </w:r>
            <w:r>
              <w:rPr>
                <w:rFonts w:cs="Times New Roman" w:ascii="Times New Roman" w:hAnsi="Times New Roman"/>
                <w:b/>
                <w:bCs/>
                <w:rtl w:val="true"/>
                <w:lang w:val="en-IL" w:eastAsia="en-IL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  <w:lang w:val="en-IL" w:eastAsia="en-IL"/>
              </w:rPr>
              <w:t>נשיא</w:t>
            </w:r>
          </w:p>
          <w:p>
            <w:pPr>
              <w:pStyle w:val="Normal"/>
              <w:ind w:end="0"/>
              <w:jc w:val="end"/>
              <w:rPr>
                <w:rFonts w:ascii="Times New Roman" w:hAnsi="Times New Roman" w:cs="Times New Roman"/>
                <w:b/>
                <w:bCs/>
                <w:lang w:val="en-IL" w:eastAsia="en-IL"/>
              </w:rPr>
            </w:pPr>
            <w:r>
              <w:rPr>
                <w:rFonts w:cs="Times New Roman" w:ascii="Times New Roman" w:hAnsi="Times New Roman"/>
                <w:b/>
                <w:bCs/>
                <w:rtl w:val="true"/>
                <w:lang w:val="en-IL" w:eastAsia="en-IL"/>
              </w:rPr>
            </w:r>
          </w:p>
          <w:p>
            <w:pPr>
              <w:pStyle w:val="Normal"/>
              <w:spacing w:lineRule="auto" w:line="360" w:before="0" w:after="120"/>
              <w:ind w:end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</w:r>
          </w:p>
        </w:tc>
      </w:tr>
    </w:tbl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כב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השופט יונתן אברהם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מסכים</w:t>
      </w:r>
      <w:r>
        <w:rPr>
          <w:rtl w:val="true"/>
        </w:rPr>
        <w:t xml:space="preserve">. </w:t>
      </w:r>
    </w:p>
    <w:tbl>
      <w:tblPr>
        <w:bidiVisual w:val="true"/>
        <w:tblW w:w="2962" w:type="dxa"/>
        <w:jc w:val="start"/>
        <w:tblInd w:w="-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2"/>
      </w:tblGrid>
      <w:tr>
        <w:trPr/>
        <w:tc>
          <w:tcPr>
            <w:tcW w:w="296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962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  <w:lang w:val="en-IL" w:eastAsia="en-IL"/>
              </w:rPr>
              <w:t>יונתן אברהם</w:t>
            </w:r>
            <w:r>
              <w:rPr>
                <w:rFonts w:cs="Times New Roman" w:ascii="Times New Roman" w:hAnsi="Times New Roman"/>
                <w:b/>
                <w:bCs/>
                <w:rtl w:val="true"/>
                <w:lang w:val="en-IL" w:eastAsia="en-IL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  <w:lang w:val="en-IL" w:eastAsia="en-IL"/>
              </w:rPr>
              <w:t>שופט</w:t>
            </w:r>
          </w:p>
        </w:tc>
      </w:tr>
    </w:tbl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הוחלט אפוא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פה אחד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כאמור בחוות דעתו של כב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סגן הנשיא ארבל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ניתן והודע היום י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ב ניסן תשע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ה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Cs/>
          <w:sz w:val="28"/>
          <w:szCs w:val="28"/>
        </w:rPr>
        <w:t>01/04/2015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במעמד הנוכחים</w:t>
      </w:r>
      <w:r>
        <w:rPr>
          <w:b/>
          <w:bCs/>
          <w:sz w:val="28"/>
          <w:szCs w:val="28"/>
          <w:rtl w:val="true"/>
        </w:rPr>
        <w:t xml:space="preserve">. 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10260" w:type="dxa"/>
        <w:jc w:val="start"/>
        <w:tblInd w:w="-10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3420"/>
        <w:gridCol w:w="3420"/>
      </w:tblGrid>
      <w:tr>
        <w:trPr/>
        <w:tc>
          <w:tcPr>
            <w:tcW w:w="3420" w:type="dxa"/>
            <w:tcBorders/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color w:val="FFFFFF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342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Times New Roman" w:hAnsi="Times New Roman" w:cs="Times New Roman"/>
                <w:color w:val="FFFFFF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</w:r>
          </w:p>
        </w:tc>
        <w:tc>
          <w:tcPr>
            <w:tcW w:w="342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</w:r>
          </w:p>
        </w:tc>
      </w:tr>
      <w:tr>
        <w:trPr/>
        <w:tc>
          <w:tcPr>
            <w:tcW w:w="34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rtl w:val="true"/>
              </w:rPr>
              <w:t>ד</w:t>
            </w:r>
            <w:r>
              <w:rPr>
                <w:rFonts w:cs="Times New Roman" w:ascii="Times New Roman" w:hAnsi="Times New Roman"/>
                <w:rtl w:val="true"/>
              </w:rPr>
              <w:t>"</w:t>
            </w:r>
            <w:r>
              <w:rPr>
                <w:rFonts w:ascii="Times New Roman" w:hAnsi="Times New Roman" w:cs="Times New Roman"/>
                <w:rtl w:val="true"/>
              </w:rPr>
              <w:t>ר אברהם  אברהם</w:t>
            </w:r>
            <w:r>
              <w:rPr>
                <w:rFonts w:cs="Times New Roman" w:ascii="Times New Roman" w:hAnsi="Times New Roman"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rtl w:val="true"/>
              </w:rPr>
              <w:t>נשיא</w:t>
            </w:r>
          </w:p>
        </w:tc>
        <w:tc>
          <w:tcPr>
            <w:tcW w:w="34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rtl w:val="true"/>
              </w:rPr>
              <w:t>בנימין ארבל</w:t>
            </w:r>
            <w:r>
              <w:rPr>
                <w:rFonts w:cs="Times New Roman" w:ascii="Times New Roman" w:hAnsi="Times New Roman"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rtl w:val="true"/>
              </w:rPr>
              <w:t>סגן נשיא</w:t>
            </w:r>
          </w:p>
        </w:tc>
        <w:tc>
          <w:tcPr>
            <w:tcW w:w="34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rtl w:val="true"/>
              </w:rPr>
              <w:t>יונתן אברהם</w:t>
            </w:r>
            <w:r>
              <w:rPr>
                <w:rFonts w:cs="Times New Roman" w:ascii="Times New Roman" w:hAnsi="Times New Roman"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r>
        <w:rPr>
          <w:rFonts w:eastAsia="David"/>
          <w:rtl w:val="true"/>
        </w:rPr>
        <w:t xml:space="preserve"> 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איתי</w:t>
      </w:r>
      <w:r>
        <w:rPr>
          <w:rtl w:val="true"/>
        </w:rPr>
        <w:t xml:space="preserve"> </w:t>
      </w:r>
      <w:r>
        <w:rPr>
          <w:rtl w:val="true"/>
        </w:rPr>
        <w:t>בהלול</w:t>
      </w:r>
      <w:r>
        <w:rPr>
          <w:rtl w:val="true"/>
        </w:rPr>
        <w:t>-</w:t>
      </w:r>
      <w:r>
        <w:rPr>
          <w:rtl w:val="true"/>
        </w:rPr>
        <w:t>גור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  <w:t>(</w:t>
      </w:r>
      <w:r>
        <w:rPr>
          <w:color w:val="000000"/>
          <w:sz w:val="22"/>
          <w:sz w:val="22"/>
          <w:szCs w:val="22"/>
          <w:rtl w:val="true"/>
        </w:rPr>
        <w:t>בפועל</w:t>
      </w:r>
      <w:r>
        <w:rPr>
          <w:color w:val="000000"/>
          <w:sz w:val="22"/>
          <w:szCs w:val="22"/>
          <w:rtl w:val="true"/>
        </w:rPr>
        <w:t xml:space="preserve">) </w:t>
      </w:r>
      <w:r>
        <w:rPr>
          <w:color w:val="000000"/>
          <w:sz w:val="22"/>
          <w:sz w:val="22"/>
          <w:szCs w:val="22"/>
          <w:rtl w:val="true"/>
        </w:rPr>
        <w:t>ד</w:t>
      </w:r>
      <w:r>
        <w:rPr>
          <w:color w:val="000000"/>
          <w:sz w:val="22"/>
          <w:szCs w:val="22"/>
          <w:rtl w:val="true"/>
        </w:rPr>
        <w:t>"</w:t>
      </w:r>
      <w:r>
        <w:rPr>
          <w:color w:val="000000"/>
          <w:sz w:val="22"/>
          <w:sz w:val="22"/>
          <w:szCs w:val="22"/>
          <w:rtl w:val="true"/>
        </w:rPr>
        <w:t xml:space="preserve">ר אברהם אברהם בנימין ארבל יונתן אברהם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9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  <w:r>
        <w:rPr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0"/>
      <w:footerReference w:type="default" r:id="rId51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תפח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63535-10-13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אחמד ביאטרה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1245" w:hanging="36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63535-10-13"/>
    <w:docVar w:name="caseId" w:val="71438420"/>
    <w:docVar w:name="deriveClass" w:val="NGCS.Protocol.BL.Client.ProtocolBLClientCriminal"/>
    <w:docVar w:name="firstPageNumber" w:val="168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userUPN" w:val="ëåìí"/>
    <w:docVar w:name="privellegeId" w:val="1"/>
    <w:docVar w:name="protocolId" w:val="5625002"/>
    <w:docVar w:name="releaseSign" w:val="0"/>
    <w:docVar w:name="sittingDateTime" w:val="01/04/2015 09:00     "/>
    <w:docVar w:name="sittingId" w:val="78693535"/>
    <w:docVar w:name="sittingTypeId" w:val="2"/>
    <w:docVar w:name="WordClientAssemblyName" w:val="NGCS.Protocol.BL.Client"/>
    <w:docVar w:name="WordClientClassName" w:val="NGCS.Templates.UIP.Template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hanging="0" w:start="0" w:end="0"/>
      <w:jc w:val="start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hanging="0" w:start="0" w:end="0"/>
      <w:jc w:val="start"/>
      <w:outlineLvl w:val="2"/>
    </w:pPr>
    <w:rPr>
      <w:b/>
      <w:bCs/>
      <w:sz w:val="26"/>
      <w:szCs w:val="26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8z1">
    <w:name w:val="WW8Num8z1"/>
    <w:qFormat/>
    <w:rPr>
      <w:rFonts w:cs="Times New Roman"/>
    </w:rPr>
  </w:style>
  <w:style w:type="character" w:styleId="WW8Num9z0">
    <w:name w:val="WW8Num9z0"/>
    <w:qFormat/>
    <w:rPr>
      <w:rFonts w:cs="Times New Roman"/>
    </w:rPr>
  </w:style>
  <w:style w:type="character" w:styleId="WW8Num10z0">
    <w:name w:val="WW8Num10z0"/>
    <w:qFormat/>
    <w:rPr>
      <w:rFonts w:cs="Times New Roman"/>
    </w:rPr>
  </w:style>
  <w:style w:type="character" w:styleId="WW8Num11z0">
    <w:name w:val="WW8Num11z0"/>
    <w:qFormat/>
    <w:rPr>
      <w:rFonts w:cs="Times New Roman"/>
    </w:rPr>
  </w:style>
  <w:style w:type="character" w:styleId="WW8Num12z0">
    <w:name w:val="WW8Num12z0"/>
    <w:qFormat/>
    <w:rPr>
      <w:rFonts w:cs="Times New Roman"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>
      <w:rFonts w:cs="Times New Roman"/>
    </w:rPr>
  </w:style>
  <w:style w:type="character" w:styleId="WW8Num13z1">
    <w:name w:val="WW8Num13z1"/>
    <w:qFormat/>
    <w:rPr>
      <w:rFonts w:cs="Times New Roman"/>
    </w:rPr>
  </w:style>
  <w:style w:type="character" w:styleId="WW8Num14z0">
    <w:name w:val="WW8Num14z0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WW8Num16z0">
    <w:name w:val="WW8Num16z0"/>
    <w:qFormat/>
    <w:rPr>
      <w:rFonts w:cs="Times New Roman"/>
    </w:rPr>
  </w:style>
  <w:style w:type="character" w:styleId="WW8Num17z0">
    <w:name w:val="WW8Num17z0"/>
    <w:qFormat/>
    <w:rPr>
      <w:rFonts w:cs="Times New Roman"/>
    </w:rPr>
  </w:style>
  <w:style w:type="character" w:styleId="WW8Num18z0">
    <w:name w:val="WW8Num18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rPr>
      <w:rFonts w:cs="Times New Roman"/>
    </w:rPr>
  </w:style>
  <w:style w:type="character" w:styleId="LineNumber">
    <w:name w:val="line number"/>
    <w:rPr>
      <w:rFonts w:cs="Arial"/>
      <w:sz w:val="20"/>
      <w:szCs w:val="20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  <w:lang w:bidi="he-IL"/>
    </w:rPr>
  </w:style>
  <w:style w:type="character" w:styleId="PlaceholderText">
    <w:name w:val="Placeholder Text"/>
    <w:qFormat/>
    <w:rPr>
      <w:rFonts w:cs="Times New Roman"/>
      <w:color w:val="80808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sz w:val="20"/>
      <w:szCs w:val="2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ind w:hanging="0" w:start="0" w:end="0"/>
      <w:jc w:val="both"/>
    </w:pPr>
    <w:rPr>
      <w:rFonts w:ascii="Times New Roman" w:hAnsi="Times New Roman" w:eastAsia="David" w:cs="Times New Roman"/>
      <w:b/>
      <w:bCs/>
      <w:sz w:val="26"/>
      <w:szCs w:val="26"/>
    </w:rPr>
  </w:style>
  <w:style w:type="paragraph" w:styleId="12">
    <w:name w:val="רגיל + ‏12 נק'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b/>
      <w:bCs/>
      <w:u w:val="single"/>
    </w:rPr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jc w:val="start"/>
    </w:pPr>
    <w:rPr>
      <w:rFonts w:ascii="Calibri" w:hAnsi="Calibri" w:eastAsia="David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40c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40i.a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244" TargetMode="External"/><Relationship Id="rId11" Type="http://schemas.openxmlformats.org/officeDocument/2006/relationships/hyperlink" Target="http://www.nevo.co.il/law/70301/305" TargetMode="External"/><Relationship Id="rId12" Type="http://schemas.openxmlformats.org/officeDocument/2006/relationships/hyperlink" Target="http://www.nevo.co.il/law/70301/329.a.2" TargetMode="External"/><Relationship Id="rId13" Type="http://schemas.openxmlformats.org/officeDocument/2006/relationships/hyperlink" Target="http://www.nevo.co.il/law/70301/333" TargetMode="External"/><Relationship Id="rId14" Type="http://schemas.openxmlformats.org/officeDocument/2006/relationships/hyperlink" Target="http://www.nevo.co.il/law/70301/335" TargetMode="External"/><Relationship Id="rId15" Type="http://schemas.openxmlformats.org/officeDocument/2006/relationships/hyperlink" Target="http://www.nevo.co.il/law/70301/340a" TargetMode="External"/><Relationship Id="rId16" Type="http://schemas.openxmlformats.org/officeDocument/2006/relationships/hyperlink" Target="http://www.nevo.co.il/law/70301/305;29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35;333" TargetMode="External"/><Relationship Id="rId19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law/70301/144.b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/340a" TargetMode="External"/><Relationship Id="rId23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law/70301/244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3588618" TargetMode="External"/><Relationship Id="rId27" Type="http://schemas.openxmlformats.org/officeDocument/2006/relationships/hyperlink" Target="http://www.nevo.co.il/law/70301/329.a.2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329.a.2" TargetMode="External"/><Relationship Id="rId30" Type="http://schemas.openxmlformats.org/officeDocument/2006/relationships/hyperlink" Target="http://www.nevo.co.il/law/70301/335;333" TargetMode="External"/><Relationship Id="rId31" Type="http://schemas.openxmlformats.org/officeDocument/2006/relationships/hyperlink" Target="http://www.nevo.co.il/law/70301/144.a" TargetMode="External"/><Relationship Id="rId32" Type="http://schemas.openxmlformats.org/officeDocument/2006/relationships/hyperlink" Target="http://www.nevo.co.il/law/70301/144.b" TargetMode="External"/><Relationship Id="rId33" Type="http://schemas.openxmlformats.org/officeDocument/2006/relationships/hyperlink" Target="http://www.nevo.co.il/law/70301/29" TargetMode="External"/><Relationship Id="rId34" Type="http://schemas.openxmlformats.org/officeDocument/2006/relationships/hyperlink" Target="http://www.nevo.co.il/law/70301/340a" TargetMode="External"/><Relationship Id="rId35" Type="http://schemas.openxmlformats.org/officeDocument/2006/relationships/hyperlink" Target="http://www.nevo.co.il/law/70301/29" TargetMode="External"/><Relationship Id="rId36" Type="http://schemas.openxmlformats.org/officeDocument/2006/relationships/hyperlink" Target="http://www.nevo.co.il/law/70301/40c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40i" TargetMode="External"/><Relationship Id="rId39" Type="http://schemas.openxmlformats.org/officeDocument/2006/relationships/hyperlink" Target="http://www.nevo.co.il/law/70301/305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case/6026003" TargetMode="External"/><Relationship Id="rId42" Type="http://schemas.openxmlformats.org/officeDocument/2006/relationships/hyperlink" Target="http://www.nevo.co.il/case/7945767" TargetMode="External"/><Relationship Id="rId43" Type="http://schemas.openxmlformats.org/officeDocument/2006/relationships/hyperlink" Target="http://www.nevo.co.il/law/70301/40i.a" TargetMode="External"/><Relationship Id="rId44" Type="http://schemas.openxmlformats.org/officeDocument/2006/relationships/hyperlink" Target="http://www.nevo.co.il/case/5820942" TargetMode="External"/><Relationship Id="rId45" Type="http://schemas.openxmlformats.org/officeDocument/2006/relationships/hyperlink" Target="http://www.nevo.co.il/case/7697315" TargetMode="External"/><Relationship Id="rId46" Type="http://schemas.openxmlformats.org/officeDocument/2006/relationships/hyperlink" Target="http://www.nevo.co.il/case/6862402" TargetMode="External"/><Relationship Id="rId47" Type="http://schemas.openxmlformats.org/officeDocument/2006/relationships/hyperlink" Target="http://www.nevo.co.il/case/5614674" TargetMode="External"/><Relationship Id="rId48" Type="http://schemas.openxmlformats.org/officeDocument/2006/relationships/hyperlink" Target="http://www.nevo.co.il/case/7960385" TargetMode="External"/><Relationship Id="rId49" Type="http://schemas.openxmlformats.org/officeDocument/2006/relationships/hyperlink" Target="http://www.nevo.co.il/advertisements/nevo-100.doc" TargetMode="External"/><Relationship Id="rId50" Type="http://schemas.openxmlformats.org/officeDocument/2006/relationships/header" Target="header1.xml"/><Relationship Id="rId51" Type="http://schemas.openxmlformats.org/officeDocument/2006/relationships/footer" Target="footer1.xml"/><Relationship Id="rId52" Type="http://schemas.openxmlformats.org/officeDocument/2006/relationships/numbering" Target="numbering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2017-04-13T11:11:00Z</dcterms:created>
  <dc:creator> </dc:creator>
  <dc:description/>
  <cp:keywords/>
  <dc:language>en-IL</dc:language>
  <cp:lastModifiedBy>run</cp:lastModifiedBy>
  <cp:lastPrinted>2015-04-01T08:18:00Z</cp:lastPrinted>
  <dcterms:modified xsi:type="dcterms:W3CDTF">2017-04-13T11:11:00Z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ביאטרה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3588618;6026003;7945767;5820942;7697315;6862402;5614674;7960385</vt:lpwstr>
  </property>
  <property fmtid="{D5CDD505-2E9C-101B-9397-08002B2CF9AE}" pid="9" name="CITY">
    <vt:lpwstr>נצ'</vt:lpwstr>
  </property>
  <property fmtid="{D5CDD505-2E9C-101B-9397-08002B2CF9AE}" pid="10" name="DATE">
    <vt:lpwstr>20150401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ד#ר אברהם אברהם;בנימין ארבל;יונתן אברהם</vt:lpwstr>
  </property>
  <property fmtid="{D5CDD505-2E9C-101B-9397-08002B2CF9AE}" pid="14" name="LAWLISTTMP1">
    <vt:lpwstr>70301/305:2;029:5;335:2;333:2;144.a:2;144.b:2;340a:2;244;329.a.2:2;040c;040i;040i.a</vt:lpwstr>
  </property>
  <property fmtid="{D5CDD505-2E9C-101B-9397-08002B2CF9AE}" pid="15" name="LAWYER">
    <vt:lpwstr>יערה לב;ניזאר עבוד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63535</vt:lpwstr>
  </property>
  <property fmtid="{D5CDD505-2E9C-101B-9397-08002B2CF9AE}" pid="22" name="NEWPARTB">
    <vt:lpwstr>10</vt:lpwstr>
  </property>
  <property fmtid="{D5CDD505-2E9C-101B-9397-08002B2CF9AE}" pid="23" name="NEWPARTC">
    <vt:lpwstr>13</vt:lpwstr>
  </property>
  <property fmtid="{D5CDD505-2E9C-101B-9397-08002B2CF9AE}" pid="24" name="NEWPROC">
    <vt:lpwstr>תפח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390020150401</vt:lpwstr>
  </property>
  <property fmtid="{D5CDD505-2E9C-101B-9397-08002B2CF9AE}" pid="34" name="TYPE_N_DATE">
    <vt:lpwstr>39020150401</vt:lpwstr>
  </property>
  <property fmtid="{D5CDD505-2E9C-101B-9397-08002B2CF9AE}" pid="35" name="VOLUME">
    <vt:lpwstr/>
  </property>
  <property fmtid="{D5CDD505-2E9C-101B-9397-08002B2CF9AE}" pid="36" name="WORDNUMPAGES">
    <vt:lpwstr>11</vt:lpwstr>
  </property>
</Properties>
</file>