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0"/>
        <w:gridCol w:w="141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7090" w:type="dxa"/>
            <w:tcBorders/>
          </w:tcPr>
          <w:p>
            <w:pPr>
              <w:pStyle w:val="Normal"/>
              <w:ind w:end="0"/>
              <w:jc w:val="star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השופטים 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דראל – סגן נשיא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א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אברבנאל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ח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זנדברג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br/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תפ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ח </w:t>
            </w:r>
            <w:r>
              <w:rPr>
                <w:rFonts w:cs="Tahoma" w:ascii="Tahoma" w:hAnsi="Tahoma"/>
                <w:b/>
                <w:bCs/>
                <w:sz w:val="20"/>
                <w:szCs w:val="20"/>
              </w:rPr>
              <w:t>63773-04-21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מדינת ישראל נ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sz w:val="20"/>
                <w:sz w:val="20"/>
                <w:szCs w:val="20"/>
                <w:rtl w:val="true"/>
              </w:rPr>
              <w:t>סאלחי ואח</w:t>
            </w:r>
            <w:r>
              <w:rPr>
                <w:rFonts w:cs="Tahoma" w:ascii="Tahoma" w:hAnsi="Tahoma"/>
                <w:b/>
                <w:bCs/>
                <w:sz w:val="20"/>
                <w:szCs w:val="20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Tahoma" w:hAnsi="Tahoma" w:cs="FrankRuehl"/>
                <w:b/>
                <w:bCs/>
                <w:sz w:val="28"/>
                <w:szCs w:val="28"/>
              </w:rPr>
            </w:pPr>
            <w:r>
              <w:rPr>
                <w:rFonts w:cs="FrankRuehl" w:ascii="Tahoma" w:hAnsi="Tahoma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41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11.1.2023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230"/>
        <w:gridCol w:w="566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26"/>
                <w:szCs w:val="26"/>
              </w:rPr>
            </w:pPr>
            <w:r>
              <w:rPr>
                <w:rFonts w:cs="FrankRuehl" w:ascii="FrankRuehl" w:hAnsi="FrankRueh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26"/>
                <w:szCs w:val="26"/>
              </w:rPr>
            </w:pPr>
            <w:r>
              <w:rPr>
                <w:rFonts w:cs="FrankRuehl" w:ascii="FrankRuehl" w:hAnsi="FrankRueh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:</w:t>
            </w:r>
          </w:p>
        </w:tc>
        <w:tc>
          <w:tcPr>
            <w:tcW w:w="223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566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י עו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ד נורית לנגנטל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-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שוורץ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23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5667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עלאא סאלחי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י עו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ד וסים דכוור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br/>
            </w:r>
            <w:r>
              <w:rPr>
                <w:rFonts w:cs="FrankRuehl" w:ascii="FrankRuehl" w:hAnsi="FrankRuehl"/>
                <w:sz w:val="28"/>
                <w:szCs w:val="28"/>
              </w:rPr>
              <w:t>2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מחמד סאלחי 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י עו</w:t>
            </w:r>
            <w:r>
              <w:rPr>
                <w:rFonts w:cs="FrankRuehl" w:ascii="FrankRuehl" w:hAnsi="FrankRuehl"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ד צבי אבנון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301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השופט א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אברבנאל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6"/>
          <w:szCs w:val="26"/>
          <w:u w:val="single"/>
        </w:rPr>
      </w:pPr>
      <w:r>
        <w:rPr>
          <w:rFonts w:cs="FrankRuehl" w:ascii="FrankRuehl" w:hAnsi="FrankRueh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הורשעו ביום </w:t>
      </w:r>
      <w:r>
        <w:rPr>
          <w:rFonts w:cs="FrankRuehl" w:ascii="FrankRuehl" w:hAnsi="FrankRuehl"/>
          <w:sz w:val="28"/>
          <w:szCs w:val="28"/>
        </w:rPr>
        <w:t>22.5.2022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פי הודאתם בעבירה של המתה בקלות דעת לפי </w:t>
      </w:r>
      <w:hyperlink r:id="rId8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301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</w:t>
      </w:r>
      <w:hyperlink r:id="rId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החזקת נשק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 פי עובדות כתב האישום המתוקן שהגישו הצדדים בהסכמה במסגרת 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בסוף 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התגלע סכסוך בין משפחתו של מחמוד אבראהים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הנמצא בקשרי חברות עם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משפחת גתית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המתגוררת בשכנות למשפחת אבראהים בשכונת בית חנינא בירושלים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עובר ליום </w:t>
      </w:r>
      <w:r>
        <w:rPr>
          <w:rFonts w:cs="FrankRuehl" w:ascii="FrankRuehl" w:hAnsi="FrankRuehl"/>
          <w:sz w:val="28"/>
          <w:szCs w:val="28"/>
        </w:rPr>
        <w:t>11.9.2020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התגלע סכסוך בין עלאא גתית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בכתב האישום המתוקן נאמר כי ביום </w:t>
      </w:r>
      <w:r>
        <w:rPr>
          <w:rFonts w:cs="FrankRuehl" w:ascii="FrankRuehl" w:hAnsi="FrankRuehl"/>
          <w:sz w:val="28"/>
          <w:szCs w:val="28"/>
        </w:rPr>
        <w:t>11.9.2020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 הלילה שהה עלאא גתית בביתו יחד עם שלושה חברים ובהם המנוח בהאא בדראן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לשעה </w:t>
      </w:r>
      <w:r>
        <w:rPr>
          <w:rFonts w:cs="FrankRuehl" w:ascii="FrankRuehl" w:hAnsi="FrankRuehl"/>
          <w:sz w:val="28"/>
          <w:szCs w:val="28"/>
        </w:rPr>
        <w:t>05:00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הגיעו לבית משפחת גתית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אחיו בהאא סלאחי ואדם נוסף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התעמתו מילולית עם עלאא גתית וחבריו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ועזבו את המקום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המפגש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רקע הסכסוך והעימות האמורים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קשרו הנאשמים ואבראהים קשר לירות על בית משפחת גתית – בית מוקף חומה ובה שער ברזל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 השיחות שהתקיימו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לשעה </w:t>
      </w:r>
      <w:r>
        <w:rPr>
          <w:rFonts w:cs="FrankRuehl" w:ascii="FrankRuehl" w:hAnsi="FrankRuehl"/>
          <w:sz w:val="28"/>
          <w:szCs w:val="28"/>
        </w:rPr>
        <w:t>06:30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הנאשמים ואיברהים לבית משפחת גתית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כשברשותם אקדח בקוטר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השלושה הגיעו למקום במכונית שבה נהג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כשלצידו ישב אבראהים ונאשם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ישב במושב האחורי</w:t>
      </w:r>
      <w:r>
        <w:rPr>
          <w:rFonts w:cs="FrankRuehl" w:ascii="FrankRuehl" w:hAnsi="FrankRuehl"/>
          <w:sz w:val="28"/>
          <w:szCs w:val="28"/>
          <w:rtl w:val="true"/>
        </w:rPr>
        <w:t>.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יצא המנוח מהבית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 דבר מה מרכבו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ועבר את שער חצר הבית בדרכו חזרה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הנאשמים ואבראהים בסמוך לבית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מטרים ספורים משער החצר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וירו לפחות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לעבר הבית מבעד לשער הברזל ולחומה הסמוכה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כשהם מודעים לאפשרות כי אדם עשוי להיפגע מן הירי ולמות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 מהירי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נפגע המנוח ומותו נגרם כתוצאה ממעבר קליע דרך הצוואר והריאה הימנית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נאמר כי לאחר האירוע נמלטו הנאשמים לרמאללה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ושהו בה עד למעצרם על ידי כוח משטרה ביום </w:t>
      </w:r>
      <w:r>
        <w:rPr>
          <w:rFonts w:cs="FrankRuehl" w:ascii="FrankRuehl" w:hAnsi="FrankRuehl"/>
          <w:sz w:val="28"/>
          <w:szCs w:val="28"/>
        </w:rPr>
        <w:t>13.10.2020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 האישום צוין עוד כי כתוצאה מהירי נפגע ומת הסוס של משפחת גתית שעמד באותה עת בחצר הבית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 המשפט הוגשו גיליונות ההרשעות הקודמות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מהם עולה כי השניים הורשעו בעבירות מרובות ובהן עבירות 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ובגינן ריצו תקופות מאסר ממושכות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בשל סירובם של בני משפחת המנוח לא הוגש בעניינם תסקיר נפגעי 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 משפחת המנוח בלטו בהיעדרם מאולם המשפט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 לא נשמעה ולו מילה אחת אודות המנוח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חייו ותכניותיו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שנגדעו בשל מותו באירוע מושא התיק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 מסרו כי בין משפחת המנוח למשפחת הנאשמים ולמשפחתו של אבראהים נערך הסכם סולחה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שבגדרו שולם למשפחת המנוח סכום של </w:t>
      </w:r>
      <w:r>
        <w:rPr>
          <w:rFonts w:cs="FrankRuehl" w:ascii="FrankRuehl" w:hAnsi="FrankRuehl"/>
          <w:sz w:val="28"/>
          <w:szCs w:val="28"/>
        </w:rPr>
        <w:t>130,000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דינר כפיצוי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שבו נשאו באופן שווה משפחת הנאשמים ומשפחת אבראהים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בעניינם של הנאשמים לא הוגשו תסקירי מבחן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מטעם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 תיעוד רפואי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ולפיו בשנת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נפגע מירי בשתי רגליו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נטען כי מאז הפגיעה האמורה נעזר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בקביים להליכה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הצדדים הפנו את בית המשפט לגזר הדין שניתן ביום </w:t>
      </w:r>
      <w:r>
        <w:rPr>
          <w:rFonts w:cs="FrankRuehl" w:ascii="FrankRuehl" w:hAnsi="FrankRuehl"/>
          <w:sz w:val="28"/>
          <w:szCs w:val="28"/>
        </w:rPr>
        <w:t>23.10.2022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 של אבראהים ב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56125-10-20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שבגדרו נקבע כי מתחם העונש ההולם לעבירות שבהן הורשע עומד על </w:t>
      </w:r>
      <w:r>
        <w:rPr>
          <w:rFonts w:cs="FrankRuehl" w:ascii="FrankRuehl" w:hAnsi="FrankRuehl"/>
          <w:sz w:val="28"/>
          <w:szCs w:val="28"/>
        </w:rPr>
        <w:t>12-8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ועונשו של אבראהים נגזר למאסר בפועל לתקופה של תשע שנים ומאסר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נקבע כי לא נפסק פיצוי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rtl w:val="true"/>
        </w:rPr>
        <w:t>נוכח הסכום המשמעותי ששולם במסגרת הסולחה ועמדת משפחת המנוח</w:t>
      </w:r>
      <w:r>
        <w:rPr>
          <w:rFonts w:cs="Miriam" w:ascii="Miriam" w:hAnsi="Miriam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 האישום המתוקן בעניינו של אבראהים דומה בהוראות החיקוק שבו ובעובדותיו לזה שהוגש בתיק שלפנינו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 של אבראהים הוסכם בין הצדדים כי אבראהים התייצב במשטרה לחקירה לאחר שהוזמן על ידי המשטרה וכי נחקר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חקירות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כשבחלקן הכחיש מעורבות באירוע מושא האישום או שתק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ובהמשך מסר הודעות מפלילות בעניינם של הנאשמים לאחר שהם נעצרו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בעניינו של איבראהים טען סנגורו כי הירי ארך בין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בניגוד לטענת המאשימה כי הירי נמשך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עולה מגזר הדין האמור כי לחובתו של איבראהים הרשעה משנת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של נהיגה ללא ביטוח והתחזות לאחר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שבגינן נדון למאסר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 והתחייבות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נזקף לחובתו רישום בעבירות תעבורה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צוין עוד כי עובר לאירוע ניהל אבראהים אורח חיים נורמטיבי ועבד לפרנסתו כקבלן בניין משעות הבוקר המוקדמות עד שעות הערב מידי 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בטיעוניה לעונש עמדה המאשימה על כך שבתקופה שקדמה לרפורמה בעבירות ההמתה משנת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עניינה של עבירת  ההמתה בקלות דעת  היה בדרך כלל גרימת מוות בתאונות דרכים או אירועי תאונה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בשונה מהאירוע מושא תיק זה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ציינה כי הגיעה להסדר הטיעון המקל שבגדרו הוגש 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התנגדותם של עדים שהוזמנו מטעם המאשימה להתייצב בבית המשפט למתן עדות בתיק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עמדה על כך כי הנאשמים וחברם לא טרחו לפתוח את שער הברזל בטרם ביצעו את הירי כדי לבדוק אם בני אדם שוהים בחצר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וחלף זאת ירו ללא אבחנה לעבר שער הברזל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נוכח הרשעותיהם הקודמות הכוללות שימוש בנשק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להרתיע את הנאשמים שלפנינו באופן קונקרטי משימוש בנשק בעתיד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נטען כי נדרש להרתיע את הרבים באמצעות ענישה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עמדת המאשימה היא כי מתחם העונש ההולם לעבירות שבהן הורשעו הנאשמים עומד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על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15-11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בנוסף לענישה נלווית ופיצוי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לטענתה יש להטיל על הנאשמים עונש מאסר בפועל של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אין להימנע מהטלת פיצוי על הנאשמים בשל הסכם הסולחה האמור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מסרה עוד כי מעצרם של הנאשמים התאפשר הודות למבצע של כוחות מיוחדים שפעלו ברמאללה לשם כך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בהשלמת טיעון בכתב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הגיבה המאשימה לטענת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ולפיה אין לגזור על הנאשמים עונש מאסר העולה על העונש המרבי שבצדה של העבירה החמורה מהשתיים שבהן הורשעו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המאשימה התייחסה לעובדות כתב האישום המתוקן וטענה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מתקיימים בעובדות אלו שני מעשי עבירה נפרדים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לעניין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186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סדר הדין הפלילי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 משולב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1982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תטען כי כיוון שהנאשמים הורשעו בשתי עבירות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המהוות גם שני מעשים שונים – אשר אף מועד התגבשותם שונה – ניתן להענישם בשל כל אחד מן המעשים בנפרד אף אם המתחם אחד הוא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הם מהווים אירוע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תטען המאשימה כי אין מניעה – ואף קיימת חובה נוכח עקרונות הענישה המנחים ובראשם עקרון ההלימה – כי חלקו העליון של המתחם יהיה גבוה מעונש המקסימום הנוגע לאחד מין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עבירת החזקת הנשק התגבשה עוד בטרם ביצוע עבירת ההמתה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ומשכך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עומדת בפני עצמה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האינטרסים המוגנים 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 כל אחת מהעבירות האמורות 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משכך מוסיפה המאשימה וטוענת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בענייננו יש לקבוע מתחם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עונש המקסימום שיוכל לגזור בית המשפט יהיה סכום שני עונשי המקסימום של שתי העבירות בהן הורשעו הנאשמים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בהשלמת טיעון נוספת התייחסה המאשימה לגזר הדין שניתן בעניינו של 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ומסרה כי עמדתה היא כי העונש לשיטתה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מקל מדי ואינו מגלם בתוכו את חומרת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יש להחמיר בעונשם של הנאשמים בהשוואה לעונשו של 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נוכח עברם הפלילי העשיר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שחלקו בגין עבירות אלימות ונוכח שיתוף הפעולה של אבראהים בפיענוח פרשה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בעניינו של איבראהים העניק בית המשפט משקל רב להסכם הסולחה האמור – דבר העומד בניגוד לפסיקת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 כי עצם המרתה של עבירת רצח מתוך אדישות שבה הואשמו הנאשמים ובגינה עמדו הם בסיכון של הטלת עונש מאסר עולם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לעבירה שבה הורשעו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מפריכה את טיעון המאשימה כי הנאשמים ניהלו את המשפט שלא לצורך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 אין לטשטש את פער החומרה בין ירי באדישות או בכוונת קטילה לירי לעבר חצר בלתי נראית – אירוע שרמת חומרתו פחותה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מוסיף וטוען כי אין הצדקה לגזור על הנאשמים מאסר בפועל העולה על 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נטען כי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מכה על חטא על מה שקרה 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נכנס לסכסוך לא שלו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אלוהים מלמעלה אמר לבחור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לבדראן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זכרונו לברכה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לצאת החוצה או לעשן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לדבר בטלפון ושם הייתה שעתו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 לא שעה שבה הבית הומה אנשים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ברור כאן שהירי היה ירי הפחדה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טוען עוד כי חלקו של אבראהים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משמעותי יותר מהנאשם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שתק בחקירתו וכשניסה להפליל הוא הפליל אחרים והרחיק את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נוכח העובדה כי הוא בעל הסכסוך הממושך עם משפחת גתית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על פי חומר החקירה ניסה אבראהים להדיח אחר בחקירה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ולעומתו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 במיוחס לו ואף ציין בחקירה את מקום המצא האקדח ששימש באירוע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על דבריו של חברו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וטען כי אין לגזור ענישה נפרדת בגין עבירת נשיאת הנשק ולהוסיפה לעונש הנגזר בתיק זה בגין עבירת ההמתה בקלות דעת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עוד נטען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 נשיאת הנשק הומרה בעבירת 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שכן החזקת הנשק כאן הייתה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 קונסטרוקטיבית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 מעצם השותפות לנסיעה ברכב ולעבירה הראשית של המתה בקלות דעת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לדעת ו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לקבוע מי החזיק את הנשק לפני הנסיעה 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ניתן לדעת ו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לקבוע מי ביצע את הירי שהוביל למות המנוח ולא ניתן לדעת ו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לקבוע מי החביא את הנשק אחרי הנסיעה 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והכל כמוסכם עם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המדינה וכחלק מהסדר הטיעון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נטען כי יש לזקוף לזכותם של הנאשמים את הודאתם ואת סיום התיק בהרשעתם ללא צורך בהכרעה שיפוטית בו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הוסיף וטען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עניינו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שונה לחלוטין ודינו אמור להיגזר באופן קל הרבה יותר מעונשו של מחמוד 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בין היתר משלנאשם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היה כל סכסוך עם משפחת המנוח והגעתו למקום הייתה באקראי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אף אחד לא יודע מתי ומי גמלה בליבו ההחלטה לירות לעבר הבית אשר דייריו היו מסוכסכים עם מחמוד אבראהים 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וכאשר ברור לכולם שבזמן הירי הנאשם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אחז בהגה המכונית בשתי ידיו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בשעת בוקר הגיעו הנאשמים וחברם אל בית משפחה שעמה היו מסוכסכים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וירו מבעד השער הסגור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אל תוך חצר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שגרם למותו של המנוח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המנוח בחור צעיר שהתארח בבית המשפחה האמורה ושהה בו באקראי איבד את חייו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לירי האמור קדם תכנון משותף של השלושה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שבמסגרתו הצטיידו הם באקדח שבאמצעותו בוצע הירי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השלושה ירו בעד שער הכניסה ממרחק של מטרים אחדים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בלי שבדקו קודם לכן אם בני המשפחה או אחרים שוהים בחצר הבית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כשהאקדח מכוון בזווית אופקית בגובה עמידתו של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ובשעה שבה צפויה שהיית אנשים בחצר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ואבראהים ביצעו את המעשה בצוותא חדא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 בקביעת מתחם העונש ההולם אין להבחין 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לא ניתן לייחס למי מהם את הלחיצה על ההדק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מובן כי אין בכך כדי לגרוע מאחריותו של כל אחד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חולק כי המרת הוראת החיקוק שבה הואשמו הנאשמים מלכתחילה לעבירה של המתה בקלות דעת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מחייבת הקלה בדינם בהשוואה לירי שנעשה בכוונה להמית או תוך אדישות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 ריבוי הקליעים שנורו אל תוך החצר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זווית הירי ושעת הירי אל חצר בית מגורים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מצדיקים קביעת מתחם ענישה מחמיר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שהפער בינו ובין אירועי תאונה מסוגים שונים רב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בהתנהגות אלימה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בריונית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 מטרתה הטלת מורא באחרים בדרך של שימוש בנשק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זלזול מופגן בחיי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התנהגות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מסכנת את החיים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פוגעת בסדר החברתי ובתחושת הביטחון העצמי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הוסיפו חטא על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 שלא הסגירו עד כה את כלי הנשק ששימש להמתה ובהימלטותם אל שטחי הרשות הפלסטינית ושהייתם בה כחודש ימים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שחייב את כוחות הביטחון לעצרם שם למרות המורכבות הכרוכה בכך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בקביעת מתחם העונש ההולם יש להביא בחשבון את העונש המרבי בגין עבירת ההמתה העומד על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 וכן את העונש המרבי הקבוע לצד עבירת החזקת הנשק העומד על שבע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 בטיעוני המאשימה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עובדות כתב האישום המוסכם בוצעה עבירת החזקת הנשק פרק זמן מסוים בטרם הירי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ומשכך אין היא נבלעת בעונש המרבי שלצד עבירת ההמתה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אנו ערים לכך שהמתחם שנקבע בעניינו של אבראהים נמוך מזה הנקבע בתיק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קביעת העונש ההולם לעבירה הינה סוגיה נורמטיבית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ובעניין זה עמדתנו שונה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האמור מתחם העונש ההולם לעבירות שעברו הנאשמים יעמוד על </w:t>
      </w:r>
      <w:r>
        <w:rPr>
          <w:rFonts w:cs="FrankRuehl" w:ascii="FrankRuehl" w:hAnsi="FrankRuehl"/>
          <w:sz w:val="28"/>
          <w:szCs w:val="28"/>
        </w:rPr>
        <w:t>14-10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 בתוספת ענישה נלווית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בין השנים </w:t>
      </w:r>
      <w:r>
        <w:rPr>
          <w:rFonts w:cs="FrankRuehl" w:ascii="FrankRuehl" w:hAnsi="FrankRuehl"/>
          <w:sz w:val="28"/>
          <w:szCs w:val="28"/>
        </w:rPr>
        <w:t>2019-2014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 פעמים לעונשי מאסר בגין עבירות 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רכוש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והפרת הוראה חוקית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בנוסף למאסר בן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שנגזר עליו בבית המשפט לנוער בגין עבירה של סיכון אדם בנתיב תחבורה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כן נדון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לחמישה חודשי מאסר בפועל בגין עבירה של נהיגה בחוסר זהירות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בסך הכול נגזרו על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בשבע השנים שקדמו למעצרו בגין תיק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למעלה מארבע שנות 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בין השנים </w:t>
      </w:r>
      <w:r>
        <w:rPr>
          <w:rFonts w:cs="FrankRuehl" w:ascii="FrankRuehl" w:hAnsi="FrankRuehl"/>
          <w:sz w:val="28"/>
          <w:szCs w:val="28"/>
        </w:rPr>
        <w:t>2016-2007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 פעמים לריצוי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בשנת </w:t>
      </w:r>
      <w:r>
        <w:rPr>
          <w:rFonts w:cs="FrankRuehl" w:ascii="FrankRuehl" w:hAnsi="FrankRuehl"/>
          <w:sz w:val="28"/>
          <w:szCs w:val="28"/>
        </w:rPr>
        <w:t>2007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בגין עבירה של גרימת מוות בכוונה לפי הצו להוראות בטחון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יהודה ושומרון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 פנייה למספר אנשים בהצעה לבצע פיגוע התאבדות בתוך מדינת ישראל באמצעות חגורת נפץ ואיתור אדם שהסכים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התחרט סמוך לפני ביצוע הפיגוע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בשנת </w:t>
      </w:r>
      <w:r>
        <w:rPr>
          <w:rFonts w:cs="FrankRuehl" w:ascii="FrankRuehl" w:hAnsi="FrankRuehl"/>
          <w:sz w:val="28"/>
          <w:szCs w:val="28"/>
        </w:rPr>
        <w:t>2011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בגין סיוע לניסיון התפרצות והסעת שוהה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ובשנת </w:t>
      </w:r>
      <w:r>
        <w:rPr>
          <w:rFonts w:cs="FrankRuehl" w:ascii="FrankRuehl" w:hAnsi="FrankRuehl"/>
          <w:sz w:val="28"/>
          <w:szCs w:val="28"/>
        </w:rPr>
        <w:t>2016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נדון לשלוש שנות מאסר בפועל בגין עבירת פציעה בנסיבות מחמירות לפי </w:t>
      </w:r>
      <w:hyperlink r:id="rId15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ונשיאת נשק שלא כדין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במיוחד רלוונטית לענייננו הרשעתם של הנאשמים ב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14991-07-15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שבגדרו הועמדו לדין ביחד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ובגדרו הורשעו בכך כי על רקע עימות בין אחיהם לאדם 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נסעו עם שניים נוספים לבית 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כשבידיו של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שיחה קצרה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שלף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 האקדח וירה לכיוון רגליהם של האחר ואביו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נגזר בגין אירוע זה מאסר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ועל 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נגזר מאסר בפועל של שלוש 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מעורבותם החוזרת ונשנית של הנאשמים בעבירות אלימות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בעבירות אלימות שבהן נעשה שימוש בנשק 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ועונשי מאסר שנגזרו עליהם בשנים האחרונות שלא הרתיעו אותם מלעבור את העבירות שלפנינו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הינה בעלת משקל רב בעת גזירת דינם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לכך יש להוסיף את הימלטותם של הנאשמים מהדין לאחר האירוע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 הודאתם בשלב מאוחר במשפט כחלק מהסדר טיעון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שמלמדים כי נטלו אחריות חלקית בלבד על מעשיהם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נוכח חומרתן של העבירות שבהן הורשעו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סברנו כי משקלו של הסכם הסולחה שנערך בין משפחת המנוח למשפחות הנאשמים ואבראהים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לגזירת הדין אינו גבוה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6496/21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ריאן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20.12.2021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הרשעותיהם הקודמות של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שחומרתן רבה ומידת הרלוונטיות שלהן לעבירות שלפנינו גבוהה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ומשהנאשמים לא נטלו אחריות ממשית על מעשיהם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לקבוע את עונשם ברף העליון של המתחם האמור או בקרבתו 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 בשים לב לעקרון אחידות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ראינו לנכון לקבוע את עונשם במרכז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יודגש כי אפילו אם היינו מאמצים בגזר דין זה את מתחם העונש ההולם לעבירות שנקבע בעניינו של 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נכון היה לגזור על הנאשמים את העונש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נסיבותיהם המחמירות בהשוואה לנסיבותיו של אבראהים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 דינם של הנאשמים ייגזר כלהלן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בפועל החל ביום מעצרם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לפי רישומי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שנת מאסר על תנאי שלא יעברו תוך שלוש שנים משחרורם עבירת אלימות מסוג פשע או עבירה בנשק מסוג 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פיצוי למשפחת המנוח בסך </w:t>
      </w:r>
      <w:r>
        <w:rPr>
          <w:rFonts w:cs="FrankRuehl" w:ascii="FrankRuehl" w:hAnsi="FrankRuehl"/>
          <w:sz w:val="28"/>
          <w:szCs w:val="28"/>
        </w:rPr>
        <w:t>100,000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שישולם על ידם ביחד ולחוד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וזאת עד ליום </w:t>
      </w:r>
      <w:r>
        <w:rPr>
          <w:rFonts w:cs="FrankRuehl" w:ascii="FrankRuehl" w:hAnsi="FrankRuehl"/>
          <w:sz w:val="28"/>
          <w:szCs w:val="28"/>
        </w:rPr>
        <w:t>2.4.2023</w:t>
      </w:r>
      <w:r>
        <w:rPr>
          <w:rtl w:val="true"/>
        </w:rPr>
        <w:t>.</w:t>
      </w:r>
    </w:p>
    <w:tbl>
      <w:tblPr>
        <w:bidiVisual w:val="true"/>
        <w:tblW w:w="2301" w:type="dxa"/>
        <w:jc w:val="start"/>
        <w:tblInd w:w="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1"/>
      </w:tblGrid>
      <w:tr>
        <w:trPr/>
        <w:tc>
          <w:tcPr>
            <w:tcW w:w="230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  <w:lang w:val="en-IL" w:eastAsia="en-IL"/>
              </w:rPr>
              <w:drawing>
                <wp:inline distT="0" distB="0" distL="0" distR="0">
                  <wp:extent cx="1323975" cy="457200"/>
                  <wp:effectExtent l="0" t="0" r="0" b="0"/>
                  <wp:docPr id="1" name="תמונה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27" t="-79" r="-27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301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ascii="FrankRuehl" w:hAnsi="FrankRuehl" w:cs="FrankRuehl"/>
                <w:b/>
                <w:b/>
                <w:bCs/>
                <w:rtl w:val="true"/>
              </w:rPr>
              <w:t>אלי אברבנאל</w:t>
            </w:r>
            <w:r>
              <w:rPr>
                <w:rFonts w:cs="FrankRuehl" w:ascii="FrankRuehl" w:hAnsi="FrankRuehl"/>
                <w:b/>
                <w:bCs/>
                <w:rtl w:val="true"/>
              </w:rPr>
              <w:t xml:space="preserve">, </w:t>
            </w:r>
            <w:r>
              <w:rPr>
                <w:rFonts w:ascii="FrankRuehl" w:hAnsi="FrankRuehl" w:cs="FrankRuehl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השופט א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דראל – סגן נשיא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מסכים</w:t>
      </w:r>
    </w:p>
    <w:tbl>
      <w:tblPr>
        <w:bidiVisual w:val="true"/>
        <w:tblW w:w="2962" w:type="dxa"/>
        <w:jc w:val="start"/>
        <w:tblInd w:w="-13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2"/>
      </w:tblGrid>
      <w:tr>
        <w:trPr>
          <w:trHeight w:val="992" w:hRule="atLeast"/>
        </w:trPr>
        <w:tc>
          <w:tcPr>
            <w:tcW w:w="296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b/>
                <w:bCs/>
                <w:rtl w:val="true"/>
                <w:lang w:val="en-IL" w:eastAsia="en-IL"/>
              </w:rPr>
              <w:drawing>
                <wp:inline distT="0" distB="0" distL="0" distR="0">
                  <wp:extent cx="981075" cy="751840"/>
                  <wp:effectExtent l="0" t="0" r="0" b="0"/>
                  <wp:docPr id="2" name="02221388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221388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42" t="-50" r="-42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51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6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lineRule="auto" w:line="276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ascii="FrankRuehl" w:hAnsi="FrankRuehl" w:cs="FrankRuehl"/>
                <w:b/>
                <w:b/>
                <w:bCs/>
                <w:rtl w:val="true"/>
              </w:rPr>
              <w:t>ארנון דראל</w:t>
            </w:r>
            <w:r>
              <w:rPr>
                <w:rFonts w:cs="FrankRuehl" w:ascii="FrankRuehl" w:hAnsi="FrankRuehl"/>
                <w:b/>
                <w:bCs/>
                <w:rtl w:val="true"/>
              </w:rPr>
              <w:t xml:space="preserve">, </w:t>
            </w:r>
            <w:r>
              <w:rPr>
                <w:rFonts w:ascii="FrankRuehl" w:hAnsi="FrankRuehl" w:cs="FrankRuehl"/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השופטת ח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זנדברג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מסכימה</w:t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tbl>
      <w:tblPr>
        <w:bidiVisual w:val="true"/>
        <w:tblW w:w="2961" w:type="dxa"/>
        <w:jc w:val="start"/>
        <w:tblInd w:w="1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1"/>
      </w:tblGrid>
      <w:tr>
        <w:trPr/>
        <w:tc>
          <w:tcPr>
            <w:tcW w:w="29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rtl w:val="true"/>
                <w:lang w:val="en-IL" w:eastAsia="en-IL"/>
              </w:rPr>
              <w:drawing>
                <wp:inline distT="0" distB="0" distL="0" distR="0">
                  <wp:extent cx="1743075" cy="638175"/>
                  <wp:effectExtent l="0" t="0" r="0" b="0"/>
                  <wp:docPr id="3" name="תמונה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תמונה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21" t="-56" r="-21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6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ascii="FrankRuehl" w:hAnsi="FrankRuehl" w:cs="FrankRuehl"/>
                <w:sz w:val="28"/>
                <w:sz w:val="28"/>
                <w:rtl w:val="true"/>
              </w:rPr>
              <w:t>חיה זנדברג</w:t>
            </w:r>
            <w:r>
              <w:rPr>
                <w:rFonts w:cs="FrankRuehl" w:ascii="FrankRuehl" w:hAnsi="FrankRuehl"/>
                <w:sz w:val="28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r>
        <w:br w:type="page"/>
      </w:r>
    </w:p>
    <w:p>
      <w:pPr>
        <w:pStyle w:val="Normal"/>
        <w:bidi w:val="0"/>
        <w:jc w:val="end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הוחלט פה אחד כאמור בגזר הדין שניתן על ידי כב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השופט א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אברבנאל</w:t>
      </w:r>
      <w:r>
        <w:rPr>
          <w:rFonts w:cs="FrankRuehl" w:ascii="FrankRuehl" w:hAnsi="FrankRuehl"/>
          <w:b/>
          <w:bCs/>
          <w:sz w:val="28"/>
          <w:szCs w:val="28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הודע על זכות ערעור לבית המשפט העליון תוך </w:t>
      </w:r>
      <w:r>
        <w:rPr>
          <w:rFonts w:cs="FrankRuehl" w:ascii="FrankRuehl" w:hAnsi="FrankRuehl"/>
          <w:b/>
          <w:bCs/>
          <w:sz w:val="28"/>
          <w:szCs w:val="28"/>
        </w:rPr>
        <w:t>45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color w:val="FFFFFF"/>
          <w:sz w:val="2"/>
          <w:szCs w:val="2"/>
        </w:rPr>
      </w:pPr>
      <w:r>
        <w:rPr>
          <w:rFonts w:cs="FrankRuehl" w:ascii="FrankRuehl" w:hAnsi="FrankRueh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82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2"/>
        <w:gridCol w:w="239"/>
        <w:gridCol w:w="2291"/>
        <w:gridCol w:w="239"/>
        <w:gridCol w:w="2654"/>
      </w:tblGrid>
      <w:tr>
        <w:trPr/>
        <w:tc>
          <w:tcPr>
            <w:tcW w:w="278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bookmarkStart w:id="11" w:name="Nitan"/>
            <w:r>
              <w:rPr>
                <w:rFonts w:cs="FrankRuehl" w:ascii="FrankRuehl" w:hAnsi="FrankRuehl"/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ניתן היום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ח בטבת התשפ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</w:rPr>
              <w:t>11.1.2023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במעמד הצדדים </w:t>
            </w:r>
            <w:bookmarkEnd w:id="11"/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b/>
                <w:bCs/>
                <w:rtl w:val="true"/>
              </w:rPr>
            </w:r>
          </w:p>
        </w:tc>
        <w:tc>
          <w:tcPr>
            <w:tcW w:w="22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b/>
                <w:bCs/>
                <w:rtl w:val="true"/>
              </w:rPr>
            </w:r>
          </w:p>
        </w:tc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</w:rPr>
            </w:pPr>
            <w:r>
              <w:rPr>
                <w:rFonts w:cs="FrankRuehl" w:ascii="FrankRuehl" w:hAnsi="FrankRuehl"/>
                <w:b/>
                <w:bCs/>
                <w:rtl w:val="true"/>
              </w:rPr>
            </w:r>
          </w:p>
        </w:tc>
      </w:tr>
      <w:tr>
        <w:trPr/>
        <w:tc>
          <w:tcPr>
            <w:tcW w:w="2782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rtl w:val="true"/>
              </w:rPr>
              <w:t>ארנון דראל</w:t>
            </w:r>
            <w:r>
              <w:rPr>
                <w:rFonts w:cs="FrankRuehl" w:ascii="FrankRuehl" w:hAnsi="FrankRuehl"/>
                <w:b/>
                <w:bCs/>
                <w:sz w:val="28"/>
                <w:rtl w:val="true"/>
              </w:rPr>
              <w:t xml:space="preserve">, </w:t>
            </w:r>
            <w:r>
              <w:rPr>
                <w:rFonts w:cs="FrankRuehl" w:ascii="FrankRuehl" w:hAnsi="FrankRuehl"/>
                <w:b/>
                <w:bCs/>
                <w:sz w:val="28"/>
                <w:rtl w:val="true"/>
                <w:lang w:val="en-IL" w:eastAsia="en-IL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rFonts w:cs="FrankRuehl" w:ascii="FrankRuehl" w:hAnsi="FrankRuehl"/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291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rFonts w:ascii="FrankRuehl" w:hAnsi="FrankRuehl" w:cs="FrankRuehl"/>
                <w:sz w:val="28"/>
              </w:rPr>
            </w:pPr>
            <w:r>
              <w:rPr>
                <w:rFonts w:ascii="FrankRuehl" w:hAnsi="FrankRuehl" w:cs="FrankRuehl"/>
                <w:sz w:val="28"/>
                <w:sz w:val="28"/>
                <w:rtl w:val="true"/>
              </w:rPr>
              <w:t>אלי אברבנאל</w:t>
            </w:r>
            <w:r>
              <w:rPr>
                <w:rFonts w:cs="FrankRuehl" w:ascii="FrankRuehl" w:hAnsi="FrankRuehl"/>
                <w:sz w:val="28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rFonts w:cs="FrankRuehl" w:ascii="FrankRuehl" w:hAnsi="FrankRuehl"/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lang w:val="en-IL" w:eastAsia="en-IL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חיה זנדברג</w:t>
            </w:r>
            <w:r>
              <w:rPr>
                <w:rFonts w:cs="FrankRuehl" w:ascii="FrankRuehl" w:hAnsi="FrankRuehl"/>
                <w:b/>
                <w:bCs/>
                <w:sz w:val="28"/>
                <w:rtl w:val="true"/>
                <w:lang w:val="en-IL" w:eastAsia="en-IL"/>
              </w:rPr>
              <w:t xml:space="preserve">,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שופטת</w:t>
            </w:r>
          </w:p>
        </w:tc>
      </w:tr>
    </w:tbl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דראל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4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63773-04-21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סאלחי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01c" TargetMode="External"/><Relationship Id="rId5" Type="http://schemas.openxmlformats.org/officeDocument/2006/relationships/hyperlink" Target="http://www.nevo.co.il/law/70301/329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186" TargetMode="External"/><Relationship Id="rId8" Type="http://schemas.openxmlformats.org/officeDocument/2006/relationships/hyperlink" Target="http://www.nevo.co.il/law/70301/301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27106066" TargetMode="External"/><Relationship Id="rId12" Type="http://schemas.openxmlformats.org/officeDocument/2006/relationships/hyperlink" Target="http://www.nevo.co.il/case/25380377" TargetMode="External"/><Relationship Id="rId13" Type="http://schemas.openxmlformats.org/officeDocument/2006/relationships/hyperlink" Target="http://www.nevo.co.il/law/74903/186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0301/3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0423944" TargetMode="External"/><Relationship Id="rId18" Type="http://schemas.openxmlformats.org/officeDocument/2006/relationships/hyperlink" Target="http://www.nevo.co.il/case/27933514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2024-05-05T08:19:00Z</dcterms:created>
  <dc:creator> </dc:creator>
  <dc:description/>
  <cp:keywords/>
  <dc:language>en-IL</dc:language>
  <cp:lastModifiedBy>h1</cp:lastModifiedBy>
  <dcterms:modified xsi:type="dcterms:W3CDTF">2024-05-05T08:19:00Z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סאלחי;מחמד סאלחי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27106066;25380377;20423944;27933514</vt:lpwstr>
  </property>
  <property fmtid="{D5CDD505-2E9C-101B-9397-08002B2CF9AE}" pid="9" name="CITY">
    <vt:lpwstr>י-ם</vt:lpwstr>
  </property>
  <property fmtid="{D5CDD505-2E9C-101B-9397-08002B2CF9AE}" pid="10" name="DATE">
    <vt:lpwstr>20230111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דראל;א' אברבנאל;ח' זנדברג </vt:lpwstr>
  </property>
  <property fmtid="{D5CDD505-2E9C-101B-9397-08002B2CF9AE}" pid="14" name="LAWLISTTMP1">
    <vt:lpwstr>70301/301c;144.a;329</vt:lpwstr>
  </property>
  <property fmtid="{D5CDD505-2E9C-101B-9397-08002B2CF9AE}" pid="15" name="LAWLISTTMP2">
    <vt:lpwstr>74903/186</vt:lpwstr>
  </property>
  <property fmtid="{D5CDD505-2E9C-101B-9397-08002B2CF9AE}" pid="16" name="LAWYER">
    <vt:lpwstr>נורית לנגנטל שוורץ;וסים דכוור; צבי אבנון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63773</vt:lpwstr>
  </property>
  <property fmtid="{D5CDD505-2E9C-101B-9397-08002B2CF9AE}" pid="23" name="NEWPARTB">
    <vt:lpwstr>04</vt:lpwstr>
  </property>
  <property fmtid="{D5CDD505-2E9C-101B-9397-08002B2CF9AE}" pid="24" name="NEWPARTC">
    <vt:lpwstr>21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390020230111</vt:lpwstr>
  </property>
  <property fmtid="{D5CDD505-2E9C-101B-9397-08002B2CF9AE}" pid="35" name="TYPE_N_DATE">
    <vt:lpwstr>39020230111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