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651-09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מוסטפא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 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 – 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משה דרורי ומשה יועֵד הכהן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מועתז מוסטפא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מוסטפא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דני ויטמן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 xml:space="preserve">מפרקליטות מחוז ירושלים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בלום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עלי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0" w:name="ABSTRACT_START"/>
      <w:bookmarkEnd w:id="10"/>
      <w:r>
        <w:rPr>
          <w:sz w:val="26"/>
          <w:sz w:val="26"/>
          <w:szCs w:val="26"/>
          <w:rtl w:val="true"/>
        </w:rPr>
        <w:t>בשלב מתקדם של שמיעת הראיות בתיק חזרו בהם הנאשמים מכפירתם והודו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 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 האישום המתוקן שהוגש נגדם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בגדר ההסדר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ל הוסכם על הצדדים כי לאחר הרשעתם תעתור המאשימה לעונש מאסר בפועל 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לתקופה של בין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ואילו לגבי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 כי עונשו יעמוד על מחצית העונש שתושת על נאשם 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עובדות כתב האישום המתוקן מצביעות על סכסוך קשה שהיה קיים בין משפחת הנאשמים למשפחת המתלוננים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 האירוע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2.10.09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בכפר עיסוויה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שעה שהמתלוננים ובן דודם עמדו ליד מוסך השייך למשפחת 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חלף במקום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וירק בהפגנתיות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בחלוף כ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הגיע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 נוספת לאזור המוסך כשהוא מחזיק סכין בידו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בינו לבין המתלוננים התפתח דין ודברים במהלכו שלף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 הסכין שהייתה בידו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המתלוננים סילקו את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מהמוסך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פנה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 הרחוב כאשר המתלוננים דולקים בעקבותיו כשאחד 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אוחז בידיו במוט עץ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התרחק מהמקום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בסמוך לאחר מכן שב על עקבותיו לכיוון המוסך כשהוא מצויד באקדח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 באקדחו 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כדורים לעבר המתלונן סאמר בכוונה לגרום לו חבלה 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היה לו מעצור באקדח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בו בזמן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הגיע למקום 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אחיו של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שנשא אף הוא 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בסמוך לאחר מכן ירה הנאשם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לעבר המתלונן סאמר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 בכוונה לגרום לו חבלה 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כדור אחד פגע בבטנו ופצע אותו 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 גם לעבר המתלונן נאדר 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כדור אחד פגע בבטנו ופצע גם אותו 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לשמע היריות  הגיע למקום אחיהם של המתלוננים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 לירות גם 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בשל מעצור באקדח הדבר לא צלח בידו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בעקבות אותם אירועים התפתחה במקום מהומה במהלכה הורחקו הנאשמים מהזירה 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 בני משפחתם ואילו המתלוננים הובהלו לבית החולים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במועד הרלוונטי לא היה לנאשמים רישיון לשאת נשק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 המעשים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 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 במסגרת הסדר הטיעון בעבירות של חבלה בכוונה מחמירה ונשיאת נשק שלא 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לפי </w:t>
      </w:r>
      <w:hyperlink r:id="rId5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329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hyperlink r:id="rId6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חוק העונשין</w:t>
        </w:r>
      </w:hyperlink>
      <w:r>
        <w:rPr>
          <w:sz w:val="26"/>
          <w:sz w:val="26"/>
          <w:szCs w:val="26"/>
          <w:rtl w:val="true"/>
        </w:rPr>
        <w:t xml:space="preserve"> 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ז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לאחר ההודאה באשמה החל מוכתר הכפר עיסוויה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 דרוויש דרוויש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בתהליך סולחה בין המשפחות אשר ידע עליות ומורדות ובסופו של יום הצליח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בשלב הטיעונים לעונש הופיעו לפנינו מלבד מוכתר הכפר גם שני המתלוננים והודיעו לבית המשפט כי סלחו לנאשמים על כל אשר גרמו להם ואף הרחיקו לכת שעה שירדו מדוכן העדים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צעדו לעבר 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התחבקו עימם ונישקו אותם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 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 הנאשמים הביעו את חרטתם המלאה והכנה על המעשים שביצעו והודו מקרב לב למתלוננים על אשר הואילו בסופו של יום לסלוח להם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בסיכומיו לעונש עתר להשתת עונש מאסר בפועל לתקופה המרבית לפי הסדר הטיעון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שנות מאסר 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ומחצית מעונש זה לנאשם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 אחד בתורו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 להשתת עונש העומד על הרף התחתון של 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שנות מאסר בפועל 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ומחצית מעונש זה לנאשם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רבות נאמר ונכתב בפסיקת בתי המשפט על הצורך בענישה מחמירה ומרתיעה בגין עבירות 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עבירות אלימות  המתבצעות באמצעות נשק חם ומסכנות חיי אדם ושלמות הגוף מחייבות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מקל וחומר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ענישה מחמירה ומרתיעה העשויה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 יש לקוות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לתרום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להקטנת מימדי התופעה אשר לצערנו פשתה לא אחת כנגע בחברה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כאמצעי לפתרון סכסוכים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ההיזקקות לאמצעי אלימות כה קשים כדרך התמודדות עם יריבויות באמצעות שימוש בנשק חם מצריכה תגובה עונשית הולמת ואפקטיבית כמסר מתחייב של הגנה על בטחון האדם וכמסר חינוכי שייקלט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 אנו מקווים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בהדרגה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בתודעת הציבור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במקרה 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מעגל האלימות הפוטנציאלי שהיה צפוי להתחולל בעקבות תקרית זו בין משפחות שכנות באותו כפר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מי יישורנו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 xml:space="preserve">משנערכה הסולחה והסתיימה בהסכמה של כל הניצים יש מידה גבוהה של הסתברות כי אותו מעגל אלימות פוטנציאלי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תם ונשלם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 יהיה לכך כל המשך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לעובדה זו יש משקל רב בעינינו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נדמה כי לא נפריז אם נאמר שאך בנס לא הסתיים אותו אירוע בתוצאה קשה פי כמה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התנהגות כה אלימה מצווה בית המשפט להגיב ביד קשה ולו 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 להרתיע עבריינים פוטנציאליים אחרים מלשוב ולבצע עבירות דומות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נוסיף ונאמר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 מרכיב הסולחה שימש שיקול חשוב בגזירת העונש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ללא הסולחה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מן הנמנע כי העונש היה חמור 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לאחר ששקלנו את טיעוני הצדדים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מזה וזה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באנו לכלל מסקנה כי יש לאמץ את הסדר הטיעון בכל הנוגע לאבחנה בין שני הנאשמים ולגזור על כל אחד מהנאשמים את העונשים במסגרת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הטווח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שבהסדר הטיעון 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על נאשם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א</w:t>
      </w:r>
      <w:r>
        <w:rPr>
          <w:rFonts w:cs="Times New Roman" w:ascii="Times New Roman" w:hAnsi="Times New Roman"/>
          <w:sz w:val="26"/>
          <w:szCs w:val="26"/>
          <w:rtl w:val="true"/>
        </w:rPr>
        <w:t>.</w:t>
        <w:tab/>
      </w:r>
      <w:r>
        <w:rPr>
          <w:rFonts w:cs="Times New Roman" w:ascii="Times New Roman" w:hAnsi="Times New Roman"/>
          <w:sz w:val="26"/>
          <w:szCs w:val="26"/>
        </w:rPr>
        <w:t>8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שנות מאסר בפועל החל מיום מעצרו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, </w:t>
      </w:r>
      <w:r>
        <w:rPr>
          <w:rFonts w:cs="Times New Roman" w:ascii="Times New Roman" w:hAnsi="Times New Roman"/>
          <w:sz w:val="26"/>
          <w:szCs w:val="26"/>
        </w:rPr>
        <w:t>2.10.09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ב</w:t>
      </w:r>
      <w:r>
        <w:rPr>
          <w:rFonts w:cs="Times New Roman" w:ascii="Times New Roman" w:hAnsi="Times New Roman"/>
          <w:sz w:val="26"/>
          <w:szCs w:val="26"/>
          <w:rtl w:val="true"/>
        </w:rPr>
        <w:t>.</w:t>
        <w:tab/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שנתיים מאסר על תנאי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,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 xml:space="preserve">שלא יעבור תוך </w:t>
      </w:r>
      <w:r>
        <w:rPr>
          <w:rFonts w:cs="Times New Roman" w:ascii="Times New Roman" w:hAnsi="Times New Roman"/>
          <w:sz w:val="26"/>
          <w:szCs w:val="26"/>
        </w:rPr>
        <w:t>3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שנים מיום שחרורו מהמאסר עבירת אלימות מסוג פשע ו</w:t>
      </w:r>
      <w:r>
        <w:rPr>
          <w:rFonts w:cs="Times New Roman" w:ascii="Times New Roman" w:hAnsi="Times New Roman"/>
          <w:sz w:val="26"/>
          <w:szCs w:val="26"/>
          <w:rtl w:val="true"/>
        </w:rPr>
        <w:t>/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או עבירה בנשק כלשהי מסוג פשע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/>
          <w:bCs/>
          <w:sz w:val="26"/>
          <w:sz w:val="26"/>
          <w:szCs w:val="26"/>
          <w:rtl w:val="true"/>
        </w:rPr>
        <w:t xml:space="preserve">על נאשם </w:t>
      </w:r>
      <w:r>
        <w:rPr>
          <w:rFonts w:cs="Times New Roman" w:ascii="Times New Roman" w:hAnsi="Times New Roman"/>
          <w:b/>
          <w:bCs/>
          <w:sz w:val="26"/>
          <w:szCs w:val="26"/>
        </w:rPr>
        <w:t>1</w:t>
      </w:r>
      <w:r>
        <w:rPr>
          <w:rFonts w:cs="Times New Roman" w:ascii="Times New Roman" w:hAnsi="Times New Roman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א</w:t>
      </w:r>
      <w:r>
        <w:rPr>
          <w:rFonts w:cs="Times New Roman" w:ascii="Times New Roman" w:hAnsi="Times New Roman"/>
          <w:sz w:val="26"/>
          <w:szCs w:val="26"/>
          <w:rtl w:val="true"/>
        </w:rPr>
        <w:t>.</w:t>
        <w:tab/>
      </w:r>
      <w:r>
        <w:rPr>
          <w:rFonts w:cs="Times New Roman" w:ascii="Times New Roman" w:hAnsi="Times New Roman"/>
          <w:sz w:val="26"/>
          <w:szCs w:val="26"/>
        </w:rPr>
        <w:t>4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 xml:space="preserve">שנות מאסר בפועל החל מיום מעצרו </w:t>
      </w:r>
      <w:r>
        <w:rPr>
          <w:rFonts w:cs="Times New Roman" w:ascii="Times New Roman" w:hAnsi="Times New Roman"/>
          <w:sz w:val="26"/>
          <w:szCs w:val="26"/>
        </w:rPr>
        <w:t>2.10.09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ב</w:t>
      </w:r>
      <w:r>
        <w:rPr>
          <w:rFonts w:cs="Times New Roman" w:ascii="Times New Roman" w:hAnsi="Times New Roman"/>
          <w:sz w:val="26"/>
          <w:szCs w:val="26"/>
          <w:rtl w:val="true"/>
        </w:rPr>
        <w:t>.</w:t>
        <w:tab/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שנה מאסר על תנאי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,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 xml:space="preserve">שלא יעבור תוך </w:t>
      </w:r>
      <w:r>
        <w:rPr>
          <w:rFonts w:cs="Times New Roman" w:ascii="Times New Roman" w:hAnsi="Times New Roman"/>
          <w:sz w:val="26"/>
          <w:szCs w:val="26"/>
        </w:rPr>
        <w:t>3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 xml:space="preserve">שנים מיום שחרורו מהמאסר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עבירת אלימות מסוג פשע ו</w:t>
      </w:r>
      <w:r>
        <w:rPr>
          <w:rFonts w:cs="Times New Roman" w:ascii="Times New Roman" w:hAnsi="Times New Roman"/>
          <w:sz w:val="26"/>
          <w:szCs w:val="26"/>
          <w:rtl w:val="true"/>
        </w:rPr>
        <w:t>/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או עבירה בנשק כלשהי מסוג פשע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firstLine="16" w:start="-16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בשל קיום הסולחה שכללה מרכיב של פיצוי כספי למתלוננים ומשפחתם נמנע ב</w:t>
      </w:r>
      <w:r>
        <w:rPr>
          <w:rFonts w:cs="Times New Roman" w:ascii="Times New Roman" w:hAnsi="Times New Roman"/>
          <w:sz w:val="26"/>
          <w:szCs w:val="26"/>
          <w:rtl w:val="true"/>
        </w:rPr>
        <w:t>"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כ המאשימה מלעתור לפיצוי המתלוננים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,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ואף אנו נימנע מכך בשל אותם הטעמים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/>
          <w:bCs/>
          <w:sz w:val="26"/>
          <w:sz w:val="26"/>
          <w:szCs w:val="26"/>
          <w:rtl w:val="true"/>
        </w:rPr>
        <w:t xml:space="preserve">הודעה לנאשמים זכותם לערער לבית המשפט העליון תוך </w:t>
      </w:r>
      <w:r>
        <w:rPr>
          <w:rFonts w:cs="Times New Roman" w:ascii="Times New Roman" w:hAnsi="Times New Roman"/>
          <w:b/>
          <w:bCs/>
          <w:sz w:val="26"/>
          <w:szCs w:val="26"/>
        </w:rPr>
        <w:t>45</w:t>
      </w:r>
      <w:r>
        <w:rPr>
          <w:rFonts w:cs="Times New Roman" w:ascii="Times New Roman" w:hAnsi="Times New Roman"/>
          <w:b/>
          <w:bCs/>
          <w:sz w:val="26"/>
          <w:szCs w:val="26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26"/>
          <w:sz w:val="26"/>
          <w:szCs w:val="26"/>
          <w:rtl w:val="true"/>
        </w:rPr>
        <w:t>יום מהיום</w:t>
      </w:r>
      <w:r>
        <w:rPr>
          <w:rFonts w:cs="Times New Roman" w:ascii="Times New Roman" w:hAnsi="Times New Roman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ניתן והודע היום כ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 אייר 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25/05/2011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במעמד הנוכחים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  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צבי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סגל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סגן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משה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דרורי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משה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יועד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הכהן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סינואני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651-09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מועתז מוסטפא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2016-05-03T11:23:00Z</dcterms:created>
  <dc:creator> </dc:creator>
  <dc:description/>
  <cp:keywords/>
  <dc:language>en-IL</dc:language>
  <cp:lastModifiedBy>hofit</cp:lastModifiedBy>
  <dcterms:modified xsi:type="dcterms:W3CDTF">2016-05-03T11:23:00Z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מועתז מוסטפא;מוחמד מוסטפא</vt:lpwstr>
  </property>
  <property fmtid="{D5CDD505-2E9C-101B-9397-08002B2CF9AE}" pid="4" name="CITY">
    <vt:lpwstr>י-ם</vt:lpwstr>
  </property>
  <property fmtid="{D5CDD505-2E9C-101B-9397-08002B2CF9AE}" pid="5" name="DATE">
    <vt:lpwstr>20110525</vt:lpwstr>
  </property>
  <property fmtid="{D5CDD505-2E9C-101B-9397-08002B2CF9AE}" pid="6" name="ISABSTRACT">
    <vt:lpwstr>Y</vt:lpwstr>
  </property>
  <property fmtid="{D5CDD505-2E9C-101B-9397-08002B2CF9AE}" pid="7" name="JUDGE">
    <vt:lpwstr>צבי סגל;משה דרורי ומשה יועֵד הכהן</vt:lpwstr>
  </property>
  <property fmtid="{D5CDD505-2E9C-101B-9397-08002B2CF9AE}" pid="8" name="LAWLISTTMP1">
    <vt:lpwstr>70301/329.a.1;144.b</vt:lpwstr>
  </property>
  <property fmtid="{D5CDD505-2E9C-101B-9397-08002B2CF9AE}" pid="9" name="LAWYER">
    <vt:lpwstr>דני ויטמן;מפרקליטות מחוז ירושלים;ו בלום;ו עלי</vt:lpwstr>
  </property>
  <property fmtid="{D5CDD505-2E9C-101B-9397-08002B2CF9AE}" pid="10" name="NEWPARTA">
    <vt:lpwstr>651</vt:lpwstr>
  </property>
  <property fmtid="{D5CDD505-2E9C-101B-9397-08002B2CF9AE}" pid="11" name="NEWPARTB">
    <vt:lpwstr/>
  </property>
  <property fmtid="{D5CDD505-2E9C-101B-9397-08002B2CF9AE}" pid="12" name="NEWPARTC">
    <vt:lpwstr>09</vt:lpwstr>
  </property>
  <property fmtid="{D5CDD505-2E9C-101B-9397-08002B2CF9AE}" pid="13" name="NEWPROC">
    <vt:lpwstr>תפח</vt:lpwstr>
  </property>
  <property fmtid="{D5CDD505-2E9C-101B-9397-08002B2CF9AE}" pid="14" name="PROCNUM">
    <vt:lpwstr>651</vt:lpwstr>
  </property>
  <property fmtid="{D5CDD505-2E9C-101B-9397-08002B2CF9AE}" pid="15" name="PROCYEAR">
    <vt:lpwstr>09</vt:lpwstr>
  </property>
  <property fmtid="{D5CDD505-2E9C-101B-9397-08002B2CF9AE}" pid="16" name="PSAKDIN">
    <vt:lpwstr>גזר-דין</vt:lpwstr>
  </property>
  <property fmtid="{D5CDD505-2E9C-101B-9397-08002B2CF9AE}" pid="17" name="RemarkFileName">
    <vt:lpwstr>mechozi me 09 651 823 htm</vt:lpwstr>
  </property>
  <property fmtid="{D5CDD505-2E9C-101B-9397-08002B2CF9AE}" pid="18" name="TYPE">
    <vt:lpwstr>2</vt:lpwstr>
  </property>
  <property fmtid="{D5CDD505-2E9C-101B-9397-08002B2CF9AE}" pid="19" name="TYPE_ABS_DATE">
    <vt:lpwstr>390020110525</vt:lpwstr>
  </property>
  <property fmtid="{D5CDD505-2E9C-101B-9397-08002B2CF9AE}" pid="20" name="TYPE_N_DATE">
    <vt:lpwstr>39020110525</vt:lpwstr>
  </property>
  <property fmtid="{D5CDD505-2E9C-101B-9397-08002B2CF9AE}" pid="21" name="WORDNUMPAGES">
    <vt:lpwstr>4</vt:lpwstr>
  </property>
</Properties>
</file>