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407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72"/>
        <w:gridCol w:w="468"/>
        <w:gridCol w:w="1836"/>
      </w:tblGrid>
      <w:tr>
        <w:trPr>
          <w:trHeight w:val="418" w:hRule="exact"/>
        </w:trPr>
        <w:tc>
          <w:tcPr>
            <w:tcW w:w="4076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177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תפ</w:t>
            </w:r>
            <w:r>
              <w:rPr>
                <w:b/>
                <w:bCs/>
                <w:sz w:val="26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8"/>
              </w:rPr>
              <w:t>6839-07-08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סטואר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836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28</w:t>
            </w:r>
            <w:r>
              <w:rPr>
                <w:b/>
                <w:bCs/>
                <w:sz w:val="2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8"/>
              </w:rPr>
              <w:t>2010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0" w:name="FirstLawyer"/>
      <w:bookmarkStart w:id="1" w:name="FirstAppellant"/>
      <w:bookmarkStart w:id="2" w:name="FirstLawyer"/>
      <w:bookmarkStart w:id="3" w:name="FirstAppellant"/>
      <w:bookmarkEnd w:id="2"/>
      <w:bookmarkEnd w:id="3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ע</w:t>
            </w:r>
            <w:r>
              <w:rPr>
                <w:b/>
                <w:bCs/>
                <w:sz w:val="26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י ב</w:t>
            </w:r>
            <w:r>
              <w:rPr>
                <w:b/>
                <w:bCs/>
                <w:sz w:val="26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כ עו</w:t>
            </w:r>
            <w:r>
              <w:rPr>
                <w:b/>
                <w:bCs/>
                <w:sz w:val="26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ד איריס פמיליה פוגל 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8"/>
              </w:rPr>
            </w:pPr>
            <w:r>
              <w:rPr>
                <w:rFonts w:cs="Arial" w:ascii="Arial" w:hAnsi="Arial"/>
                <w:b/>
                <w:bCs/>
                <w:sz w:val="26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 xml:space="preserve">אברהם סטואר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ע</w:t>
            </w:r>
            <w:r>
              <w:rPr>
                <w:b/>
                <w:bCs/>
                <w:sz w:val="26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י ב</w:t>
            </w:r>
            <w:r>
              <w:rPr>
                <w:b/>
                <w:bCs/>
                <w:sz w:val="26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כ עוה</w:t>
            </w:r>
            <w:r>
              <w:rPr>
                <w:b/>
                <w:bCs/>
                <w:sz w:val="26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ד יורם שפטל ושחר חצרוני</w:t>
            </w:r>
          </w:p>
        </w:tc>
      </w:tr>
    </w:tbl>
    <w:p>
      <w:pPr>
        <w:pStyle w:val="Normal"/>
        <w:ind w:end="0"/>
        <w:jc w:val="start"/>
        <w:rPr>
          <w:rStyle w:val="LineNumber"/>
        </w:rPr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color w:val="000000"/>
          <w:rtl w:val="true"/>
        </w:rPr>
        <w:t>ש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 xml:space="preserve">ז </w:t>
      </w:r>
      <w:hyperlink r:id="rId2">
        <w:r>
          <w:rPr>
            <w:rStyle w:val="Hyperlink"/>
            <w:rFonts w:ascii="FrankRuehl" w:hAnsi="FrankRuehl" w:cs="FrankRuehl"/>
            <w:rtl w:val="true"/>
          </w:rPr>
          <w:t>פלר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יסודות בדיני עונשין</w:t>
        </w:r>
      </w:hyperlink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כרך א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תשמ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ד</w:t>
      </w:r>
      <w:r>
        <w:rPr>
          <w:rFonts w:cs="FrankRuehl" w:ascii="FrankRuehl" w:hAnsi="FrankRuehl"/>
          <w:color w:val="000000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16-07-2008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6839-07-08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אברהם סטואר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אברהם טל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פמיליה פוגל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שפטל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21-09-2008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6839-07-08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אברהם סטואר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מנחם פינקלשטיין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אברהם טל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סג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נ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פמיליה פוגל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09-07-2009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6839-07-08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אברהם סטואר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אברהם טל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אחיקם סטולר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רות לורך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איריס פמיליה פוגל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שחר חצרוני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יורם שפטל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20-10-2010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6839-07-08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אברהם סטואר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אברהם טל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מנחם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אחיקם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איריס פמיליה פוגל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באי כוחו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יורם שפטל ושחר חצרוני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22-12-2010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9141/10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אברהם סטואר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דנה כהן לקח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29-11-2011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9141/10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אברהם סטואר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32"/>
        </w:rPr>
      </w:pPr>
      <w:r>
        <w:rPr>
          <w:rFonts w:cs="FrankRuehl" w:ascii="FrankRuehl" w:hAnsi="FrankRuehl"/>
          <w:sz w:val="28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32"/>
        </w:rPr>
      </w:pPr>
      <w:r>
        <w:rPr>
          <w:rFonts w:cs="Arial" w:ascii="Arial" w:hAnsi="Arial"/>
          <w:sz w:val="28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32"/>
        </w:rPr>
      </w:pPr>
      <w:r>
        <w:rPr>
          <w:rFonts w:cs="FrankRuehl" w:ascii="FrankRuehl" w:hAnsi="FrankRuehl"/>
          <w:sz w:val="28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8" w:name="Links_Start"/>
      <w:bookmarkEnd w:id="8"/>
      <w:r>
        <w:rPr>
          <w:rFonts w:ascii="FrankRuehl" w:hAnsi="FrankRuehl" w:cs="FrankRuehl"/>
          <w:rtl w:val="true"/>
        </w:rPr>
        <w:t>ספרות</w:t>
      </w:r>
      <w:hyperlink r:id="rId20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hyperlink r:id="rId21">
        <w:r>
          <w:rPr>
            <w:rStyle w:val="Hyperlink"/>
            <w:rFonts w:ascii="FrankRuehl" w:hAnsi="FrankRuehl" w:cs="FrankRuehl"/>
            <w:rtl w:val="true"/>
          </w:rPr>
          <w:t>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 פלר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יסודות בדיני עונשין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כרך א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32"/>
          <w:u w:val="single"/>
        </w:rPr>
      </w:pPr>
      <w:r>
        <w:rPr>
          <w:rFonts w:cs="Arial" w:ascii="Arial" w:hAnsi="Arial"/>
          <w:sz w:val="28"/>
          <w:szCs w:val="32"/>
          <w:u w:val="single"/>
          <w:rtl w:val="true"/>
        </w:rPr>
      </w:r>
      <w:bookmarkStart w:id="9" w:name="Links_End"/>
      <w:bookmarkStart w:id="10" w:name="Links_End"/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bookmarkStart w:id="11" w:name="PsakDin"/>
      <w:bookmarkEnd w:id="11"/>
      <w:r>
        <w:rPr>
          <w:rFonts w:ascii="Arial" w:hAnsi="Arial" w:cs="Arial"/>
          <w:b/>
          <w:b/>
          <w:bCs/>
          <w:sz w:val="28"/>
          <w:sz w:val="28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numPr>
          <w:ilvl w:val="0"/>
          <w:numId w:val="0"/>
        </w:numPr>
        <w:ind w:hanging="0" w:start="0" w:end="0"/>
        <w:jc w:val="both"/>
        <w:outlineLvl w:val="0"/>
        <w:rPr>
          <w:b/>
          <w:bCs/>
          <w:szCs w:val="28"/>
        </w:rPr>
      </w:pPr>
      <w:r>
        <w:rPr>
          <w:b/>
          <w:b/>
          <w:bCs/>
          <w:szCs w:val="28"/>
          <w:u w:val="single"/>
          <w:rtl w:val="true"/>
        </w:rPr>
        <w:t>כללי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 xml:space="preserve">ביום </w:t>
      </w:r>
      <w:r>
        <w:rPr>
          <w:szCs w:val="28"/>
        </w:rPr>
        <w:t>19/10/2010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הרשענו את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אברהם סטואר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לאחר שמיעת ראיות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בעבירות שיוחסו לו בכתב האישום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בשלושה אישומים שונים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2</w:t>
      </w:r>
      <w:r>
        <w:rPr>
          <w:szCs w:val="28"/>
          <w:rtl w:val="true"/>
        </w:rPr>
        <w:t>.</w:t>
      </w:r>
      <w:r>
        <w:rPr>
          <w:b/>
          <w:bCs/>
          <w:szCs w:val="28"/>
          <w:rtl w:val="true"/>
        </w:rPr>
        <w:tab/>
      </w:r>
      <w:bookmarkStart w:id="14" w:name="ABSTRACT_START"/>
      <w:bookmarkEnd w:id="14"/>
      <w:r>
        <w:rPr>
          <w:b/>
          <w:b/>
          <w:bCs/>
          <w:szCs w:val="28"/>
          <w:rtl w:val="true"/>
        </w:rPr>
        <w:t>באישום הראשון</w:t>
      </w:r>
      <w:r>
        <w:rPr>
          <w:szCs w:val="28"/>
          <w:rtl w:val="true"/>
        </w:rPr>
        <w:t xml:space="preserve"> הורשע הנאשם בעבירות של גרימת חבלה בכוונה מחמירה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לפי </w:t>
      </w:r>
      <w:hyperlink r:id="rId22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329</w:t>
        </w:r>
        <w:r>
          <w:rPr>
            <w:rStyle w:val="Hyperlink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Cs w:val="28"/>
            <w:u w:val="single"/>
          </w:rPr>
          <w:t>1</w:t>
        </w:r>
        <w:r>
          <w:rPr>
            <w:rStyle w:val="Hyperlink"/>
            <w:color w:val="0000FF"/>
            <w:szCs w:val="28"/>
            <w:u w:val="single"/>
            <w:rtl w:val="true"/>
          </w:rPr>
          <w:t>)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</w:t>
      </w:r>
      <w:hyperlink r:id="rId23">
        <w:r>
          <w:rPr>
            <w:rStyle w:val="Hyperlink"/>
            <w:szCs w:val="28"/>
            <w:rtl w:val="true"/>
          </w:rPr>
          <w:t>חוק העונשין</w:t>
        </w:r>
      </w:hyperlink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קשירת קשר לביצוע עבירת פשע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רצח</w:t>
      </w:r>
      <w:r>
        <w:rPr>
          <w:szCs w:val="28"/>
          <w:rtl w:val="true"/>
        </w:rPr>
        <w:t xml:space="preserve">), </w:t>
      </w:r>
      <w:r>
        <w:rPr>
          <w:szCs w:val="28"/>
          <w:rtl w:val="true"/>
        </w:rPr>
        <w:t xml:space="preserve">לפי </w:t>
      </w:r>
      <w:hyperlink r:id="rId24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499</w:t>
        </w:r>
        <w:r>
          <w:rPr>
            <w:rStyle w:val="Hyperlink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Cs w:val="28"/>
            <w:u w:val="single"/>
          </w:rPr>
          <w:t>1</w:t>
        </w:r>
        <w:r>
          <w:rPr>
            <w:rStyle w:val="Hyperlink"/>
            <w:color w:val="0000FF"/>
            <w:szCs w:val="28"/>
            <w:u w:val="single"/>
            <w:rtl w:val="true"/>
          </w:rPr>
          <w:t>)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לחוק העונשין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וכן עבירות בנשק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לפי </w:t>
      </w:r>
      <w:hyperlink r:id="rId25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144</w:t>
        </w:r>
        <w:r>
          <w:rPr>
            <w:rStyle w:val="Hyperlink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Cs w:val="28"/>
            <w:u w:val="single"/>
          </w:rPr>
          <w:t>2</w:t>
        </w:r>
        <w:r>
          <w:rPr>
            <w:rStyle w:val="Hyperlink"/>
            <w:color w:val="0000FF"/>
            <w:szCs w:val="28"/>
            <w:u w:val="single"/>
            <w:rtl w:val="true"/>
          </w:rPr>
          <w:t>)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לחוק העונשין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bookmarkStart w:id="15" w:name="ABSTRACT_END"/>
      <w:bookmarkEnd w:id="15"/>
      <w:r>
        <w:rPr>
          <w:szCs w:val="28"/>
          <w:rtl w:val="true"/>
        </w:rPr>
        <w:t xml:space="preserve">הנאשם הציע לסרגיי טפליצקי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להלן</w:t>
      </w:r>
      <w:r>
        <w:rPr>
          <w:szCs w:val="28"/>
          <w:rtl w:val="true"/>
        </w:rPr>
        <w:t>: "</w:t>
      </w:r>
      <w:r>
        <w:rPr>
          <w:b/>
          <w:b/>
          <w:bCs/>
          <w:szCs w:val="28"/>
          <w:rtl w:val="true"/>
        </w:rPr>
        <w:t>טפליצקי</w:t>
      </w:r>
      <w:r>
        <w:rPr>
          <w:szCs w:val="28"/>
          <w:rtl w:val="true"/>
        </w:rPr>
        <w:t xml:space="preserve">") </w:t>
      </w:r>
      <w:r>
        <w:rPr>
          <w:szCs w:val="28"/>
          <w:rtl w:val="true"/>
        </w:rPr>
        <w:t xml:space="preserve">לרצוח אדם תמורת </w:t>
      </w:r>
      <w:r>
        <w:rPr>
          <w:szCs w:val="28"/>
        </w:rPr>
        <w:t>15,000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דולר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טפליצקי הסכים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ובעקבות זאת קשרו השניים קשר לרצוח אדם בשם יואב סיני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 xml:space="preserve">לעניין השם יואב סינה או יואב סיני – ראו סעיף </w:t>
      </w:r>
      <w:r>
        <w:rPr>
          <w:szCs w:val="28"/>
        </w:rPr>
        <w:t>4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להכרעת הדין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 xml:space="preserve">במסגרת הקשר נפגשו הנאשם וטפליצקי בתאריך </w:t>
      </w:r>
      <w:r>
        <w:rPr>
          <w:szCs w:val="28"/>
        </w:rPr>
        <w:t>12.2.07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והנאשם מסר לטפליצקי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לשם ביצוע הרצח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אקדח גנוב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ביום </w:t>
      </w:r>
      <w:r>
        <w:rPr>
          <w:szCs w:val="28"/>
        </w:rPr>
        <w:t>14.2.07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הגיע טפליצקי באופנוע לקרבת ביתו של יואב סיני בראשון לציון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כאשר נכנס סיני לרכבו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כשאשתו יושבת לצידו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ירה טפליצקי לעברו של סיני מספר יריות כדי לפגוע בו ולגרום לו חבלה חמורה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עובר לירי החליט טפליצקי שלא לגרום למותו של סיני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ולאחר הירי הוא נמלט מהמקום כשהוא רוכב על אופנועו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כתוצאה מיריותיו של טפליצקי נפגע סיני מקליעים בכתפו השמאלית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בשוק ובירך רגל ימין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אשר גרמו לשיתוק ידו השמאלית ולפגיעה בעצבים ברגלו הימנית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והוא נזקק לטיפול רפואי ולאשפוז ממושך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למחרת נפגשו הנאשם וטפליצקי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והנאשם שילם לטפליצקי </w:t>
      </w:r>
      <w:r>
        <w:rPr>
          <w:szCs w:val="28"/>
        </w:rPr>
        <w:t>7,500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דולר והסביר לו כי קיבל את מחצית הסכום בלבד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משום ש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לא ביצע את העבודה עד הסוף</w:t>
      </w:r>
      <w:r>
        <w:rPr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3</w:t>
      </w:r>
      <w:r>
        <w:rPr>
          <w:szCs w:val="28"/>
          <w:rtl w:val="true"/>
        </w:rPr>
        <w:t>.</w:t>
        <w:tab/>
      </w:r>
      <w:r>
        <w:rPr>
          <w:b/>
          <w:b/>
          <w:bCs/>
          <w:szCs w:val="28"/>
          <w:rtl w:val="true"/>
        </w:rPr>
        <w:t>באישום השני</w:t>
      </w:r>
      <w:r>
        <w:rPr>
          <w:szCs w:val="28"/>
          <w:rtl w:val="true"/>
        </w:rPr>
        <w:t xml:space="preserve"> הורשע הנאשם בעבירות של ניסיון לרצח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לפי </w:t>
      </w:r>
      <w:hyperlink r:id="rId26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305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</w:t>
      </w:r>
      <w:hyperlink r:id="rId27">
        <w:r>
          <w:rPr>
            <w:rStyle w:val="Hyperlink"/>
            <w:szCs w:val="28"/>
            <w:rtl w:val="true"/>
          </w:rPr>
          <w:t>חוק העונשין</w:t>
        </w:r>
      </w:hyperlink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קשירת קשר לביצוע פשע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רצח</w:t>
      </w:r>
      <w:r>
        <w:rPr>
          <w:szCs w:val="28"/>
          <w:rtl w:val="true"/>
        </w:rPr>
        <w:t xml:space="preserve">), </w:t>
      </w:r>
      <w:r>
        <w:rPr>
          <w:szCs w:val="28"/>
          <w:rtl w:val="true"/>
        </w:rPr>
        <w:t xml:space="preserve">לפי </w:t>
      </w:r>
      <w:hyperlink r:id="rId28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499</w:t>
        </w:r>
        <w:r>
          <w:rPr>
            <w:rStyle w:val="Hyperlink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Cs w:val="28"/>
            <w:u w:val="single"/>
          </w:rPr>
          <w:t>1</w:t>
        </w:r>
        <w:r>
          <w:rPr>
            <w:rStyle w:val="Hyperlink"/>
            <w:color w:val="0000FF"/>
            <w:szCs w:val="28"/>
            <w:u w:val="single"/>
            <w:rtl w:val="true"/>
          </w:rPr>
          <w:t>)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לחוק העונשין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ועבירות בנשק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לפי </w:t>
      </w:r>
      <w:hyperlink r:id="rId29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144</w:t>
        </w:r>
        <w:r>
          <w:rPr>
            <w:rStyle w:val="Hyperlink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Cs w:val="28"/>
            <w:u w:val="single"/>
          </w:rPr>
          <w:t>2</w:t>
        </w:r>
        <w:r>
          <w:rPr>
            <w:rStyle w:val="Hyperlink"/>
            <w:color w:val="0000FF"/>
            <w:szCs w:val="28"/>
            <w:u w:val="single"/>
            <w:rtl w:val="true"/>
          </w:rPr>
          <w:t>)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לחוק העונשין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מספר שבועות לאחר הירי בסיני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נפגש הנאשם עם טפליצקי וביקש ממנו לרצוח אדם נוסף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השניים קשרו קשר להמית אדם בשם איציק כהן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והנאשם סיכם עם טפליצקי כי ישלם לו </w:t>
      </w:r>
      <w:r>
        <w:rPr>
          <w:szCs w:val="28"/>
        </w:rPr>
        <w:t>30,000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דולר תמורת הרצח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טפליצקי החל לעקוב אחרי איציק כהן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ובשלב מסוים סוכם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על דעת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לצרף אדם נוסף לביצוע המשימה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טפליצקי פנה לחברו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חודונוב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הציע לו לרצוח אדם תמורת </w:t>
      </w:r>
      <w:r>
        <w:rPr>
          <w:szCs w:val="28"/>
        </w:rPr>
        <w:t>15,000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דולר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וחודונוב הסכים לכך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 xml:space="preserve">כשבוע לפני </w:t>
      </w:r>
      <w:r>
        <w:rPr>
          <w:szCs w:val="28"/>
        </w:rPr>
        <w:t>12.4.07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הגיעו טפליצקי וחודונוב למקום מגוריו של איציק כהן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וזאת לשם קידום הקשר הפלילי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 xml:space="preserve">מספר ימים לפני </w:t>
      </w:r>
      <w:r>
        <w:rPr>
          <w:szCs w:val="28"/>
        </w:rPr>
        <w:t>12.4.07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נפגשו הנאשם וטפליצקי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ובמעמד זה מסר הנאשם לטפליצקי  שני אקדחים גנובים לשם ביצוע הרצח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יום לאחר מכן הציע חודונוב לטפליצקי לבצע את המשימה בעזרת משתיק קול שיורכב על אחד האקדחים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בעקבות זאת נפגש טפליצקי עם הנאשם וביקש ממנו לדאוג למשתיק קול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הנאשם מסר לטפליצקי ביום </w:t>
      </w:r>
      <w:r>
        <w:rPr>
          <w:szCs w:val="28"/>
        </w:rPr>
        <w:t>10.4.07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אקדח גנוב נוסף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ולמחרת נתן לטפליצקי משתיק קול המתאים לאקדח השלישי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 xml:space="preserve">ביום </w:t>
      </w:r>
      <w:r>
        <w:rPr>
          <w:szCs w:val="28"/>
        </w:rPr>
        <w:t>11.4.07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נסעו טפליצקי וחודונוב לביתו של איציק כהן כדי לגרום למותו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בהגיעם למקום הם גילו שאיציק כהן עזב את ביתו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ולכן שבו כלעומת שבאו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באותו ערב נפגשו שוב הנאשם וטפליצקי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והנאשם וידא עם טפליצקי כי למחרת הוא יחזור עם חודונוב לביתו של איציק כהן לשם השלמת המשימה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למחרת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ביום </w:t>
      </w:r>
      <w:r>
        <w:rPr>
          <w:szCs w:val="28"/>
        </w:rPr>
        <w:t>12.4.07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נסעו טפליצקי וחודונוב באופנוע לביתו של כהן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כשכל אחד מחזיק ברשותו אקדח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איציק כהן חמק מהמקום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והשניים עזבו את המקום כשהם מסכמים ביניהם לשוב אליו אחר הצהריים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בסמוך לשעה </w:t>
      </w:r>
      <w:r>
        <w:rPr>
          <w:szCs w:val="28"/>
        </w:rPr>
        <w:t>17:00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נטלו שוב השניים את שני האקדחים ונסעו על האופנוע לביתו של איציק כהן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הם החנו את האופנוע ברחוב סמוך לרחוב שבו גר כהן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התמקמו בחצר בית שממול לביתו ודרכו את שני האקדחים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כאשר המתינו לשובו של   כהן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עברה במקום ניידת משטרה שנקראה למקום בעקבות דיווח על תנועות חשודות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כשהבחינו טפליצקי וחודונוב בניידת המשטרה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הם הכניסו את כלי הנשק לתיק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וטפליצקי זרק את התיק אל מעבר לחומה החוצצת בין חצר הבניין לבין בית הקברות הסמוך </w:t>
      </w:r>
      <w:r>
        <w:rPr>
          <w:szCs w:val="28"/>
          <w:rtl w:val="true"/>
        </w:rPr>
        <w:t>("</w:t>
      </w:r>
      <w:r>
        <w:rPr>
          <w:szCs w:val="28"/>
          <w:rtl w:val="true"/>
        </w:rPr>
        <w:t>נחלת יצחק</w:t>
      </w:r>
      <w:r>
        <w:rPr>
          <w:szCs w:val="28"/>
          <w:rtl w:val="true"/>
        </w:rPr>
        <w:t xml:space="preserve">"). </w:t>
      </w:r>
      <w:r>
        <w:rPr>
          <w:szCs w:val="28"/>
          <w:rtl w:val="true"/>
        </w:rPr>
        <w:t>בשלב זה הם יצאו לרחוב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שם התבקשו על ידי שוטר לעצור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וכך  נתפסו בכף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4</w:t>
      </w:r>
      <w:r>
        <w:rPr>
          <w:szCs w:val="28"/>
          <w:rtl w:val="true"/>
        </w:rPr>
        <w:t>.</w:t>
      </w:r>
      <w:r>
        <w:rPr>
          <w:b/>
          <w:bCs/>
          <w:szCs w:val="28"/>
          <w:rtl w:val="true"/>
        </w:rPr>
        <w:t xml:space="preserve"> </w:t>
        <w:tab/>
      </w:r>
      <w:r>
        <w:rPr>
          <w:b/>
          <w:b/>
          <w:bCs/>
          <w:szCs w:val="28"/>
          <w:rtl w:val="true"/>
        </w:rPr>
        <w:t>באישום השלישי</w:t>
      </w:r>
      <w:r>
        <w:rPr>
          <w:szCs w:val="28"/>
          <w:rtl w:val="true"/>
        </w:rPr>
        <w:t xml:space="preserve"> הורשע הנאשם בעבירות של נשיאת נשק ללא היתר כדין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לפי </w:t>
      </w:r>
      <w:hyperlink r:id="rId30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144</w:t>
        </w:r>
        <w:r>
          <w:rPr>
            <w:rStyle w:val="Hyperlink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Cs w:val="28"/>
            <w:u w:val="single"/>
            <w:rtl w:val="true"/>
          </w:rPr>
          <w:t>)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</w:t>
      </w:r>
      <w:hyperlink r:id="rId31">
        <w:r>
          <w:rPr>
            <w:rStyle w:val="Hyperlink"/>
            <w:szCs w:val="28"/>
            <w:rtl w:val="true"/>
          </w:rPr>
          <w:t>חוק העונשין</w:t>
        </w:r>
      </w:hyperlink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איומים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לפי </w:t>
      </w:r>
      <w:hyperlink r:id="rId32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192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לחוק העונשין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יריות באזור מגורים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לפי </w:t>
      </w:r>
      <w:hyperlink r:id="rId33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340</w:t>
        </w:r>
        <w:r>
          <w:rPr>
            <w:rStyle w:val="Hyperlink"/>
            <w:color w:val="0000FF"/>
            <w:szCs w:val="28"/>
            <w:u w:val="single"/>
            <w:rtl w:val="true"/>
          </w:rPr>
          <w:t>א</w:t>
        </w:r>
      </w:hyperlink>
      <w:r>
        <w:rPr>
          <w:szCs w:val="28"/>
          <w:rtl w:val="true"/>
        </w:rPr>
        <w:t xml:space="preserve"> לחוק העונשין ותקיפה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לפי </w:t>
      </w:r>
      <w:hyperlink r:id="rId34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379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לחוק העונשין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 xml:space="preserve">ביום </w:t>
      </w:r>
      <w:r>
        <w:rPr>
          <w:szCs w:val="28"/>
        </w:rPr>
        <w:t>23.2.07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בשעת בוקר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נפגשו הנאשם וטפליצקי בתחנת דלק בחולון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הנאשם עלה על אופנועו של טפליצקי כנוסע מאחור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והם נסעו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לפי הוראותיו של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עד לרחוב חנקין בחולון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עם הגיעם למקום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בסמוך לתחנת אוטובוס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הורה הנאשם לטפליצקי לעצור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הנאשם ירד מהאופנוע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שלף אקדח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וירה מספר יריות לעבר איציק פרץ כדי לאיים עליו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לאחר מכן התקרב הנאשם לאיציק פרץ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החליף עמו מספר מילים ותקף אותו בידיו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הנאשם חזר לאופנוע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שעליו המתין טפליצקי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ועזב עמו את המקום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5</w:t>
      </w:r>
      <w:r>
        <w:rPr>
          <w:szCs w:val="28"/>
          <w:rtl w:val="true"/>
        </w:rPr>
        <w:t xml:space="preserve">. </w:t>
        <w:tab/>
      </w:r>
      <w:r>
        <w:rPr>
          <w:szCs w:val="28"/>
          <w:rtl w:val="true"/>
        </w:rPr>
        <w:t>נגד טפליצקי וחודונוב הוגש כתב אישום נפרד בבית המשפט המחוזי בתל</w:t>
      </w:r>
      <w:r>
        <w:rPr>
          <w:szCs w:val="28"/>
          <w:rtl w:val="true"/>
        </w:rPr>
        <w:t>-</w:t>
      </w:r>
      <w:r>
        <w:rPr>
          <w:szCs w:val="28"/>
          <w:rtl w:val="true"/>
        </w:rPr>
        <w:t xml:space="preserve">אביב </w:t>
      </w:r>
      <w:r>
        <w:rPr>
          <w:szCs w:val="28"/>
          <w:rtl w:val="true"/>
        </w:rPr>
        <w:t>(</w:t>
      </w:r>
      <w:r>
        <w:rPr>
          <w:b/>
          <w:b/>
          <w:bCs/>
          <w:color w:val="000000"/>
          <w:szCs w:val="28"/>
          <w:rtl w:val="true"/>
        </w:rPr>
        <w:t>תפ</w:t>
      </w:r>
      <w:r>
        <w:rPr>
          <w:b/>
          <w:bCs/>
          <w:color w:val="000000"/>
          <w:szCs w:val="28"/>
          <w:rtl w:val="true"/>
        </w:rPr>
        <w:t>"</w:t>
      </w:r>
      <w:r>
        <w:rPr>
          <w:b/>
          <w:b/>
          <w:bCs/>
          <w:color w:val="000000"/>
          <w:szCs w:val="28"/>
          <w:rtl w:val="true"/>
        </w:rPr>
        <w:t xml:space="preserve">ח </w:t>
      </w:r>
      <w:r>
        <w:rPr>
          <w:b/>
          <w:bCs/>
          <w:color w:val="000000"/>
          <w:szCs w:val="28"/>
        </w:rPr>
        <w:t>1059/07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הם הורשעו לפי הודאתם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ובמסגרת הסדר טיעון הכולל עונש מאסר בפועל מוסכם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ביום </w:t>
      </w:r>
      <w:r>
        <w:rPr>
          <w:szCs w:val="28"/>
        </w:rPr>
        <w:t>22.6.08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נגזר דינם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טפליצקי נדון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בין השאר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</w:t>
      </w:r>
      <w:r>
        <w:rPr>
          <w:szCs w:val="28"/>
          <w:rtl w:val="true"/>
        </w:rPr>
        <w:t>-</w:t>
      </w:r>
      <w:r>
        <w:rPr>
          <w:szCs w:val="28"/>
        </w:rPr>
        <w:t>11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מאסר בפועל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וחויב לפצות את יואב סיני בסכום של </w:t>
      </w:r>
      <w:r>
        <w:rPr>
          <w:szCs w:val="28"/>
        </w:rPr>
        <w:t>75,000</w:t>
      </w:r>
      <w:r>
        <w:rPr>
          <w:szCs w:val="28"/>
          <w:rtl w:val="true"/>
        </w:rPr>
        <w:t xml:space="preserve"> ₪, </w:t>
      </w:r>
      <w:r>
        <w:rPr>
          <w:szCs w:val="28"/>
          <w:rtl w:val="true"/>
        </w:rPr>
        <w:t>וחודונוב נדון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בין השאר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</w:t>
      </w:r>
      <w:r>
        <w:rPr>
          <w:szCs w:val="28"/>
          <w:rtl w:val="true"/>
        </w:rPr>
        <w:t>-</w:t>
      </w:r>
      <w:r>
        <w:rPr>
          <w:szCs w:val="28"/>
        </w:rPr>
        <w:t>6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מאסר בפועל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6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 xml:space="preserve">הנאשם הוא בן </w:t>
      </w:r>
      <w:r>
        <w:rPr>
          <w:szCs w:val="28"/>
        </w:rPr>
        <w:t>37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יש לו עבר פלילי הכולל חמש הרשעות בעבירות רכוש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סמים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אלימות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התחזות לאחר והפרעה לשוטר במילוי תפקידו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ואולם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הנאשם לא נדון בעבר לעונש מאסר בפועל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szCs w:val="28"/>
        </w:rPr>
      </w:pPr>
      <w:r>
        <w:rPr>
          <w:b/>
          <w:b/>
          <w:bCs/>
          <w:szCs w:val="28"/>
          <w:u w:val="single"/>
          <w:rtl w:val="true"/>
        </w:rPr>
        <w:t>טיעוני ב</w:t>
      </w:r>
      <w:r>
        <w:rPr>
          <w:b/>
          <w:bCs/>
          <w:szCs w:val="28"/>
          <w:u w:val="single"/>
          <w:rtl w:val="true"/>
        </w:rPr>
        <w:t>"</w:t>
      </w:r>
      <w:r>
        <w:rPr>
          <w:b/>
          <w:b/>
          <w:bCs/>
          <w:szCs w:val="28"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7</w:t>
      </w:r>
      <w:r>
        <w:rPr>
          <w:szCs w:val="28"/>
          <w:rtl w:val="true"/>
        </w:rPr>
        <w:t>.</w:t>
        <w:tab/>
      </w:r>
      <w:r>
        <w:rPr>
          <w:b/>
          <w:b/>
          <w:bCs/>
          <w:szCs w:val="28"/>
          <w:rtl w:val="true"/>
        </w:rPr>
        <w:t>ב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 המאשימה</w:t>
      </w:r>
      <w:r>
        <w:rPr>
          <w:szCs w:val="28"/>
          <w:rtl w:val="true"/>
        </w:rPr>
        <w:t xml:space="preserve"> ביקשה כי יוטל על הנאשם עונש מאסר בפועל ארוך ומשמעותי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עוד ביקשה להטיל על הנאשם עונשי מאסר על תנאי וקנס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וכן לחייבו בפיצויים בשיעור המקסימאלי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במרכז טיעוניה של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 xml:space="preserve">כ המאשימה עמדה הטענה כי עונש המאסר בפועל שיוטל על הנאשם צריך לעלות בשיעור ניכר על עונש המאסר בפועל שהוטל על טפליצקי </w:t>
      </w:r>
      <w:r>
        <w:rPr>
          <w:szCs w:val="28"/>
          <w:rtl w:val="true"/>
        </w:rPr>
        <w:t>(</w:t>
      </w:r>
      <w:r>
        <w:rPr>
          <w:szCs w:val="28"/>
        </w:rPr>
        <w:t>11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שנים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ביקשה כי תקופת המאסר בפועל שתוטל על הנאשם לא תפחת מ</w:t>
      </w:r>
      <w:r>
        <w:rPr>
          <w:szCs w:val="28"/>
          <w:rtl w:val="true"/>
        </w:rPr>
        <w:t xml:space="preserve">- </w:t>
      </w:r>
      <w:r>
        <w:rPr>
          <w:szCs w:val="28"/>
        </w:rPr>
        <w:t>20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8</w:t>
      </w:r>
      <w:r>
        <w:rPr>
          <w:szCs w:val="28"/>
          <w:rtl w:val="true"/>
        </w:rPr>
        <w:t xml:space="preserve">. </w:t>
        <w:tab/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עמדה על חומרתם של המעשים שבהם הורשע הנאשם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העונש הקבוע בחוק לצידה של עבירת ניסיון לרצח הוא </w:t>
      </w:r>
      <w:r>
        <w:rPr>
          <w:szCs w:val="28"/>
        </w:rPr>
        <w:t>20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וכזה גם העונש הקבוע לעבירה של גרימת חבלה בכוונה מחמירה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העבירה של מסירת כלי נשק לאחר </w:t>
      </w:r>
      <w:r>
        <w:rPr>
          <w:szCs w:val="28"/>
          <w:rtl w:val="true"/>
        </w:rPr>
        <w:t xml:space="preserve">- </w:t>
      </w:r>
      <w:r>
        <w:rPr>
          <w:szCs w:val="28"/>
          <w:rtl w:val="true"/>
        </w:rPr>
        <w:t xml:space="preserve">דינה מאסר </w:t>
      </w:r>
      <w:r>
        <w:rPr>
          <w:szCs w:val="28"/>
        </w:rPr>
        <w:t>15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שני האישומים המרכזיים הם האישום הראשון והשני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שבהם הפעיל הנאשם שכירי חרב במסגרת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חיסול חשבונות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>בקרב העולם התחתון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כל הסימנים מעידים על מעמדו ההיררכי הגבוה של הנאשם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הנאשם הוא הדמות הדומיננטית בארגון מעשי הפשע ובשליחת שכירי החרב לביצוע משימתם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בלעדיו לא היו המעשים יוצאים אל הפועל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בין השאר סיפק הנאשם שלושה אקדחים  ומשתיק קול לטפליצקי וחודונוב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והוא זה שמסר לטפליצקי את האינפורמציה אודות יואב סיני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אלא  שלמרבית הצער אירעה טעות בזיהוי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ואדם חף מפשע נורה ונפגע קשות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הנאשם גם טיפל במימון ההגנה המשפטית של טפליצקי וחודונוב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עוד ציינה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 xml:space="preserve">כ המאשימה כי במקרים אלה לא היו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מתלוננים קלאסיים</w:t>
      </w:r>
      <w:r>
        <w:rPr>
          <w:szCs w:val="28"/>
          <w:rtl w:val="true"/>
        </w:rPr>
        <w:t>" (</w:t>
      </w:r>
      <w:r>
        <w:rPr>
          <w:szCs w:val="28"/>
          <w:rtl w:val="true"/>
        </w:rPr>
        <w:t>הכוונה למעשים נשוא האישום השני והשלישי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אדרבה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המתלוננים חששו לשתף פעולה עם גורמי החקירה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הפחד מפניו של הנאשם והסובבים אותו מצביע על סיכון ממשי הנשקף מן הנאשם </w:t>
      </w:r>
      <w:r>
        <w:rPr>
          <w:szCs w:val="28"/>
          <w:rtl w:val="true"/>
        </w:rPr>
        <w:t xml:space="preserve">- </w:t>
      </w:r>
      <w:r>
        <w:rPr>
          <w:szCs w:val="28"/>
          <w:rtl w:val="true"/>
        </w:rPr>
        <w:t>סיכון המהווה שיקול לחומרא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לגבי הקורבן נשוא האישום הראשון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הצביעה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על היפגעותו הקשה כפי שמצביעים המסמכים הרפואיים שהוגשו לגביו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ציינה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בין השאר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שבמצב המשפטי הנוכחי לא ניתן פיצוי לקורבנות תמימים של מעשי אלימות כגון זה שבפנינו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עוד ציינה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שהאישום השלישי משווה נופך נוסף של חומרה  לכתב האישום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גם אם אין מדובר בו לכאורה במאבקים בעולם התחתון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הנאשם היה מוכן להשתמש בנשק בשטח בנוי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בשל סכסוך כספי בינו לבין איציק פרץ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 xml:space="preserve">כ המאשימה עתרה לכך שהעונש בגין אירוע זה לא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ייבלע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>בעונש המוטל בגין האירועים נושא האישומים הראשון והשני</w:t>
      </w:r>
      <w:r>
        <w:rPr>
          <w:szCs w:val="28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התמונה המצטיירת מכלל האירועים העברייניים היא של עבריין מסוכן מאוד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חסר מעצורים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שחיי אדם שווים בעיניו כקליפת השום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 xml:space="preserve">כ המאשימה ביקשה להשיב לטענת הסנגור אשר גרס כי נימוק לקולא משמעותי במקרה זה הוא העובדה שלפי עמדת המאשימה שימש הנאשם כזרועו הארוכה של אחר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איתן חייא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לדעת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זהו טיעון דמגוגי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והנאשם מבקש לאחוז את החבל הארוך משני קצותיו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בעניין זה הדגישה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כי הנאשם שתק בחקירתו והכחיש בבית המשפט את המיוחס לו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הוא מעולם לא מסר כי פעל בשליחותו של אחר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כל זאת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מעבר לכך שלעמדת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העובדות שנקבעו מלמדות על מעמדו הארגוני הגבוה של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שאינו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פועל שחור</w:t>
      </w:r>
      <w:r>
        <w:rPr>
          <w:szCs w:val="28"/>
          <w:rtl w:val="true"/>
        </w:rPr>
        <w:t xml:space="preserve">", </w:t>
      </w:r>
      <w:r>
        <w:rPr>
          <w:szCs w:val="28"/>
          <w:rtl w:val="true"/>
        </w:rPr>
        <w:t>אלא הדמות הדומיננטית בארגון המעשים הנפשעים וביצועם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בסיום דבריה עמדה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על הצורך במאבק ללא פשרות בארגוני הפשיעה ובתופעה של חיסולי חשבונות בקרב עבריינים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שבהם נפגעים לא אחת עוברי אורח תמימים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דרך מאבק חשובה היא הטלת עונשים משמעותיים ומרתיעים על מי שהורשעו בביצוע מעשים כגון אלה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צירפה פסיקה המצביעה על הטלת עונשים חמורים בעבירות של ניסיון לרצח בכלל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ובמקרים דומים בפרט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היא הצביעה על </w:t>
      </w:r>
      <w:hyperlink r:id="rId35">
        <w:r>
          <w:rPr>
            <w:rStyle w:val="Hyperlink"/>
            <w:szCs w:val="28"/>
            <w:rtl w:val="true"/>
          </w:rPr>
          <w:t>ע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 xml:space="preserve">פ </w:t>
        </w:r>
        <w:r>
          <w:rPr>
            <w:rStyle w:val="Hyperlink"/>
            <w:szCs w:val="28"/>
          </w:rPr>
          <w:t>4668/05</w:t>
        </w:r>
      </w:hyperlink>
      <w:r>
        <w:rPr>
          <w:szCs w:val="28"/>
          <w:rtl w:val="true"/>
        </w:rPr>
        <w:t xml:space="preserve">, </w:t>
      </w:r>
      <w:r>
        <w:rPr>
          <w:szCs w:val="28"/>
        </w:rPr>
        <w:t>4606/05</w:t>
      </w:r>
      <w:r>
        <w:rPr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סיאנוב נ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מדינת ישראל וערעור שכנגד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לא פורסם</w:t>
      </w:r>
      <w:r>
        <w:rPr>
          <w:szCs w:val="28"/>
          <w:rtl w:val="true"/>
        </w:rPr>
        <w:t xml:space="preserve">, </w:t>
      </w:r>
      <w:r>
        <w:rPr>
          <w:szCs w:val="28"/>
        </w:rPr>
        <w:t>9.3.2006</w:t>
      </w:r>
      <w:r>
        <w:rPr>
          <w:szCs w:val="28"/>
          <w:rtl w:val="true"/>
        </w:rPr>
        <w:t xml:space="preserve">) </w:t>
      </w:r>
      <w:r>
        <w:rPr>
          <w:szCs w:val="28"/>
          <w:rtl w:val="true"/>
        </w:rPr>
        <w:t>כתקדים המלמד שבמקרה מסוג זה שלפנינו מוצדק קיומו של פער ניכר בין מי שמשדל אחר לרצח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לבין מי שניסה בשליחותו לרצוח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כאשר פער זה לא היה גדול דיו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התערב בית המשפט העליון והחמיר בעונשו של המשדל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9</w:t>
      </w:r>
      <w:r>
        <w:rPr>
          <w:szCs w:val="28"/>
          <w:rtl w:val="true"/>
        </w:rPr>
        <w:t xml:space="preserve">. </w:t>
        <w:tab/>
      </w:r>
      <w:r>
        <w:rPr>
          <w:b/>
          <w:b/>
          <w:bCs/>
          <w:szCs w:val="28"/>
          <w:rtl w:val="true"/>
        </w:rPr>
        <w:t>ב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 xml:space="preserve">כ הנאשם </w:t>
      </w:r>
      <w:r>
        <w:rPr>
          <w:szCs w:val="28"/>
          <w:rtl w:val="true"/>
        </w:rPr>
        <w:t>ביקש להבהיר בפתח דבריו כי מאחר שהנאשם מתכוון לערער על הכרעת הדין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הרי טיעונו לעונש יהיה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משפטי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>גרידא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במובן זה שנקודת המוצא תהיה הממצאים העובדתיים שבהכרעת הדין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וכן גרסת המאשימה</w:t>
      </w:r>
      <w:r>
        <w:rPr>
          <w:szCs w:val="28"/>
          <w:rtl w:val="true"/>
        </w:rPr>
        <w:t xml:space="preserve">), </w:t>
      </w:r>
      <w:r>
        <w:rPr>
          <w:szCs w:val="28"/>
          <w:rtl w:val="true"/>
        </w:rPr>
        <w:t>הגם שממצאים אלה לא מקובלים על הנאשם וסנגוריו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במרכז טיעוניו של עו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ד שפטל עמדה הטענה שעונשו של הנאשם צריך להיות נמוך בהרבה מעונשו של טפליצקי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10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לדעת הסנגור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המאשימה סבורה כל העת כי הנאשם לא היה אלא 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מתווך</w:t>
      </w:r>
      <w:r>
        <w:rPr>
          <w:b/>
          <w:bCs/>
          <w:szCs w:val="28"/>
          <w:rtl w:val="true"/>
        </w:rPr>
        <w:t>"</w:t>
      </w:r>
      <w:r>
        <w:rPr>
          <w:szCs w:val="28"/>
          <w:rtl w:val="true"/>
        </w:rPr>
        <w:t xml:space="preserve">, 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צינור</w:t>
      </w:r>
      <w:r>
        <w:rPr>
          <w:b/>
          <w:bCs/>
          <w:szCs w:val="28"/>
          <w:rtl w:val="true"/>
        </w:rPr>
        <w:t>"</w:t>
      </w:r>
      <w:r>
        <w:rPr>
          <w:szCs w:val="28"/>
          <w:rtl w:val="true"/>
        </w:rPr>
        <w:t xml:space="preserve">, 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קוף</w:t>
      </w:r>
      <w:r>
        <w:rPr>
          <w:b/>
          <w:bCs/>
          <w:szCs w:val="28"/>
          <w:rtl w:val="true"/>
        </w:rPr>
        <w:t>"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ושימש כ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זרועו הארוכה</w:t>
      </w:r>
      <w:r>
        <w:rPr>
          <w:b/>
          <w:bCs/>
          <w:szCs w:val="28"/>
          <w:rtl w:val="true"/>
        </w:rPr>
        <w:t>"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של איתן חייא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טפליצקי וחודונוב לא הכירו את הקורבנות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ועשו מה שעשו תמורת בצע כסף בלבד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גם לנאשם לא היה קשר לקורבנות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ולא היה לו מניע לפגוע בהם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ואולם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שלא כטפליצקי וחודונוב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אין ראיה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וגם לא נטען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שהנאשם קיבל תשלום עבור מעשיו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כתימוכין לטיעונו של הסנגור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הוא היפנה לשני סעיפים בהכרעת הדין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בסעיף </w:t>
      </w:r>
      <w:r>
        <w:rPr>
          <w:szCs w:val="28"/>
        </w:rPr>
        <w:t>383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צוינו דבריו של רפ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 xml:space="preserve">ק משולם </w:t>
      </w:r>
      <w:r>
        <w:rPr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כי בשום שלב בחקירה לא אותרו קשר ישיר או היכרות בין הנאשם לבין יואב סינה ואיציק כהן</w:t>
      </w:r>
      <w:r>
        <w:rPr>
          <w:b/>
          <w:bCs/>
          <w:szCs w:val="28"/>
          <w:rtl w:val="true"/>
        </w:rPr>
        <w:t xml:space="preserve">... </w:t>
      </w:r>
      <w:r>
        <w:rPr>
          <w:b/>
          <w:b/>
          <w:bCs/>
          <w:szCs w:val="28"/>
          <w:rtl w:val="true"/>
        </w:rPr>
        <w:t>רפ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ק</w:t>
      </w:r>
      <w:r>
        <w:rPr>
          <w:b/>
          <w:b/>
          <w:bCs/>
          <w:szCs w:val="28"/>
          <w:u w:val="single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 xml:space="preserve">משולם סבור כי הנאשם היווה </w:t>
      </w:r>
      <w:r>
        <w:rPr>
          <w:b/>
          <w:bCs/>
          <w:szCs w:val="28"/>
          <w:rtl w:val="true"/>
        </w:rPr>
        <w:t>'</w:t>
      </w:r>
      <w:r>
        <w:rPr>
          <w:b/>
          <w:b/>
          <w:bCs/>
          <w:szCs w:val="28"/>
          <w:rtl w:val="true"/>
        </w:rPr>
        <w:t>צינור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של איתן חייא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כאשר לאחרון היה מניע לפגוע ביואב סינה ובאיציק כהן</w:t>
      </w:r>
      <w:r>
        <w:rPr>
          <w:b/>
          <w:bCs/>
          <w:szCs w:val="28"/>
          <w:rtl w:val="true"/>
        </w:rPr>
        <w:t xml:space="preserve">". </w:t>
      </w:r>
      <w:r>
        <w:rPr>
          <w:b/>
          <w:b/>
          <w:bCs/>
          <w:szCs w:val="28"/>
          <w:rtl w:val="true"/>
        </w:rPr>
        <w:t>במקום אחר</w:t>
      </w:r>
      <w:r>
        <w:rPr>
          <w:b/>
          <w:bCs/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בסעיף </w:t>
      </w:r>
      <w:r>
        <w:rPr>
          <w:szCs w:val="28"/>
        </w:rPr>
        <w:t>387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להכרעת הדין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נאמר</w:t>
      </w:r>
      <w:r>
        <w:rPr>
          <w:szCs w:val="28"/>
          <w:rtl w:val="true"/>
        </w:rPr>
        <w:t xml:space="preserve">: 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טענת ב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 המאשימה היא כי הטעם לניסיון ההתנקשות בחייו של איציק כהן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נעוץ בקשר שבין הנאשם לבין איתן חייא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על רקע רצונו של חייא להרוג את איציק כהן</w:t>
      </w:r>
      <w:r>
        <w:rPr>
          <w:b/>
          <w:bCs/>
          <w:szCs w:val="28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כאסמכתא משפטית לטיעונו של הסנגור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הוא היפנה ל</w:t>
      </w:r>
      <w:r>
        <w:rPr>
          <w:szCs w:val="28"/>
          <w:rtl w:val="true"/>
        </w:rPr>
        <w:t>-</w:t>
      </w:r>
      <w:r>
        <w:rPr>
          <w:color w:val="000000"/>
          <w:szCs w:val="28"/>
          <w:rtl w:val="true"/>
        </w:rPr>
        <w:t>ע</w:t>
      </w:r>
      <w:r>
        <w:rPr>
          <w:color w:val="000000"/>
          <w:szCs w:val="28"/>
          <w:rtl w:val="true"/>
        </w:rPr>
        <w:t>"</w:t>
      </w:r>
      <w:r>
        <w:rPr>
          <w:color w:val="000000"/>
          <w:szCs w:val="28"/>
          <w:rtl w:val="true"/>
        </w:rPr>
        <w:t xml:space="preserve">פ </w:t>
      </w:r>
      <w:r>
        <w:rPr>
          <w:color w:val="000000"/>
          <w:szCs w:val="28"/>
        </w:rPr>
        <w:t>5083/08</w:t>
      </w:r>
      <w:r>
        <w:rPr>
          <w:szCs w:val="28"/>
          <w:rtl w:val="true"/>
        </w:rPr>
        <w:t xml:space="preserve">, </w:t>
      </w:r>
      <w:r>
        <w:rPr>
          <w:szCs w:val="28"/>
        </w:rPr>
        <w:t>5208/08</w:t>
      </w:r>
      <w:r>
        <w:rPr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בניזרי ואלבז נ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 xml:space="preserve">מדינת ישראל וערעורים שכנגד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לא פורסם</w:t>
      </w:r>
      <w:r>
        <w:rPr>
          <w:szCs w:val="28"/>
          <w:rtl w:val="true"/>
        </w:rPr>
        <w:t xml:space="preserve">, </w:t>
      </w:r>
      <w:r>
        <w:rPr>
          <w:szCs w:val="28"/>
        </w:rPr>
        <w:t>24.6.2009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לפי הטענה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יש להשוות את הנאשם שלפנינו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לרב אלבז באותה פרשה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שכן הרב אלבז הורשע בעבירה של </w:t>
      </w:r>
      <w:r>
        <w:rPr>
          <w:b/>
          <w:b/>
          <w:bCs/>
          <w:szCs w:val="28"/>
          <w:rtl w:val="true"/>
        </w:rPr>
        <w:t>תיווך לשוחד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וגם הנאשם שלפנינו אינו אלא 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מתווך</w:t>
      </w:r>
      <w:r>
        <w:rPr>
          <w:b/>
          <w:bCs/>
          <w:szCs w:val="28"/>
          <w:rtl w:val="true"/>
        </w:rPr>
        <w:t>"</w:t>
      </w:r>
      <w:r>
        <w:rPr>
          <w:szCs w:val="28"/>
          <w:rtl w:val="true"/>
        </w:rPr>
        <w:t xml:space="preserve"> (</w:t>
      </w:r>
      <w:r>
        <w:rPr>
          <w:szCs w:val="28"/>
          <w:rtl w:val="true"/>
        </w:rPr>
        <w:t>לפי דרך הטיעון שהובאה לעיל</w:t>
      </w:r>
      <w:r>
        <w:rPr>
          <w:szCs w:val="28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והנה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הרב בניזרי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שאותו יש להשוות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לפי הטיעון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למבצעים הישירים במקרה שלפנינו</w:t>
      </w:r>
      <w:r>
        <w:rPr>
          <w:szCs w:val="28"/>
          <w:rtl w:val="true"/>
        </w:rPr>
        <w:t xml:space="preserve">) </w:t>
      </w:r>
      <w:r>
        <w:rPr>
          <w:szCs w:val="28"/>
          <w:rtl w:val="true"/>
        </w:rPr>
        <w:t>נדון בבית המשפט העליון לארבע שנות מאסר בפועל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בעוד אשר לגבי הרב אלבז אושר עונש של </w:t>
      </w:r>
      <w:r>
        <w:rPr>
          <w:szCs w:val="28"/>
        </w:rPr>
        <w:t>8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חודשי מאסר על תנאי בלבד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11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בסיום דבריו ציין הסנגור את הנקודות הבאות</w:t>
      </w:r>
      <w:r>
        <w:rPr>
          <w:szCs w:val="28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א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לנאשם אין עבר פלילי משמעותי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והוא לא נדון בעבר לעונש מאסר בפועל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העבירות שביצע ישנות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 xml:space="preserve">האחרונה משנת </w:t>
      </w:r>
      <w:r>
        <w:rPr>
          <w:szCs w:val="28"/>
        </w:rPr>
        <w:t>2000</w:t>
      </w:r>
      <w:r>
        <w:rPr>
          <w:szCs w:val="28"/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ב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 xml:space="preserve">הנאשם נמצא </w:t>
      </w:r>
      <w:r>
        <w:rPr>
          <w:szCs w:val="28"/>
        </w:rPr>
        <w:t>27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חודשים רצופים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מעצר בית</w:t>
      </w:r>
      <w:r>
        <w:rPr>
          <w:szCs w:val="28"/>
          <w:rtl w:val="true"/>
        </w:rPr>
        <w:t xml:space="preserve">", </w:t>
      </w:r>
      <w:r>
        <w:rPr>
          <w:szCs w:val="28"/>
          <w:rtl w:val="true"/>
        </w:rPr>
        <w:t>ומן הראוי להתחשב בכך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ג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 xml:space="preserve">המאשימה לא יכולה לבקש כי הנאשם יחויב בפיצויים בשיעור גבוה מהפיצויים שחויב בהם טפליצקי </w:t>
      </w:r>
      <w:r>
        <w:rPr>
          <w:szCs w:val="28"/>
          <w:rtl w:val="true"/>
        </w:rPr>
        <w:t>(</w:t>
      </w:r>
      <w:r>
        <w:rPr>
          <w:szCs w:val="28"/>
        </w:rPr>
        <w:t>75,000</w:t>
      </w:r>
      <w:r>
        <w:rPr>
          <w:szCs w:val="28"/>
          <w:rtl w:val="true"/>
        </w:rPr>
        <w:t xml:space="preserve"> ₪). 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ד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מאחר שלא נטען כי הנאשם הפיק תועלת כלכלית מהמעשים שבהם הורשע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אין מקום לכך שיוטל עליו עונש קנס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ה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מובן כי הנאשם לא יביע חרטה על מעשיו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שהרי הוא כופר בממצאים שנקבעו לגביו בהכרעת הדין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דיון והכרעה עונשית</w:t>
      </w:r>
    </w:p>
    <w:p>
      <w:pPr>
        <w:pStyle w:val="Normal"/>
        <w:spacing w:lineRule="auto" w:line="360"/>
        <w:ind w:end="0"/>
        <w:jc w:val="both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12</w:t>
      </w:r>
      <w:r>
        <w:rPr>
          <w:szCs w:val="28"/>
          <w:rtl w:val="true"/>
        </w:rPr>
        <w:t xml:space="preserve">. </w:t>
        <w:tab/>
      </w:r>
      <w:r>
        <w:rPr>
          <w:szCs w:val="28"/>
          <w:rtl w:val="true"/>
        </w:rPr>
        <w:t>לפנינו נגולה בהרחבה פרשה קשה ביותר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ובמרכזה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שכירי אקדח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>ששכר הנאשם כדי לרצוח אנשים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שמענו בהרחבה גם ראיות הנוגעות לרקע האירועים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וברור שמדובר בניסיונות ל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חיסול חשבונות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>עברייני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b/>
          <w:b/>
          <w:bCs/>
          <w:szCs w:val="28"/>
          <w:rtl w:val="true"/>
        </w:rPr>
        <w:t>בפרשה נושא האישום הראשון</w:t>
      </w:r>
      <w:r>
        <w:rPr>
          <w:szCs w:val="28"/>
          <w:rtl w:val="true"/>
        </w:rPr>
        <w:t xml:space="preserve"> שכר הנאשם את טפליצקי כדי לרצוח אדם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אך נפלה טעות בזיהוי ונבחר כקורבן אדם תמים ששמו דומה לשמו של הקורבן המיועד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הקורבן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יואב סיני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נפגע קשות משלושה קליעים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ואושפז לתקופה ארוכה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המאשימה לא שללה את דברי טפליצקי שלפיהם החליט ברגע האחרון שלא לגרום למותו של הקורבן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אלא ירה עליו כדי לפוצעו ולחבול בו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בלבד</w:t>
      </w:r>
      <w:r>
        <w:rPr>
          <w:szCs w:val="28"/>
          <w:rtl w:val="true"/>
        </w:rPr>
        <w:t xml:space="preserve">". </w:t>
      </w:r>
      <w:r>
        <w:rPr>
          <w:szCs w:val="28"/>
          <w:rtl w:val="true"/>
        </w:rPr>
        <w:t>לפיכך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מבחינה משפטית לא הואשם הנאשם – כפי שלא הואשם טפליצקי </w:t>
      </w:r>
      <w:r>
        <w:rPr>
          <w:szCs w:val="28"/>
          <w:rtl w:val="true"/>
        </w:rPr>
        <w:t xml:space="preserve">- </w:t>
      </w:r>
      <w:r>
        <w:rPr>
          <w:szCs w:val="28"/>
          <w:rtl w:val="true"/>
        </w:rPr>
        <w:t>בעבירה של ניסיון לרצח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ואולם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יש לזכור כי הנאשם שידל לרצח ממש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ולא זו בלבד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אלא שהשכר המיועד בסך </w:t>
      </w:r>
      <w:r>
        <w:rPr>
          <w:szCs w:val="28"/>
        </w:rPr>
        <w:t>15,000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דולר לטפליצקי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קוצץ במחצית והועמד על </w:t>
      </w:r>
      <w:r>
        <w:rPr>
          <w:szCs w:val="28"/>
        </w:rPr>
        <w:t>7,500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דולר בלבד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מאחר שהקורבן לא מת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b/>
          <w:b/>
          <w:bCs/>
          <w:szCs w:val="28"/>
          <w:rtl w:val="true"/>
        </w:rPr>
        <w:t xml:space="preserve">בפרשה נושא האישום השני </w:t>
      </w:r>
      <w:r>
        <w:rPr>
          <w:szCs w:val="28"/>
          <w:rtl w:val="true"/>
        </w:rPr>
        <w:t xml:space="preserve">הורשע הנאשם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כמו טפליצקי וחודונוב</w:t>
      </w:r>
      <w:r>
        <w:rPr>
          <w:szCs w:val="28"/>
          <w:rtl w:val="true"/>
        </w:rPr>
        <w:t xml:space="preserve">), </w:t>
      </w:r>
      <w:r>
        <w:rPr>
          <w:szCs w:val="28"/>
          <w:rtl w:val="true"/>
        </w:rPr>
        <w:t>בין השאר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בעבירה של ניסיון לרצח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גם במקרה זה הוא שכר את טפליצקי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והפעם תמורת </w:t>
      </w:r>
      <w:r>
        <w:rPr>
          <w:szCs w:val="28"/>
        </w:rPr>
        <w:t>30,000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דולר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בשלב מסוים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על דעת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הצטרף שכיר חרב נוסף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חודונוב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שהיה אמור לחלוק את שכר הפשע עם חברו טפליצקי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פעולות רבות נעשו כדי לקדם את הקשר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בין השאר סיפק הנאשם לטפליצקי ולחודונוב שלושה אקדחים ומשתיק קול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טפליצקי וחודונוב הגיעו מספר פעמים לביתו של הקורבן המיועד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אלא שלא הצליחו לבצע את משימתם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בפעם האחרונה הם התמקמו מול ביתו של הקורבן ודרכו את אקדחיהם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ואולם הם נתפסו באקראי על ידי המשטרה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b/>
          <w:b/>
          <w:bCs/>
          <w:szCs w:val="28"/>
          <w:rtl w:val="true"/>
        </w:rPr>
        <w:t>בפרשה נושא האישום השלישי</w:t>
      </w:r>
      <w:r>
        <w:rPr>
          <w:szCs w:val="28"/>
          <w:rtl w:val="true"/>
        </w:rPr>
        <w:t xml:space="preserve"> הנאשם לא הורשע כמשדל אלא כמבצע ישיר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ברחוב בחולון הוא ירה מספר יריות איום לעברו של איציק פרץ באקדח שאותו נשא שלא כדין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וכן תקף בידיו את פרץ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נעיר כי האישום השלישי נופל בחומרתו משני האישומים הראשונים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וזאת מפני שהנאשם לא הואשם כי בירי שירה לעברו של פרץ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הוא התכוון לפגוע בו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13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דומה שאין צורך להכביר מילים עד כמה מדובר במעשים נפשעים ונלוזים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בשתי הפרשות הראשונות הפך למרמס ערך קדושת החיים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מעשיו של הנאשם מעידים כי חיי אדם אינם משמעותיים בעיניו כלל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הנאשם שלח שכירי חרב כדי לרצוח אנשים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וזאת כאשר לא התבררה בפנינו מידת הקשר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אם בכלל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שבין הנאשם לבין הקורבנות המיועדים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ממילא גם טפליצקי וחודונוב לא הכירו אישית את מי שנועדו להירצח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כשם שלא התברר דיו מעמדו ההיררכי של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והאם וכיצד הוא עצמו הופעל</w:t>
      </w:r>
      <w:r>
        <w:rPr>
          <w:szCs w:val="28"/>
          <w:rtl w:val="true"/>
        </w:rPr>
        <w:t xml:space="preserve">; </w:t>
      </w:r>
      <w:r>
        <w:rPr>
          <w:szCs w:val="28"/>
          <w:rtl w:val="true"/>
        </w:rPr>
        <w:t>לעניין זה נשוב בהמשך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בפרשה הראשונה נורה אדם תמים בהיותו ברכבו ולעיני אשתו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והוא נפגע קשות בפגיעות עצביות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הוא לא ידע כלל מדוע ולמה מתנפל עליו אופנוען ויורה בו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וכדבריו בהודעתו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</w:t>
      </w:r>
      <w:r>
        <w:rPr>
          <w:szCs w:val="28"/>
          <w:rtl w:val="true"/>
        </w:rPr>
        <w:t>/</w:t>
      </w:r>
      <w:r>
        <w:rPr>
          <w:szCs w:val="28"/>
        </w:rPr>
        <w:t>296</w:t>
      </w:r>
      <w:r>
        <w:rPr>
          <w:szCs w:val="28"/>
          <w:rtl w:val="true"/>
        </w:rPr>
        <w:t xml:space="preserve">: 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אין לי מושג מי יכול היה לעשות לי את זה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אני מרגיש שאני בסרט</w:t>
      </w:r>
      <w:r>
        <w:rPr>
          <w:b/>
          <w:bCs/>
          <w:szCs w:val="28"/>
          <w:rtl w:val="true"/>
        </w:rPr>
        <w:t>"</w:t>
      </w:r>
      <w:r>
        <w:rPr>
          <w:szCs w:val="28"/>
          <w:rtl w:val="true"/>
        </w:rPr>
        <w:t>)</w:t>
      </w:r>
      <w:r>
        <w:rPr>
          <w:b/>
          <w:bCs/>
          <w:szCs w:val="28"/>
          <w:rtl w:val="true"/>
        </w:rPr>
        <w:t xml:space="preserve">. </w:t>
      </w:r>
      <w:r>
        <w:rPr>
          <w:szCs w:val="28"/>
          <w:rtl w:val="true"/>
        </w:rPr>
        <w:t>גם בפרשה השנייה אירגן הנאשם את כל הנדרש לביצוע הרצח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הוא גייס את טפליצקי בתשלום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אישר את גיוסו של אדם נוסף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וסיפק לשניים שלושה אקדחים ומשתיק קול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השלמת הרצח סוכלה באקראי על ידי המשטרה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לפני שהשכירים ביצעו את התכנית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המעשים שהנאשם הורשע בביצועם מחייבים ללא ספק הטלת עונש מאסר ממושך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כך לגבי הפרשה הראשונה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כך לגבי הפרשה השנייה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ולאלה יש לצרף גם את המעשים נושא האישום השלישי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אישום זה נופל אמנם בחומרתו משני קודמיו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ואולם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אין להקל ראש בעבירות של נשיאת אקדח שלא כדין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וירי מאיים  לעבר אדם בטבורה של עיר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Cs w:val="28"/>
          <w:rtl w:val="true"/>
        </w:rPr>
        <w:t>שיקולי הגמול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ההגנה על הציבור וההרתעה מחייבים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אפוא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במקרה זה הטלת עונש מאסר חמור על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והרחקתו מן החברה לתקופה ארוכה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Cs w:val="28"/>
        </w:rPr>
        <w:t>14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באותה שאלה שעליה ניטש בפנינו הוויכוח בין באי כוח הצדדים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סבורים אנו כי עונש המאסר המוטל על הנאשם צריך להיות </w:t>
      </w:r>
      <w:r>
        <w:rPr>
          <w:b/>
          <w:b/>
          <w:bCs/>
          <w:szCs w:val="28"/>
          <w:rtl w:val="true"/>
        </w:rPr>
        <w:t>חמור באופן משמעותי</w:t>
      </w:r>
      <w:r>
        <w:rPr>
          <w:szCs w:val="28"/>
          <w:rtl w:val="true"/>
        </w:rPr>
        <w:t xml:space="preserve"> מהעונש שהוטל על טפליצקי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שהיה אף הוא מעורב בשלוש הפרשות האמורות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וזאת מהנימוקים שיפורטו להלן</w:t>
      </w:r>
      <w:r>
        <w:rPr>
          <w:szCs w:val="28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 xml:space="preserve">במישור העקרוני סבורים אנו כי במקרים כגון אלה צריך להיות עונשו של המשדל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הנאשם</w:t>
      </w:r>
      <w:r>
        <w:rPr>
          <w:szCs w:val="28"/>
          <w:rtl w:val="true"/>
        </w:rPr>
        <w:t xml:space="preserve">) </w:t>
      </w:r>
      <w:r>
        <w:rPr>
          <w:szCs w:val="28"/>
          <w:rtl w:val="true"/>
        </w:rPr>
        <w:t xml:space="preserve">חמור מעונשו של המבצע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טפליצקי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 xml:space="preserve">בספרות ובפסיקה קיים דיון באשר למידת חבותו ואשמתו של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המשדל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 xml:space="preserve">לעומת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המבצע העיקרי</w:t>
      </w:r>
      <w:r>
        <w:rPr>
          <w:szCs w:val="28"/>
          <w:rtl w:val="true"/>
        </w:rPr>
        <w:t xml:space="preserve">", </w:t>
      </w:r>
      <w:r>
        <w:rPr>
          <w:szCs w:val="28"/>
          <w:rtl w:val="true"/>
        </w:rPr>
        <w:t>והשלכת הדבר על עונשו של המשדל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נקודת המוצא שבחוק היא השוואת עונשו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המקסימלי</w:t>
      </w:r>
      <w:r>
        <w:rPr>
          <w:szCs w:val="28"/>
          <w:rtl w:val="true"/>
        </w:rPr>
        <w:t xml:space="preserve">) </w:t>
      </w:r>
      <w:r>
        <w:rPr>
          <w:szCs w:val="28"/>
          <w:rtl w:val="true"/>
        </w:rPr>
        <w:t xml:space="preserve">של המשדל לעבור עבירה </w:t>
      </w:r>
      <w:r>
        <w:rPr>
          <w:szCs w:val="28"/>
          <w:rtl w:val="true"/>
        </w:rPr>
        <w:t xml:space="preserve">- </w:t>
      </w:r>
      <w:r>
        <w:rPr>
          <w:szCs w:val="28"/>
          <w:rtl w:val="true"/>
        </w:rPr>
        <w:t xml:space="preserve">לעונשו של המבצע העיקרי </w:t>
      </w:r>
      <w:r>
        <w:rPr>
          <w:szCs w:val="28"/>
          <w:rtl w:val="true"/>
        </w:rPr>
        <w:t>(</w:t>
      </w:r>
      <w:hyperlink r:id="rId36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34</w:t>
        </w:r>
        <w:r>
          <w:rPr>
            <w:rStyle w:val="Hyperlink"/>
            <w:color w:val="0000FF"/>
            <w:szCs w:val="28"/>
            <w:u w:val="single"/>
            <w:rtl w:val="true"/>
          </w:rPr>
          <w:t>ד</w:t>
        </w:r>
      </w:hyperlink>
      <w:r>
        <w:rPr>
          <w:szCs w:val="28"/>
          <w:rtl w:val="true"/>
        </w:rPr>
        <w:t xml:space="preserve"> ל</w:t>
      </w:r>
      <w:hyperlink r:id="rId37">
        <w:r>
          <w:rPr>
            <w:rStyle w:val="Hyperlink"/>
            <w:szCs w:val="28"/>
            <w:rtl w:val="true"/>
          </w:rPr>
          <w:t>חוק העונשין</w:t>
        </w:r>
      </w:hyperlink>
      <w:r>
        <w:rPr>
          <w:szCs w:val="28"/>
          <w:rtl w:val="true"/>
        </w:rPr>
        <w:t xml:space="preserve">); </w:t>
      </w:r>
      <w:r>
        <w:rPr>
          <w:szCs w:val="28"/>
          <w:rtl w:val="true"/>
        </w:rPr>
        <w:t>זאת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לעומת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המסייע לעבור עבירה</w:t>
      </w:r>
      <w:r>
        <w:rPr>
          <w:szCs w:val="28"/>
          <w:rtl w:val="true"/>
        </w:rPr>
        <w:t xml:space="preserve">", </w:t>
      </w:r>
      <w:r>
        <w:rPr>
          <w:szCs w:val="28"/>
          <w:rtl w:val="true"/>
        </w:rPr>
        <w:t xml:space="preserve">שעונשו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מחצית העונש שנקבע בחיקוק בשל ביצועה העיקרי</w:t>
      </w:r>
      <w:r>
        <w:rPr>
          <w:szCs w:val="28"/>
          <w:rtl w:val="true"/>
        </w:rPr>
        <w:t>" (</w:t>
      </w:r>
      <w:hyperlink r:id="rId38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32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לחוק העונשין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כבר מכאן אפשר ללמוד על החומרה שבה יש לראות את מי שהחטיא את חברו וגרם לו לבצע עבירה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360" w:start="144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ואכן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כאשר התעוררה השאלה האם עונש החובה שנקבע למבצע עבירת רצח חל רק על המבצע העיקרי או גם על המשדל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קבע בית המשפט העליון כי עונש החובה חל גם על המשדל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זאת נקבע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הן לפי לשונו המפורשת של </w:t>
      </w:r>
      <w:hyperlink r:id="rId39">
        <w:r>
          <w:rPr>
            <w:rStyle w:val="Hyperlink"/>
            <w:color w:val="0000FF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Cs w:val="28"/>
            <w:u w:val="single"/>
          </w:rPr>
          <w:t>34</w:t>
        </w:r>
        <w:r>
          <w:rPr>
            <w:rStyle w:val="Hyperlink"/>
            <w:color w:val="0000FF"/>
            <w:szCs w:val="28"/>
            <w:u w:val="single"/>
            <w:rtl w:val="true"/>
          </w:rPr>
          <w:t>ד</w:t>
        </w:r>
      </w:hyperlink>
      <w:r>
        <w:rPr>
          <w:szCs w:val="28"/>
          <w:rtl w:val="true"/>
        </w:rPr>
        <w:t xml:space="preserve"> ל</w:t>
      </w:r>
      <w:hyperlink r:id="rId40">
        <w:r>
          <w:rPr>
            <w:rStyle w:val="Hyperlink"/>
            <w:szCs w:val="28"/>
            <w:rtl w:val="true"/>
          </w:rPr>
          <w:t>חוק העונשין</w:t>
        </w:r>
      </w:hyperlink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הקובע ש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כל דין</w:t>
      </w:r>
      <w:r>
        <w:rPr>
          <w:b/>
          <w:bCs/>
          <w:szCs w:val="28"/>
          <w:rtl w:val="true"/>
        </w:rPr>
        <w:t>"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החל על הביצוע העיקרי של העבירה יחול גם על השידול – היינו לרבות העונש – והן לפי תכלית החקיקה אשר שיוותה לנגד עיניה את תרומתו המהותית והמכרעת של המשדל להתרחשות העבירה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ראו </w:t>
      </w:r>
      <w:hyperlink r:id="rId41">
        <w:r>
          <w:rPr>
            <w:rStyle w:val="Hyperlink"/>
            <w:szCs w:val="28"/>
            <w:rtl w:val="true"/>
          </w:rPr>
          <w:t>ע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 xml:space="preserve">פ </w:t>
        </w:r>
        <w:r>
          <w:rPr>
            <w:rStyle w:val="Hyperlink"/>
            <w:szCs w:val="28"/>
          </w:rPr>
          <w:t>5079/04</w:t>
        </w:r>
      </w:hyperlink>
      <w:r>
        <w:rPr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מסראווה נ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מדינת ישראל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לא פורסם</w:t>
      </w:r>
      <w:r>
        <w:rPr>
          <w:szCs w:val="28"/>
          <w:rtl w:val="true"/>
        </w:rPr>
        <w:t xml:space="preserve">, </w:t>
      </w:r>
      <w:r>
        <w:rPr>
          <w:szCs w:val="28"/>
        </w:rPr>
        <w:t>18.2.2008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ס</w:t>
      </w:r>
      <w:r>
        <w:rPr>
          <w:szCs w:val="28"/>
          <w:rtl w:val="true"/>
        </w:rPr>
        <w:t xml:space="preserve">' </w:t>
      </w:r>
      <w:r>
        <w:rPr>
          <w:szCs w:val="28"/>
        </w:rPr>
        <w:t>41-47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לפסק הדין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מפי השופט ד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חשין</w:t>
      </w:r>
      <w:r>
        <w:rPr>
          <w:szCs w:val="28"/>
          <w:rtl w:val="true"/>
        </w:rPr>
        <w:t xml:space="preserve">). </w:t>
      </w:r>
    </w:p>
    <w:p>
      <w:pPr>
        <w:pStyle w:val="Normal"/>
        <w:spacing w:lineRule="auto" w:line="360"/>
        <w:ind w:hanging="36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36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36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360" w:start="144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בית המשפט העליון הוסיף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בהסתמכו על דברי פרופסור פלר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שיקול נוסף שלפיו יש בשידול לביצוע עבירה חומרה העולה על הביצוע העיקרי – ודומה כי דברים אלה מתאימים במיוחד למקרה שלפנינו</w:t>
      </w:r>
      <w:r>
        <w:rPr>
          <w:szCs w:val="28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1440" w:start="2160" w:end="900"/>
        <w:jc w:val="both"/>
        <w:rPr>
          <w:szCs w:val="28"/>
        </w:rPr>
      </w:pPr>
      <w:r>
        <w:rPr>
          <w:szCs w:val="28"/>
          <w:rtl w:val="true"/>
        </w:rPr>
        <w:tab/>
        <w:t>"</w:t>
      </w:r>
      <w:r>
        <w:rPr>
          <w:b/>
          <w:bCs/>
          <w:szCs w:val="28"/>
          <w:rtl w:val="true"/>
        </w:rPr>
        <w:t xml:space="preserve">... </w:t>
      </w:r>
      <w:r>
        <w:rPr>
          <w:b/>
          <w:b/>
          <w:bCs/>
          <w:szCs w:val="28"/>
          <w:rtl w:val="true"/>
        </w:rPr>
        <w:t>משום שהמשדל פוגע לא רק בערך המוגן של העבירה נושא השידול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אלא גם באינטרס הציבור שכל פרט יימנע מביצוע עבירות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ויהיה מוגן מפני השפעות שעלולות להביאו לעולם הפשע</w:t>
      </w:r>
      <w:r>
        <w:rPr>
          <w:b/>
          <w:bCs/>
          <w:szCs w:val="28"/>
          <w:rtl w:val="true"/>
        </w:rPr>
        <w:t xml:space="preserve">... </w:t>
      </w:r>
      <w:r>
        <w:rPr>
          <w:b/>
          <w:b/>
          <w:bCs/>
          <w:szCs w:val="28"/>
          <w:rtl w:val="true"/>
        </w:rPr>
        <w:t>לולא השידול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הפגיעה בערכים מוגנים אלה לא הייתה מתרחשת כלל</w:t>
      </w:r>
      <w:r>
        <w:rPr>
          <w:szCs w:val="28"/>
          <w:rtl w:val="true"/>
        </w:rPr>
        <w:t>" (</w:t>
      </w:r>
      <w:r>
        <w:rPr>
          <w:szCs w:val="28"/>
          <w:rtl w:val="true"/>
        </w:rPr>
        <w:t>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ס</w:t>
      </w:r>
      <w:r>
        <w:rPr>
          <w:szCs w:val="28"/>
          <w:rtl w:val="true"/>
        </w:rPr>
        <w:t xml:space="preserve">' </w:t>
      </w:r>
      <w:r>
        <w:rPr>
          <w:szCs w:val="28"/>
        </w:rPr>
        <w:t>47</w:t>
      </w:r>
      <w:r>
        <w:rPr>
          <w:szCs w:val="28"/>
          <w:rtl w:val="true"/>
        </w:rPr>
        <w:t xml:space="preserve">).  </w:t>
      </w:r>
    </w:p>
    <w:p>
      <w:pPr>
        <w:pStyle w:val="Normal"/>
        <w:spacing w:lineRule="auto" w:line="360"/>
        <w:ind w:hanging="1440" w:start="2160" w:end="90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וראו גם החלטתה של הנשיאה ביניש שלא לקיים דיון נוסף בסוגיה זו</w:t>
      </w:r>
      <w:r>
        <w:rPr>
          <w:szCs w:val="28"/>
          <w:rtl w:val="true"/>
        </w:rPr>
        <w:t xml:space="preserve">: </w:t>
      </w:r>
      <w:hyperlink r:id="rId42">
        <w:r>
          <w:rPr>
            <w:rStyle w:val="Hyperlink"/>
            <w:szCs w:val="28"/>
            <w:rtl w:val="true"/>
          </w:rPr>
          <w:t>דנ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 xml:space="preserve">פ </w:t>
        </w:r>
        <w:r>
          <w:rPr>
            <w:rStyle w:val="Hyperlink"/>
            <w:szCs w:val="28"/>
          </w:rPr>
          <w:t>2033/08</w:t>
        </w:r>
      </w:hyperlink>
      <w:r>
        <w:rPr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מסראווה נ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 xml:space="preserve">מדינת ישראל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לא פורסם</w:t>
      </w:r>
      <w:r>
        <w:rPr>
          <w:szCs w:val="28"/>
          <w:rtl w:val="true"/>
        </w:rPr>
        <w:t xml:space="preserve">, </w:t>
      </w:r>
      <w:r>
        <w:rPr>
          <w:szCs w:val="28"/>
        </w:rPr>
        <w:t>12.8.08</w:t>
      </w:r>
      <w:r>
        <w:rPr>
          <w:szCs w:val="28"/>
          <w:rtl w:val="true"/>
        </w:rPr>
        <w:t xml:space="preserve">). </w:t>
      </w:r>
    </w:p>
    <w:p>
      <w:pPr>
        <w:pStyle w:val="Normal"/>
        <w:spacing w:lineRule="auto" w:line="360"/>
        <w:ind w:hanging="1440" w:start="2160" w:end="90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ב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 xml:space="preserve">בפרשה אחרת יצא השופט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כתוארו אז</w:t>
      </w:r>
      <w:r>
        <w:rPr>
          <w:szCs w:val="28"/>
          <w:rtl w:val="true"/>
        </w:rPr>
        <w:t xml:space="preserve">) </w:t>
      </w:r>
      <w:r>
        <w:rPr>
          <w:szCs w:val="28"/>
          <w:rtl w:val="true"/>
        </w:rPr>
        <w:t>מ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חשין כנגד אלה שתיארו את המשדל כמי שתורם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תרומה עקיפה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>לביצועה של עבירה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והטעים כי לדעתו של תרומתו של משדל היא </w:t>
      </w:r>
      <w:r>
        <w:rPr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תרומה ישירה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ממש כתרומתו של המבצע העיקרי</w:t>
      </w:r>
      <w:r>
        <w:rPr>
          <w:szCs w:val="28"/>
          <w:rtl w:val="true"/>
        </w:rPr>
        <w:t>" (</w:t>
      </w:r>
      <w:hyperlink r:id="rId43">
        <w:r>
          <w:rPr>
            <w:rStyle w:val="Hyperlink"/>
            <w:szCs w:val="28"/>
            <w:rtl w:val="true"/>
          </w:rPr>
          <w:t>ע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 xml:space="preserve">פ </w:t>
        </w:r>
        <w:r>
          <w:rPr>
            <w:rStyle w:val="Hyperlink"/>
            <w:szCs w:val="28"/>
          </w:rPr>
          <w:t>2796/95</w:t>
        </w:r>
        <w:r>
          <w:rPr>
            <w:rStyle w:val="Hyperlink"/>
            <w:szCs w:val="28"/>
            <w:rtl w:val="true"/>
          </w:rPr>
          <w:t xml:space="preserve"> </w:t>
        </w:r>
        <w:r>
          <w:rPr>
            <w:rStyle w:val="Hyperlink"/>
            <w:szCs w:val="28"/>
            <w:rtl w:val="true"/>
          </w:rPr>
          <w:t>פלונים נ</w:t>
        </w:r>
        <w:r>
          <w:rPr>
            <w:rStyle w:val="Hyperlink"/>
            <w:szCs w:val="28"/>
            <w:rtl w:val="true"/>
          </w:rPr>
          <w:t xml:space="preserve">' </w:t>
        </w:r>
        <w:r>
          <w:rPr>
            <w:rStyle w:val="Hyperlink"/>
            <w:szCs w:val="28"/>
            <w:rtl w:val="true"/>
          </w:rPr>
          <w:t>מדינת ישראל</w:t>
        </w:r>
        <w:r>
          <w:rPr>
            <w:rStyle w:val="Hyperlink"/>
            <w:szCs w:val="28"/>
            <w:rtl w:val="true"/>
          </w:rPr>
          <w:t xml:space="preserve">, </w:t>
        </w:r>
        <w:r>
          <w:rPr>
            <w:rStyle w:val="Hyperlink"/>
            <w:szCs w:val="28"/>
            <w:rtl w:val="true"/>
          </w:rPr>
          <w:t>פ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>ד נא</w:t>
        </w:r>
      </w:hyperlink>
      <w:r>
        <w:rPr>
          <w:szCs w:val="28"/>
          <w:rtl w:val="true"/>
        </w:rPr>
        <w:t>(</w:t>
      </w:r>
      <w:r>
        <w:rPr>
          <w:szCs w:val="28"/>
        </w:rPr>
        <w:t>3</w:t>
      </w:r>
      <w:r>
        <w:rPr>
          <w:szCs w:val="28"/>
          <w:rtl w:val="true"/>
        </w:rPr>
        <w:t xml:space="preserve">) </w:t>
      </w:r>
      <w:r>
        <w:rPr>
          <w:szCs w:val="28"/>
        </w:rPr>
        <w:t>388</w:t>
      </w:r>
      <w:r>
        <w:rPr>
          <w:szCs w:val="28"/>
          <w:rtl w:val="true"/>
        </w:rPr>
        <w:t xml:space="preserve">, </w:t>
      </w:r>
      <w:r>
        <w:rPr>
          <w:szCs w:val="28"/>
        </w:rPr>
        <w:t>416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המשיך השופט חשין</w:t>
      </w:r>
      <w:r>
        <w:rPr>
          <w:szCs w:val="28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90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1440" w:start="2160" w:end="900"/>
        <w:jc w:val="both"/>
        <w:rPr>
          <w:u w:val="single"/>
        </w:rPr>
      </w:pPr>
      <w:r>
        <w:rPr>
          <w:szCs w:val="28"/>
          <w:rtl w:val="true"/>
        </w:rPr>
        <w:tab/>
        <w:t>"</w:t>
      </w:r>
      <w:r>
        <w:rPr>
          <w:b/>
          <w:b/>
          <w:bCs/>
          <w:szCs w:val="28"/>
          <w:rtl w:val="true"/>
        </w:rPr>
        <w:t>יתר על כן</w:t>
      </w:r>
      <w:r>
        <w:rPr>
          <w:b/>
          <w:bCs/>
          <w:szCs w:val="28"/>
          <w:rtl w:val="true"/>
        </w:rPr>
        <w:t xml:space="preserve">: </w:t>
      </w:r>
      <w:r>
        <w:rPr>
          <w:b/>
          <w:b/>
          <w:bCs/>
          <w:szCs w:val="28"/>
          <w:rtl w:val="true"/>
        </w:rPr>
        <w:t xml:space="preserve">ניתן להגדיל ולומר כי </w:t>
      </w:r>
      <w:r>
        <w:rPr>
          <w:b/>
          <w:b/>
          <w:bCs/>
          <w:szCs w:val="28"/>
          <w:u w:val="single"/>
          <w:rtl w:val="true"/>
        </w:rPr>
        <w:t>חבותו של המשדל אף רבה  מחבותו של העבריין העיקרי</w:t>
      </w:r>
      <w:r>
        <w:rPr>
          <w:b/>
          <w:bCs/>
          <w:szCs w:val="28"/>
          <w:rtl w:val="true"/>
        </w:rPr>
        <w:t xml:space="preserve">... </w:t>
      </w:r>
      <w:r>
        <w:rPr>
          <w:b/>
          <w:b/>
          <w:bCs/>
          <w:szCs w:val="28"/>
          <w:rtl w:val="true"/>
        </w:rPr>
        <w:t>משדל הוא מראש וזוכה הוא בפרי העבירה לאחר מעשה</w:t>
      </w:r>
      <w:r>
        <w:rPr>
          <w:b/>
          <w:bCs/>
          <w:szCs w:val="28"/>
          <w:rtl w:val="true"/>
        </w:rPr>
        <w:t xml:space="preserve">: </w:t>
      </w:r>
      <w:r>
        <w:rPr>
          <w:b/>
          <w:b/>
          <w:bCs/>
          <w:szCs w:val="28"/>
          <w:rtl w:val="true"/>
        </w:rPr>
        <w:t>סוגר הוא על העבריין העיקרי גם מלפניו גם מאחוריו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אך בלא שהוא נוטל על עצמו סיכון שמא ייתפש בכף לעת ביצוע העבירה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הוא שאמרנו</w:t>
      </w:r>
      <w:r>
        <w:rPr>
          <w:b/>
          <w:bCs/>
          <w:szCs w:val="28"/>
          <w:rtl w:val="true"/>
        </w:rPr>
        <w:t xml:space="preserve">: </w:t>
      </w:r>
      <w:r>
        <w:rPr>
          <w:b/>
          <w:b/>
          <w:bCs/>
          <w:szCs w:val="28"/>
          <w:rtl w:val="true"/>
        </w:rPr>
        <w:t>משדל ראוי הוא שדינו יהיה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למצער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כדין העבריין העיקרי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u w:val="single"/>
          <w:rtl w:val="true"/>
        </w:rPr>
        <w:t>כך באשר לחיוב בפלילים וכך באשר לעונש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ומדוע כך</w:t>
      </w:r>
      <w:r>
        <w:rPr>
          <w:b/>
          <w:bCs/>
          <w:szCs w:val="28"/>
          <w:rtl w:val="true"/>
        </w:rPr>
        <w:t xml:space="preserve">? </w:t>
      </w:r>
      <w:r>
        <w:rPr>
          <w:b/>
          <w:b/>
          <w:bCs/>
          <w:szCs w:val="28"/>
          <w:rtl w:val="true"/>
        </w:rPr>
        <w:t>נבחן ונמצא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כי בהטילנו חבות ועונש על משדל מבקשים אנו ליתן ביטוי לחבותו המוסרית והחברתית למעשה העבירה שנעשה</w:t>
      </w:r>
      <w:r>
        <w:rPr>
          <w:b/>
          <w:bCs/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לפגיעה שפגע בערכי החברה החשובים לנו</w:t>
      </w:r>
      <w:r>
        <w:rPr>
          <w:b/>
          <w:bCs/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 xml:space="preserve">הקשר הסיבתי – 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המביא אחר לידי עשיית עבירה</w:t>
      </w:r>
      <w:r>
        <w:rPr>
          <w:b/>
          <w:bCs/>
          <w:szCs w:val="28"/>
          <w:rtl w:val="true"/>
        </w:rPr>
        <w:t xml:space="preserve">" – </w:t>
      </w:r>
      <w:r>
        <w:rPr>
          <w:b/>
          <w:b/>
          <w:bCs/>
          <w:szCs w:val="28"/>
          <w:rtl w:val="true"/>
        </w:rPr>
        <w:t>הינו הביטוי המשפטי</w:t>
      </w:r>
      <w:r>
        <w:rPr>
          <w:b/>
          <w:bCs/>
          <w:szCs w:val="28"/>
          <w:rtl w:val="true"/>
        </w:rPr>
        <w:t>-</w:t>
      </w:r>
      <w:r>
        <w:rPr>
          <w:b/>
          <w:b/>
          <w:bCs/>
          <w:szCs w:val="28"/>
          <w:rtl w:val="true"/>
        </w:rPr>
        <w:t xml:space="preserve">הטכני להטלת חבות על המשדל </w:t>
      </w:r>
      <w:r>
        <w:rPr>
          <w:b/>
          <w:b/>
          <w:bCs/>
          <w:szCs w:val="28"/>
          <w:u w:val="single"/>
          <w:rtl w:val="true"/>
        </w:rPr>
        <w:t>ולקביעת מידתה של אותה חבות</w:t>
      </w:r>
      <w:r>
        <w:rPr>
          <w:b/>
          <w:bCs/>
          <w:szCs w:val="28"/>
          <w:rtl w:val="true"/>
        </w:rPr>
        <w:t>".</w:t>
      </w:r>
    </w:p>
    <w:p>
      <w:pPr>
        <w:pStyle w:val="Normal"/>
        <w:spacing w:lineRule="auto" w:line="360"/>
        <w:ind w:firstLine="360" w:start="360" w:end="0"/>
        <w:jc w:val="both"/>
        <w:rPr>
          <w:szCs w:val="28"/>
        </w:rPr>
      </w:pPr>
      <w:r>
        <w:rPr>
          <w:szCs w:val="28"/>
          <w:rtl w:val="true"/>
        </w:rPr>
        <w:tab/>
        <w:tab/>
        <w:tab/>
        <w:t xml:space="preserve">                                       (</w:t>
      </w:r>
      <w:r>
        <w:rPr>
          <w:szCs w:val="28"/>
          <w:rtl w:val="true"/>
        </w:rPr>
        <w:t>שם</w:t>
      </w:r>
      <w:r>
        <w:rPr>
          <w:szCs w:val="28"/>
          <w:rtl w:val="true"/>
        </w:rPr>
        <w:t xml:space="preserve">; </w:t>
      </w:r>
      <w:r>
        <w:rPr>
          <w:szCs w:val="28"/>
          <w:rtl w:val="true"/>
        </w:rPr>
        <w:t>ההדגשה – שלנו</w:t>
      </w:r>
      <w:r>
        <w:rPr>
          <w:szCs w:val="28"/>
          <w:rtl w:val="true"/>
        </w:rPr>
        <w:t xml:space="preserve">) </w:t>
      </w:r>
    </w:p>
    <w:p>
      <w:pPr>
        <w:pStyle w:val="Normal"/>
        <w:spacing w:lineRule="auto" w:line="360"/>
        <w:ind w:firstLine="360" w:start="36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אכן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יש לציין כי כל אימת שהמשדל תואר כמי שתורם תרומה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עקיפה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>לעבירה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לא הייתה הכוונה אלא לציין שהמשדל הוא 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חיצוני</w:t>
      </w:r>
      <w:r>
        <w:rPr>
          <w:b/>
          <w:bCs/>
          <w:szCs w:val="28"/>
          <w:rtl w:val="true"/>
        </w:rPr>
        <w:t>"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 xml:space="preserve">למהלך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הביצוע העיקרי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>של העבירה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בד בבד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צוין תמיד כי המשדל הוא </w:t>
      </w:r>
      <w:r>
        <w:rPr>
          <w:b/>
          <w:b/>
          <w:bCs/>
          <w:szCs w:val="28"/>
          <w:rtl w:val="true"/>
        </w:rPr>
        <w:t>שותף ראשי</w:t>
      </w:r>
      <w:r>
        <w:rPr>
          <w:szCs w:val="28"/>
          <w:rtl w:val="true"/>
        </w:rPr>
        <w:t xml:space="preserve"> בשל תרומתו המהותית והמכרעת להתהוות העבירה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שהרי הוא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האב הרוחני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 xml:space="preserve">של העבירה וללא תרומתו לא היה המבצע ניגש לביצועה </w:t>
      </w:r>
      <w:r>
        <w:rPr>
          <w:szCs w:val="28"/>
          <w:rtl w:val="true"/>
        </w:rPr>
        <w:t>(</w:t>
      </w:r>
      <w:hyperlink r:id="rId44">
        <w:r>
          <w:rPr>
            <w:rStyle w:val="Hyperlink"/>
            <w:szCs w:val="28"/>
            <w:rtl w:val="true"/>
          </w:rPr>
          <w:t>פלר</w:t>
        </w:r>
        <w:r>
          <w:rPr>
            <w:rStyle w:val="Hyperlink"/>
            <w:szCs w:val="28"/>
            <w:rtl w:val="true"/>
          </w:rPr>
          <w:t xml:space="preserve">, </w:t>
        </w:r>
        <w:r>
          <w:rPr>
            <w:rStyle w:val="Hyperlink"/>
            <w:szCs w:val="28"/>
            <w:rtl w:val="true"/>
          </w:rPr>
          <w:t>יסודות בדיני עונשין</w:t>
        </w:r>
      </w:hyperlink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כרך ב</w:t>
      </w:r>
      <w:r>
        <w:rPr>
          <w:szCs w:val="28"/>
          <w:rtl w:val="true"/>
        </w:rPr>
        <w:t xml:space="preserve">, </w:t>
      </w:r>
      <w:r>
        <w:rPr>
          <w:szCs w:val="28"/>
        </w:rPr>
        <w:t>1987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עמ</w:t>
      </w:r>
      <w:r>
        <w:rPr>
          <w:szCs w:val="28"/>
          <w:rtl w:val="true"/>
        </w:rPr>
        <w:t xml:space="preserve">' </w:t>
      </w:r>
      <w:r>
        <w:rPr>
          <w:szCs w:val="28"/>
        </w:rPr>
        <w:t>226-225</w:t>
      </w:r>
      <w:r>
        <w:rPr>
          <w:szCs w:val="28"/>
          <w:rtl w:val="true"/>
        </w:rPr>
        <w:t xml:space="preserve">; </w:t>
      </w:r>
      <w:hyperlink r:id="rId45">
        <w:r>
          <w:rPr>
            <w:rStyle w:val="Hyperlink"/>
            <w:szCs w:val="28"/>
            <w:rtl w:val="true"/>
          </w:rPr>
          <w:t>ע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 xml:space="preserve">פ </w:t>
        </w:r>
        <w:r>
          <w:rPr>
            <w:rStyle w:val="Hyperlink"/>
            <w:szCs w:val="28"/>
          </w:rPr>
          <w:t>2796/95</w:t>
        </w:r>
      </w:hyperlink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הנ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בעמ</w:t>
      </w:r>
      <w:r>
        <w:rPr>
          <w:szCs w:val="28"/>
          <w:rtl w:val="true"/>
        </w:rPr>
        <w:t xml:space="preserve">' </w:t>
      </w:r>
      <w:r>
        <w:rPr>
          <w:szCs w:val="28"/>
        </w:rPr>
        <w:t>404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מפי הנשיא ברק</w:t>
      </w:r>
      <w:r>
        <w:rPr>
          <w:szCs w:val="28"/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ג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בין כך ובין כך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דומה כי אין חולק שיהיו מקרים אשר בהם תהיה גדולה מידת חבותו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המוסרית והפלילית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של המשדל מזו של המבצע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ובמקרים כאלה מידת עונשו צריכה להיות גדולה יותר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b/>
          <w:b/>
          <w:bCs/>
          <w:szCs w:val="28"/>
          <w:rtl w:val="true"/>
        </w:rPr>
        <w:t>כזה הוא המקרה שלפנינו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הנאשם גייס צעיר חסר עבר פלילי כדי שירצח בשליחותו אנשים תמורת תשלום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שכיר חרב נוסף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ללא עבר פלילי אף הוא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צורף באחד המקרים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בתיאום עם הנאשם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הנאשם היה הדמות הדומיננטית בארגון החיסולים המתוכננים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szCs w:val="28"/>
          <w:rtl w:val="true"/>
        </w:rPr>
        <w:t>בין השאר הוא סיפק לטפליצקי ולחודונוב שלושה אקדחים ומשתיק קול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ושילם </w:t>
      </w:r>
      <w:r>
        <w:rPr>
          <w:szCs w:val="28"/>
        </w:rPr>
        <w:t>7,500</w:t>
      </w:r>
      <w:r>
        <w:rPr>
          <w:szCs w:val="28"/>
          <w:rtl w:val="true"/>
        </w:rPr>
        <w:t xml:space="preserve"> ₪ </w:t>
      </w:r>
      <w:r>
        <w:rPr>
          <w:szCs w:val="28"/>
          <w:rtl w:val="true"/>
        </w:rPr>
        <w:t>לטפליצקי עבור הירי ביואב סיני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szCs w:val="28"/>
          <w:rtl w:val="true"/>
        </w:rPr>
        <w:t>התמונה המצטיירת ממכלול מעשיו של הנאשם היא של אדם מסוכן מאוד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הבז לחוק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ושחיי אדם שווים בעיניו כקליפת השום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זכותו כמובן הייתה לשתוק בחקירה ולכפור באשמה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ואולם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עקב כך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הפרשה כולה לא פוענחה עד תומה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ונותרת תמונה של מסוכנות גדולה מאוד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החייבת להשפיע על מידת העונש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ד</w:t>
      </w:r>
      <w:r>
        <w:rPr>
          <w:szCs w:val="28"/>
          <w:rtl w:val="true"/>
        </w:rPr>
        <w:t xml:space="preserve">. </w:t>
        <w:tab/>
      </w:r>
      <w:r>
        <w:rPr>
          <w:szCs w:val="28"/>
          <w:rtl w:val="true"/>
        </w:rPr>
        <w:t xml:space="preserve">ניתן להדגים בעובדות האישום הראשון את חומרתם היתירה של מעשי הנאשם לעומת טפליצקי </w:t>
      </w:r>
      <w:r>
        <w:rPr>
          <w:szCs w:val="28"/>
          <w:rtl w:val="true"/>
        </w:rPr>
        <w:t xml:space="preserve">- </w:t>
      </w:r>
      <w:r>
        <w:rPr>
          <w:szCs w:val="28"/>
          <w:rtl w:val="true"/>
        </w:rPr>
        <w:t xml:space="preserve">וזאת </w:t>
      </w:r>
      <w:r>
        <w:rPr>
          <w:b/>
          <w:b/>
          <w:bCs/>
          <w:szCs w:val="28"/>
          <w:rtl w:val="true"/>
        </w:rPr>
        <w:t>בהיבט המהותי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הנאשם שכר את טפליצקי לשם ביצוע רצח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ומבחינתו </w:t>
      </w:r>
      <w:r>
        <w:rPr>
          <w:szCs w:val="28"/>
          <w:rtl w:val="true"/>
        </w:rPr>
        <w:t xml:space="preserve">- </w:t>
      </w:r>
      <w:r>
        <w:rPr>
          <w:szCs w:val="28"/>
          <w:rtl w:val="true"/>
        </w:rPr>
        <w:t>זו התוצאה שאליה ייחל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הוא לא חזר בו מכוונתו זו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גם לאחר שטפליצקי הביע בפניו פקפוק בקשר לזהות הקורבן המיועד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הנאשם לא הורשע אמנם בעבירה של ניסיון לרצח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אך זאת משום שטפליצקי חזר בו ברגע האחרון מכוונת הרצח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והחליט לירות בקורבן כדי לפצוע אותו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בלבד</w:t>
      </w:r>
      <w:r>
        <w:rPr>
          <w:szCs w:val="28"/>
          <w:rtl w:val="true"/>
        </w:rPr>
        <w:t>". "</w:t>
      </w:r>
      <w:r>
        <w:rPr>
          <w:szCs w:val="28"/>
          <w:rtl w:val="true"/>
        </w:rPr>
        <w:t>כישלון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>זה הביא לכך שהנאשם שילם לטפליצקי את מחצית האתנן בלבד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שכן טפליצקי לא ביצע את המשימה </w:t>
      </w:r>
      <w:r>
        <w:rPr>
          <w:szCs w:val="28"/>
          <w:rtl w:val="true"/>
        </w:rPr>
        <w:t xml:space="preserve">- </w:t>
      </w:r>
      <w:r>
        <w:rPr>
          <w:szCs w:val="28"/>
          <w:rtl w:val="true"/>
        </w:rPr>
        <w:t xml:space="preserve">כפי שהנאשם חפץ – 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עד הסוף</w:t>
      </w:r>
      <w:r>
        <w:rPr>
          <w:b/>
          <w:bCs/>
          <w:szCs w:val="28"/>
          <w:rtl w:val="true"/>
        </w:rPr>
        <w:t>"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טפליצקי חס על חייו של הקורבן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אך הנאשם לא חס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szCs w:val="28"/>
        </w:rPr>
      </w:pPr>
      <w:r>
        <w:rPr>
          <w:szCs w:val="28"/>
        </w:rPr>
        <w:t>15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כאן מגיעים אנו לדברי הסנגור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הטוען כך</w:t>
      </w:r>
      <w:r>
        <w:rPr>
          <w:szCs w:val="28"/>
          <w:rtl w:val="true"/>
        </w:rPr>
        <w:t xml:space="preserve">: </w:t>
      </w:r>
      <w:r>
        <w:rPr>
          <w:szCs w:val="28"/>
          <w:rtl w:val="true"/>
        </w:rPr>
        <w:t>לפי דעת המשטרה ועמדת המאשימה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כפי שאלה הובאו בהכרעת הדין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הרי שהנאשם ביצע את מעשיו בשליחותו של אחר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מכאן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שאליבא דהתביעה עצמה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לא היה הנאשם אלא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צינור</w:t>
      </w:r>
      <w:r>
        <w:rPr>
          <w:szCs w:val="28"/>
          <w:rtl w:val="true"/>
        </w:rPr>
        <w:t>", "</w:t>
      </w:r>
      <w:r>
        <w:rPr>
          <w:szCs w:val="28"/>
          <w:rtl w:val="true"/>
        </w:rPr>
        <w:t>מתווך</w:t>
      </w:r>
      <w:r>
        <w:rPr>
          <w:szCs w:val="28"/>
          <w:rtl w:val="true"/>
        </w:rPr>
        <w:t xml:space="preserve">". </w:t>
      </w:r>
      <w:r>
        <w:rPr>
          <w:szCs w:val="28"/>
          <w:rtl w:val="true"/>
        </w:rPr>
        <w:t>הוא לא הכיר את הקורבנות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ולא היה לו מניע אישי בחיסולם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המניע היה של אדם אחר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גם לא הוכח כי הנאשם קיבל שכר עבור  מעשיו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על כן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יש להקל בעונשו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szCs w:val="28"/>
        </w:rPr>
      </w:pPr>
      <w:r>
        <w:rPr>
          <w:szCs w:val="28"/>
        </w:rPr>
        <w:t>16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אנו סבורים שיש לדחות בשתי ידיים את טענתו זו של הסנגור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ולמעשה את כל אחד ממרכיביה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b/>
          <w:b/>
          <w:bCs/>
          <w:szCs w:val="28"/>
          <w:rtl w:val="true"/>
        </w:rPr>
        <w:t>ראשית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יש לציין כי הטענה שטוען הסנגור אינה מתאימה כלל לארגוני פשע היררכיים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וקבלת טענת הסנגור כלשונה הייתה מובילה למסקנה אבסורדית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שלפיה יש להעניש בחומרה רק את מי שעומד בראש כנופיה או ארגון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ולא את אלה שמתחתיו המבצעים עבירות פליליות חמורות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גם אם לא מדובר בארגון היררכי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לא יעלה על הדעת לפטור בעונש קל מי ששידל אדם לבצע פשע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רק משום שעשה זאת למען אחר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כבר צוין כי מי ששידל אדם לרצוח אחר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והרצח בוצע – עונשו יהיה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כעונש חובה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עונש מאסר עולם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כעונשו של המבצע הישיר</w:t>
      </w:r>
      <w:r>
        <w:rPr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הוא לא</w:t>
      </w:r>
      <w:r>
        <w:rPr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יישמע בטענה שיש להקל בעונשו משום שהוא עצמו פעל בשליחותם</w:t>
      </w:r>
      <w:r>
        <w:rPr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של אחרים</w:t>
      </w:r>
      <w:r>
        <w:rPr>
          <w:b/>
          <w:bCs/>
          <w:szCs w:val="28"/>
          <w:rtl w:val="true"/>
        </w:rPr>
        <w:t>.</w:t>
      </w:r>
      <w:r>
        <w:rPr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144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b/>
          <w:b/>
          <w:bCs/>
          <w:szCs w:val="28"/>
          <w:rtl w:val="true"/>
        </w:rPr>
        <w:t>שנית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יש לדחות את הצגתו של הנאשם כ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צינור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 xml:space="preserve">המבצע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מעשה קוף</w:t>
      </w:r>
      <w:r>
        <w:rPr>
          <w:szCs w:val="28"/>
          <w:rtl w:val="true"/>
        </w:rPr>
        <w:t xml:space="preserve">" </w:t>
      </w:r>
      <w:r>
        <w:rPr>
          <w:szCs w:val="28"/>
          <w:rtl w:val="true"/>
        </w:rPr>
        <w:t>בלבד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ממכלול הראיות עלתה דמות של אדם בעל מעמד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הפועל בדבקות רבה לארגון והגשמת המעשים הפליליים החמורים ביותר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הוא המגייס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הוא המשלם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הוא המפעיל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הוא מספק הנשק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והוא המוח שמאחורי התכנית הפלילית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b/>
          <w:b/>
          <w:bCs/>
          <w:szCs w:val="28"/>
          <w:rtl w:val="true"/>
        </w:rPr>
        <w:t>שלישית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גם אם המשטרה והפרקליטות גורסים כי הנאשם פעל בשליחותו של אחר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הרי שיש לדייק ולומר כי התמונה במלואה לא הובררה במשפט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ולכך יש חשיבות רבה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szCs w:val="28"/>
          <w:rtl w:val="true"/>
        </w:rPr>
        <w:t>כאמור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שתק הנאשם בחקירתו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וגם במשפטו לא טען כי פעל בשליחותו של אחר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המאשימה גרסה כי אין בידיה ראיות להוכחת חשדותיה</w:t>
      </w:r>
      <w:r>
        <w:rPr>
          <w:szCs w:val="28"/>
          <w:rtl w:val="true"/>
        </w:rPr>
        <w:t xml:space="preserve">. </w:t>
      </w:r>
      <w:r>
        <w:rPr>
          <w:b/>
          <w:b/>
          <w:bCs/>
          <w:szCs w:val="28"/>
          <w:rtl w:val="true"/>
        </w:rPr>
        <w:t>בית המשפט בהכרעת הדין לא קבע כלל ממצאים בעניין זה</w:t>
      </w:r>
      <w:r>
        <w:rPr>
          <w:b/>
          <w:bCs/>
          <w:szCs w:val="28"/>
          <w:rtl w:val="true"/>
        </w:rPr>
        <w:t>,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אלא הביא בהכרעת דינו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כחלק מהבאת הראיות הנוגעות לסוגיית המניע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את סברתם של המשטרה והמאשימה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 xml:space="preserve">ראו בסעיף </w:t>
      </w:r>
      <w:r>
        <w:rPr>
          <w:szCs w:val="28"/>
        </w:rPr>
        <w:t>10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לעיל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המובאות שאליהן היפנה הסנגור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מסעיפים </w:t>
      </w:r>
      <w:r>
        <w:rPr>
          <w:szCs w:val="28"/>
        </w:rPr>
        <w:t>383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ו</w:t>
      </w:r>
      <w:r>
        <w:rPr>
          <w:szCs w:val="28"/>
          <w:rtl w:val="true"/>
        </w:rPr>
        <w:t>-</w:t>
      </w:r>
      <w:r>
        <w:rPr>
          <w:szCs w:val="28"/>
        </w:rPr>
        <w:t>387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להכרעת הדין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כאן יש להדגיש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לענייננו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נקודה חשובה הנוגעת לטענת הסנגור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לאמור</w:t>
      </w:r>
      <w:r>
        <w:rPr>
          <w:szCs w:val="28"/>
          <w:rtl w:val="true"/>
        </w:rPr>
        <w:t xml:space="preserve">: </w:t>
      </w:r>
      <w:r>
        <w:rPr>
          <w:szCs w:val="28"/>
          <w:rtl w:val="true"/>
        </w:rPr>
        <w:t>אם נכון הוא שהייתה במקרה זה שרשרת של פשע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הרי שיש להבחין בין טפליצקי לבין הנאשם </w:t>
      </w:r>
      <w:r>
        <w:rPr>
          <w:b/>
          <w:b/>
          <w:bCs/>
          <w:szCs w:val="28"/>
          <w:rtl w:val="true"/>
        </w:rPr>
        <w:t>שעניינו חמור באופן ניכר</w:t>
      </w:r>
      <w:r>
        <w:rPr>
          <w:b/>
          <w:bCs/>
          <w:szCs w:val="28"/>
          <w:rtl w:val="true"/>
        </w:rPr>
        <w:t>.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טפליצקי הודה כבר בחקירתו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הפליל את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וכך איפשר לגלות דרג גבוה יותר בשרשרת הפשע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הוא הדין לגבי חודונוב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מבחינת האינטרס הציבורי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אין לדמות את טפליצקי לנאשם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שלא איפשר לחשוף את מי שהיה 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מעליו</w:t>
      </w:r>
      <w:r>
        <w:rPr>
          <w:szCs w:val="28"/>
          <w:rtl w:val="true"/>
        </w:rPr>
        <w:t>" (</w:t>
      </w:r>
      <w:r>
        <w:rPr>
          <w:szCs w:val="28"/>
          <w:rtl w:val="true"/>
        </w:rPr>
        <w:t>אם וככל שהיה כזה</w:t>
      </w:r>
      <w:r>
        <w:rPr>
          <w:szCs w:val="28"/>
          <w:rtl w:val="true"/>
        </w:rPr>
        <w:t xml:space="preserve">). </w:t>
      </w:r>
    </w:p>
    <w:p>
      <w:pPr>
        <w:pStyle w:val="Normal"/>
        <w:spacing w:lineRule="auto" w:line="360"/>
        <w:ind w:hanging="144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לסיום עניין זה נעיר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מעבר לנדרש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כי עיון בפסק הדין של ביהמ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 xml:space="preserve">ש העליון </w:t>
      </w:r>
      <w:r>
        <w:rPr>
          <w:b/>
          <w:b/>
          <w:bCs/>
          <w:szCs w:val="28"/>
          <w:rtl w:val="true"/>
        </w:rPr>
        <w:t>בפרשת בניזרי ואלבז</w:t>
      </w:r>
      <w:r>
        <w:rPr>
          <w:szCs w:val="28"/>
          <w:rtl w:val="true"/>
        </w:rPr>
        <w:t xml:space="preserve"> מלמד בעליל כי אין הנידון שם דומה כלל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לא  מושגית ולא מעשית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למקרה שבפנינו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די אם נציין שהנאשם בניזרי הורשע </w:t>
      </w:r>
      <w:r>
        <w:rPr>
          <w:b/>
          <w:b/>
          <w:bCs/>
          <w:szCs w:val="28"/>
          <w:rtl w:val="true"/>
        </w:rPr>
        <w:t>כעובד ציבור</w:t>
      </w:r>
      <w:r>
        <w:rPr>
          <w:szCs w:val="28"/>
          <w:rtl w:val="true"/>
        </w:rPr>
        <w:t xml:space="preserve"> בגין </w:t>
      </w:r>
      <w:r>
        <w:rPr>
          <w:b/>
          <w:b/>
          <w:bCs/>
          <w:szCs w:val="28"/>
          <w:rtl w:val="true"/>
        </w:rPr>
        <w:t>מעשים רבים</w:t>
      </w:r>
      <w:r>
        <w:rPr>
          <w:szCs w:val="28"/>
          <w:rtl w:val="true"/>
        </w:rPr>
        <w:t xml:space="preserve"> של קבלת שוחד בסכומים גבוהים תמורת </w:t>
      </w:r>
      <w:r>
        <w:rPr>
          <w:b/>
          <w:b/>
          <w:bCs/>
          <w:szCs w:val="28"/>
          <w:rtl w:val="true"/>
        </w:rPr>
        <w:t>פעולות שונות</w:t>
      </w:r>
      <w:r>
        <w:rPr>
          <w:szCs w:val="28"/>
          <w:rtl w:val="true"/>
        </w:rPr>
        <w:t xml:space="preserve"> שפעל כעובד ציבור בכיר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וכאשר מדובר בטובות הנאה בעלות ערך כספי ניכר </w:t>
      </w:r>
      <w:r>
        <w:rPr>
          <w:b/>
          <w:b/>
          <w:bCs/>
          <w:szCs w:val="28"/>
          <w:rtl w:val="true"/>
        </w:rPr>
        <w:t>ש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נכנסו לכיסו</w:t>
      </w:r>
      <w:r>
        <w:rPr>
          <w:b/>
          <w:bCs/>
          <w:szCs w:val="28"/>
          <w:rtl w:val="true"/>
        </w:rPr>
        <w:t>".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נסיבות מחמירות אלה לא התקיימו ברב אלבז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הוא הורשע בעבירות של קשירת קשר לבצע פשע ותיווך לשוחד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עקב השפעתו על אדם אחר לסייע לנותן השוחד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הכספים שהתקבלו לא נועדו לרב אלבז אישית אלא לישיבה שבראשה עמד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ראו ס</w:t>
      </w:r>
      <w:r>
        <w:rPr>
          <w:szCs w:val="28"/>
          <w:rtl w:val="true"/>
        </w:rPr>
        <w:t xml:space="preserve">' </w:t>
      </w:r>
      <w:r>
        <w:rPr>
          <w:szCs w:val="28"/>
        </w:rPr>
        <w:t>24</w:t>
      </w:r>
      <w:r>
        <w:rPr>
          <w:szCs w:val="28"/>
          <w:rtl w:val="true"/>
        </w:rPr>
        <w:t xml:space="preserve">, </w:t>
      </w:r>
      <w:r>
        <w:rPr>
          <w:szCs w:val="28"/>
        </w:rPr>
        <w:t>60-64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לפסק הדין</w:t>
      </w:r>
      <w:r>
        <w:rPr>
          <w:szCs w:val="28"/>
          <w:rtl w:val="true"/>
        </w:rPr>
        <w:t xml:space="preserve">).   </w:t>
      </w:r>
    </w:p>
    <w:p>
      <w:pPr>
        <w:pStyle w:val="Normal"/>
        <w:spacing w:lineRule="auto" w:line="360"/>
        <w:ind w:hanging="144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17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ההחמרה בעונשו של הנאשם לעומת עונשו של טפליצקי מוצדקת לדעתנו לאור שיקולים נוספים</w:t>
      </w:r>
      <w:r>
        <w:rPr>
          <w:szCs w:val="28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א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כאמור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טפליצקי הודה במעשיו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ועונשו נגזר במסגרת הסדר טיעון הנקוב לעניין העונש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לעומת זאת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הנאשם הורשע לאחר שכפר ונשמעו ראיות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כנימוקים לקולא בעניינו של טפליצקי שימשו הודאתו במהלך חקירתו במשטרה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וכן הודאתו בפני בית המשפט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הודאות אלה התקבלו על ידי בית המשפט כמצביעות </w:t>
      </w:r>
      <w:r>
        <w:rPr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על חרטה כנה ונטילת אחריות</w:t>
      </w:r>
      <w:r>
        <w:rPr>
          <w:szCs w:val="28"/>
          <w:rtl w:val="true"/>
        </w:rPr>
        <w:t>" (</w:t>
      </w:r>
      <w:r>
        <w:rPr>
          <w:szCs w:val="28"/>
          <w:rtl w:val="true"/>
        </w:rPr>
        <w:t>ראו ת</w:t>
      </w:r>
      <w:r>
        <w:rPr>
          <w:szCs w:val="28"/>
          <w:rtl w:val="true"/>
        </w:rPr>
        <w:t>/</w:t>
      </w:r>
      <w:r>
        <w:rPr>
          <w:szCs w:val="28"/>
        </w:rPr>
        <w:t>175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זאת ועוד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המדינה הדגישה כי אלמלא מסר טפליצקי גרסה מלאה ומפורטת ביחס לעובדות האישום הראשון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לא ניתן היה לפענח פשע זה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שיקולים אלה לקולא אינם מתקיימים בעניינו של הנאשם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ב</w:t>
      </w:r>
      <w:r>
        <w:rPr>
          <w:szCs w:val="28"/>
          <w:rtl w:val="true"/>
        </w:rPr>
        <w:t xml:space="preserve">. </w:t>
        <w:tab/>
      </w:r>
      <w:r>
        <w:rPr>
          <w:szCs w:val="28"/>
          <w:rtl w:val="true"/>
        </w:rPr>
        <w:t>בית המשפט התחשב לקולא בגילו הצעיר של טפליצקי ובעברו הנקי</w:t>
      </w:r>
      <w:r>
        <w:rPr>
          <w:szCs w:val="28"/>
          <w:rtl w:val="true"/>
        </w:rPr>
        <w:t xml:space="preserve">.  </w:t>
      </w:r>
      <w:r>
        <w:rPr>
          <w:szCs w:val="28"/>
          <w:rtl w:val="true"/>
        </w:rPr>
        <w:t>הנאשם אינו צעיר כטפליצקי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ויש לו עבר פלילי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אם כי לא בעבירות חמורות ממין העבירות שבפנינו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והוא לא נדון בעבר לעונש מאסר</w:t>
      </w:r>
      <w:r>
        <w:rPr>
          <w:szCs w:val="28"/>
          <w:rtl w:val="true"/>
        </w:rPr>
        <w:t xml:space="preserve">).  </w:t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ג</w:t>
      </w:r>
      <w:r>
        <w:rPr>
          <w:szCs w:val="28"/>
          <w:rtl w:val="true"/>
        </w:rPr>
        <w:t xml:space="preserve">. </w:t>
        <w:tab/>
      </w:r>
      <w:r>
        <w:rPr>
          <w:szCs w:val="28"/>
          <w:rtl w:val="true"/>
        </w:rPr>
        <w:t>מובן שבכל הנוגע לאישום השלישי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חמור עניינו של הנאשם מעניינו של טפליצקי</w:t>
      </w:r>
      <w:r>
        <w:rPr>
          <w:szCs w:val="28"/>
          <w:rtl w:val="true"/>
        </w:rPr>
        <w:t xml:space="preserve">, </w:t>
      </w:r>
      <w:r>
        <w:rPr>
          <w:b/>
          <w:b/>
          <w:bCs/>
          <w:szCs w:val="28"/>
          <w:rtl w:val="true"/>
        </w:rPr>
        <w:t>שכלל לא הואשם במקרה זה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הנאשם הוא שנשא אקדח שלא כדין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והוא שירה את היריות לעברו של פרץ כדי לאיים עליו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בעוד טפליצקי שימש כנהגו בלבד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צודקת ב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>כ המאשימה בבקשתה לתת משקל לאישום זה בענישתו של הנאשם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18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 xml:space="preserve">על חומרת עונשו של מי ששידל אדם לעבור עבירה של ניסיון לרצח </w:t>
      </w:r>
      <w:r>
        <w:rPr>
          <w:b/>
          <w:b/>
          <w:bCs/>
          <w:szCs w:val="28"/>
          <w:rtl w:val="true"/>
        </w:rPr>
        <w:t>בנסיבות דומות</w:t>
      </w:r>
      <w:r>
        <w:rPr>
          <w:b/>
          <w:bCs/>
          <w:szCs w:val="28"/>
          <w:rtl w:val="true"/>
        </w:rPr>
        <w:t>,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ניתן ללמוד מ</w:t>
      </w:r>
      <w:hyperlink r:id="rId46">
        <w:r>
          <w:rPr>
            <w:rStyle w:val="Hyperlink"/>
            <w:szCs w:val="28"/>
            <w:rtl w:val="true"/>
          </w:rPr>
          <w:t>ע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 xml:space="preserve">פ </w:t>
        </w:r>
        <w:r>
          <w:rPr>
            <w:rStyle w:val="Hyperlink"/>
            <w:szCs w:val="28"/>
          </w:rPr>
          <w:t>4720/98</w:t>
        </w:r>
      </w:hyperlink>
      <w:r>
        <w:rPr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מדינת ישראל נ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נחמן כהן ואח</w:t>
      </w:r>
      <w:r>
        <w:rPr>
          <w:b/>
          <w:bCs/>
          <w:szCs w:val="28"/>
          <w:rtl w:val="true"/>
        </w:rPr>
        <w:t>'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תק</w:t>
      </w:r>
      <w:r>
        <w:rPr>
          <w:szCs w:val="28"/>
          <w:rtl w:val="true"/>
        </w:rPr>
        <w:t>-</w:t>
      </w:r>
      <w:r>
        <w:rPr>
          <w:szCs w:val="28"/>
          <w:rtl w:val="true"/>
        </w:rPr>
        <w:t xml:space="preserve">על </w:t>
      </w:r>
      <w:r>
        <w:rPr>
          <w:szCs w:val="28"/>
        </w:rPr>
        <w:t>99</w:t>
      </w:r>
      <w:r>
        <w:rPr>
          <w:szCs w:val="28"/>
          <w:rtl w:val="true"/>
        </w:rPr>
        <w:t>(</w:t>
      </w:r>
      <w:r>
        <w:rPr>
          <w:szCs w:val="28"/>
        </w:rPr>
        <w:t>2</w:t>
      </w:r>
      <w:r>
        <w:rPr>
          <w:szCs w:val="28"/>
          <w:rtl w:val="true"/>
        </w:rPr>
        <w:t xml:space="preserve">), </w:t>
      </w:r>
      <w:r>
        <w:rPr>
          <w:szCs w:val="28"/>
        </w:rPr>
        <w:t>51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בעניינו של הנאשם </w:t>
      </w:r>
      <w:r>
        <w:rPr>
          <w:szCs w:val="28"/>
        </w:rPr>
        <w:t>2</w:t>
      </w:r>
      <w:r>
        <w:rPr>
          <w:szCs w:val="28"/>
          <w:rtl w:val="true"/>
        </w:rPr>
        <w:t xml:space="preserve">.  </w:t>
      </w:r>
      <w:r>
        <w:rPr>
          <w:szCs w:val="28"/>
          <w:rtl w:val="true"/>
        </w:rPr>
        <w:t>נאשם זה הורשע בכמה עבירות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ונדון לעונש כולל של </w:t>
      </w:r>
      <w:r>
        <w:rPr>
          <w:szCs w:val="28"/>
        </w:rPr>
        <w:t>15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מאסר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בגין חלקו באירוע עברייני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על רקע סכסוכים בעולם התחתון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באותו מקרה תוכנן לרצוח אדם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נשכרו שני אנשים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וסופקו להם אקדחים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אלא שהשניים נעצרו על ידי המשטרה בסמוך למקום הביצוע המתוכנן של הרצח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הם הסכימו להיות עדי מדינה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לא הועמדו לדין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וכך נחשפה הפרשה</w:t>
      </w:r>
      <w:r>
        <w:rPr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 xml:space="preserve">            </w:t>
      </w:r>
      <w:r>
        <w:rPr>
          <w:szCs w:val="28"/>
          <w:rtl w:val="true"/>
        </w:rPr>
        <w:t xml:space="preserve">הנאשם </w:t>
      </w:r>
      <w:r>
        <w:rPr>
          <w:szCs w:val="28"/>
        </w:rPr>
        <w:t>2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הורשע על כך ששכר את השניים לביצוע הרצח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תכנן עימם את פרטי הביצוע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סיפק להם את הציוד הדרוש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לרבות כלי נשק ורכב מילוט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סייר איתם במקום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וערך לאחד מהם מטווח אקדחים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למעשה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התברר בפני בית המשפט כי הנאשם </w:t>
      </w:r>
      <w:r>
        <w:rPr>
          <w:szCs w:val="28"/>
        </w:rPr>
        <w:t>2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 xml:space="preserve">שימש כנציגו של הנאשם </w:t>
      </w:r>
      <w:r>
        <w:rPr>
          <w:szCs w:val="28"/>
        </w:rPr>
        <w:t>1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בכל הקשור להזמנת הרצח ולהיערכות לקראת מימושו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szCs w:val="28"/>
        </w:rPr>
      </w:pPr>
      <w:r>
        <w:rPr>
          <w:szCs w:val="28"/>
          <w:rtl w:val="true"/>
        </w:rPr>
        <w:t>אכן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בולטים באותו מקרה קווי הדימיון לאירוע נושא האישום השני שבפנינו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הנאשם </w:t>
      </w:r>
      <w:r>
        <w:rPr>
          <w:szCs w:val="28"/>
        </w:rPr>
        <w:t>2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נדון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כאמור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לעונש של </w:t>
      </w:r>
      <w:r>
        <w:rPr>
          <w:szCs w:val="28"/>
        </w:rPr>
        <w:t>15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מאסר בפועל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ובית המשפט העליון אישר את העונש </w:t>
      </w:r>
      <w:r>
        <w:rPr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 xml:space="preserve">בהתחשב בכך שמדובר ברצח מתוכנן באמצעות </w:t>
      </w:r>
      <w:r>
        <w:rPr>
          <w:b/>
          <w:bCs/>
          <w:szCs w:val="28"/>
          <w:rtl w:val="true"/>
        </w:rPr>
        <w:t>'</w:t>
      </w:r>
      <w:r>
        <w:rPr>
          <w:b/>
          <w:b/>
          <w:bCs/>
          <w:szCs w:val="28"/>
          <w:rtl w:val="true"/>
        </w:rPr>
        <w:t>רוצחים שכירים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על רקע סכסוכים בעולם התחתון</w:t>
      </w:r>
      <w:r>
        <w:rPr>
          <w:b/>
          <w:bCs/>
          <w:szCs w:val="28"/>
          <w:rtl w:val="true"/>
        </w:rPr>
        <w:t xml:space="preserve">"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 xml:space="preserve">סעיף </w:t>
      </w:r>
      <w:r>
        <w:rPr>
          <w:szCs w:val="28"/>
        </w:rPr>
        <w:t>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לפסק</w:t>
      </w:r>
      <w:r>
        <w:rPr>
          <w:szCs w:val="28"/>
          <w:rtl w:val="true"/>
        </w:rPr>
        <w:t>-</w:t>
      </w:r>
      <w:r>
        <w:rPr>
          <w:szCs w:val="28"/>
          <w:rtl w:val="true"/>
        </w:rPr>
        <w:t>הדין</w:t>
      </w:r>
      <w:r>
        <w:rPr>
          <w:szCs w:val="28"/>
          <w:rtl w:val="true"/>
        </w:rPr>
        <w:t xml:space="preserve">). </w:t>
      </w:r>
      <w:r>
        <w:rPr>
          <w:szCs w:val="28"/>
          <w:rtl w:val="true"/>
        </w:rPr>
        <w:t>באותו מקרה לא נוספו אישומים שעניינם פרשות חמורות נוספות כמו במקרה שלפנינו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 xml:space="preserve">נעיר כי באותו מקרה גרס בית המשפט העליון כי אחריותו של הנאשם </w:t>
      </w:r>
      <w:r>
        <w:rPr>
          <w:szCs w:val="28"/>
        </w:rPr>
        <w:t>2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 xml:space="preserve">לניסיון הרצח שסוכל היא אחריות של </w:t>
      </w:r>
      <w:r>
        <w:rPr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מבצע בצוותא</w:t>
      </w:r>
      <w:r>
        <w:rPr>
          <w:szCs w:val="28"/>
          <w:rtl w:val="true"/>
        </w:rPr>
        <w:t xml:space="preserve">", </w:t>
      </w:r>
      <w:r>
        <w:rPr>
          <w:szCs w:val="28"/>
          <w:rtl w:val="true"/>
        </w:rPr>
        <w:t xml:space="preserve">ולא של </w:t>
      </w:r>
      <w:r>
        <w:rPr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משדל</w:t>
      </w:r>
      <w:r>
        <w:rPr>
          <w:szCs w:val="28"/>
          <w:rtl w:val="true"/>
        </w:rPr>
        <w:t xml:space="preserve">". </w:t>
      </w:r>
      <w:r>
        <w:rPr>
          <w:szCs w:val="28"/>
          <w:rtl w:val="true"/>
        </w:rPr>
        <w:t>ואולם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בית המשפט עצמו קבע כי ביטול הרשעתו של הנאשם </w:t>
      </w:r>
      <w:r>
        <w:rPr>
          <w:szCs w:val="28"/>
        </w:rPr>
        <w:t>2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 xml:space="preserve">בעבירה של </w:t>
      </w:r>
      <w:r>
        <w:rPr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שידול לרצח</w:t>
      </w:r>
      <w:r>
        <w:rPr>
          <w:szCs w:val="28"/>
          <w:rtl w:val="true"/>
        </w:rPr>
        <w:t xml:space="preserve">" – </w:t>
      </w:r>
      <w:r>
        <w:rPr>
          <w:szCs w:val="28"/>
          <w:rtl w:val="true"/>
        </w:rPr>
        <w:t>אין לה השלכה לעניין העונש</w:t>
      </w:r>
      <w:r>
        <w:rPr>
          <w:szCs w:val="28"/>
          <w:rtl w:val="true"/>
        </w:rPr>
        <w:t>: "</w:t>
      </w:r>
      <w:r>
        <w:rPr>
          <w:b/>
          <w:b/>
          <w:bCs/>
          <w:szCs w:val="28"/>
          <w:rtl w:val="true"/>
        </w:rPr>
        <w:t>הביטול אינו נעוץ בשינוי של התשתית העובדתית העומדת בבסיס הרשעתו</w:t>
      </w:r>
      <w:r>
        <w:rPr>
          <w:b/>
          <w:bCs/>
          <w:szCs w:val="28"/>
          <w:rtl w:val="true"/>
        </w:rPr>
        <w:t xml:space="preserve">; </w:t>
      </w:r>
      <w:r>
        <w:rPr>
          <w:b/>
          <w:b/>
          <w:bCs/>
          <w:szCs w:val="28"/>
          <w:rtl w:val="true"/>
        </w:rPr>
        <w:t>ומן ההיבט העונשי זהו ביטול טכני</w:t>
      </w:r>
      <w:r>
        <w:rPr>
          <w:b/>
          <w:bCs/>
          <w:szCs w:val="28"/>
          <w:rtl w:val="true"/>
        </w:rPr>
        <w:t>-</w:t>
      </w:r>
      <w:r>
        <w:rPr>
          <w:b/>
          <w:b/>
          <w:bCs/>
          <w:szCs w:val="28"/>
          <w:rtl w:val="true"/>
        </w:rPr>
        <w:t>פורמלי בלבד</w:t>
      </w:r>
      <w:r>
        <w:rPr>
          <w:szCs w:val="28"/>
          <w:rtl w:val="true"/>
        </w:rPr>
        <w:t>" (</w:t>
      </w:r>
      <w:r>
        <w:rPr>
          <w:szCs w:val="28"/>
          <w:rtl w:val="true"/>
        </w:rPr>
        <w:t>שם</w:t>
      </w:r>
      <w:r>
        <w:rPr>
          <w:szCs w:val="28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כמו כן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נפנה לעניין </w:t>
      </w:r>
      <w:r>
        <w:rPr>
          <w:b/>
          <w:b/>
          <w:bCs/>
          <w:szCs w:val="28"/>
          <w:rtl w:val="true"/>
        </w:rPr>
        <w:t xml:space="preserve">סיאנוב </w:t>
      </w:r>
      <w:r>
        <w:rPr>
          <w:szCs w:val="28"/>
          <w:rtl w:val="true"/>
        </w:rPr>
        <w:t>הנ</w:t>
      </w:r>
      <w:r>
        <w:rPr>
          <w:szCs w:val="28"/>
          <w:rtl w:val="true"/>
        </w:rPr>
        <w:t>"</w:t>
      </w:r>
      <w:r>
        <w:rPr>
          <w:szCs w:val="28"/>
          <w:rtl w:val="true"/>
        </w:rPr>
        <w:t xml:space="preserve">ל </w:t>
      </w:r>
      <w:r>
        <w:rPr>
          <w:szCs w:val="28"/>
          <w:rtl w:val="true"/>
        </w:rPr>
        <w:t>(</w:t>
      </w:r>
      <w:hyperlink r:id="rId47">
        <w:r>
          <w:rPr>
            <w:rStyle w:val="Hyperlink"/>
            <w:szCs w:val="28"/>
            <w:rtl w:val="true"/>
          </w:rPr>
          <w:t>ע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 xml:space="preserve">פ </w:t>
        </w:r>
        <w:r>
          <w:rPr>
            <w:rStyle w:val="Hyperlink"/>
            <w:szCs w:val="28"/>
          </w:rPr>
          <w:t>4668/05</w:t>
        </w:r>
      </w:hyperlink>
      <w:r>
        <w:rPr>
          <w:szCs w:val="28"/>
          <w:rtl w:val="true"/>
        </w:rPr>
        <w:t xml:space="preserve">), </w:t>
      </w:r>
      <w:r>
        <w:rPr>
          <w:szCs w:val="28"/>
          <w:rtl w:val="true"/>
        </w:rPr>
        <w:t>שהובא על ידי המאשימה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כדי להראות שבמקרים מתאימים נכון הוא להחמיר בעניינו של מי ש</w:t>
      </w:r>
      <w:r>
        <w:rPr>
          <w:b/>
          <w:b/>
          <w:bCs/>
          <w:szCs w:val="28"/>
          <w:rtl w:val="true"/>
        </w:rPr>
        <w:t xml:space="preserve">משדל </w:t>
      </w:r>
      <w:r>
        <w:rPr>
          <w:szCs w:val="28"/>
          <w:rtl w:val="true"/>
        </w:rPr>
        <w:t xml:space="preserve">אחר לבצע רצח </w:t>
      </w:r>
      <w:r>
        <w:rPr>
          <w:szCs w:val="28"/>
          <w:rtl w:val="true"/>
        </w:rPr>
        <w:t xml:space="preserve">- </w:t>
      </w:r>
      <w:r>
        <w:rPr>
          <w:szCs w:val="28"/>
          <w:rtl w:val="true"/>
        </w:rPr>
        <w:t>ממי שניסה לרצוח כ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>מבצע עיקרי</w:t>
      </w:r>
      <w:r>
        <w:rPr>
          <w:b/>
          <w:bCs/>
          <w:szCs w:val="28"/>
          <w:rtl w:val="true"/>
        </w:rPr>
        <w:t>".</w:t>
      </w:r>
      <w:r>
        <w:rPr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19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לאור כל האמור לעיל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אנו סבורים כי יש להטיל על הנאשם עונש מאסר בפועל החמור  באופן משמעותי מעונש המאסר שהוטל על טפליצקי</w:t>
      </w:r>
      <w:r>
        <w:rPr>
          <w:szCs w:val="28"/>
          <w:rtl w:val="true"/>
        </w:rPr>
        <w:t xml:space="preserve">.  </w:t>
      </w:r>
      <w:r>
        <w:rPr>
          <w:szCs w:val="28"/>
          <w:rtl w:val="true"/>
        </w:rPr>
        <w:t>יחד עם זאת מצאנו שלא למצות את הדין עם הנאשם – כפי המתחייב מחומרתם המצטברת של המעשים ומהפסיקה – וזאת כדי לשמור על זיקה מסוימת בין עונשו של הנאשם לבין עונשו של טפליצקי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היינו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כדי לשמור על מידתיות ראויה בפער שבין עונשי המאסר בפועל</w:t>
      </w:r>
      <w:r>
        <w:rPr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כמו כן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בהטילנו את עונש המאסר על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ניקח בחשבון את העובדה שעברו הפלילי הוא ישן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וכי לא נדון בעבר לעונש מאסר בפועל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אין לדמות את העבירות שבהן הורשע בעבר לעבירות נושא האישומים שבפנינו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עוד שיווינו לנגד עינינו את העובדה שהנאשם היה במעצר בית במשך </w:t>
      </w:r>
      <w:r>
        <w:rPr>
          <w:szCs w:val="28"/>
        </w:rPr>
        <w:t>27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חודשים ברציפות מבלי להפר את תנאיו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20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הנאשם הורשע בשלוש פרשיות שונות שאירעו במועדים שונים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ניתן במקרה זה להטיל עונש על כל אחד מהמעשים בנפרד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ולהחליט על אופן צבירתם או חפיפתם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ניתן גם להטיל עונש אחד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כאשר מידת העונש הכולל הראויה היא לנגד עינינו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 xml:space="preserve">השוו </w:t>
      </w:r>
      <w:hyperlink r:id="rId48">
        <w:r>
          <w:rPr>
            <w:rStyle w:val="Hyperlink"/>
            <w:szCs w:val="28"/>
            <w:rtl w:val="true"/>
          </w:rPr>
          <w:t>ע</w:t>
        </w:r>
        <w:r>
          <w:rPr>
            <w:rStyle w:val="Hyperlink"/>
            <w:szCs w:val="28"/>
            <w:rtl w:val="true"/>
          </w:rPr>
          <w:t>"</w:t>
        </w:r>
        <w:r>
          <w:rPr>
            <w:rStyle w:val="Hyperlink"/>
            <w:szCs w:val="28"/>
            <w:rtl w:val="true"/>
          </w:rPr>
          <w:t xml:space="preserve">פ </w:t>
        </w:r>
        <w:r>
          <w:rPr>
            <w:rStyle w:val="Hyperlink"/>
            <w:szCs w:val="28"/>
          </w:rPr>
          <w:t>6867/06</w:t>
        </w:r>
      </w:hyperlink>
      <w:r>
        <w:rPr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עזאם נ</w:t>
      </w:r>
      <w:r>
        <w:rPr>
          <w:b/>
          <w:bCs/>
          <w:szCs w:val="28"/>
          <w:rtl w:val="true"/>
        </w:rPr>
        <w:t xml:space="preserve">' </w:t>
      </w:r>
      <w:r>
        <w:rPr>
          <w:b/>
          <w:b/>
          <w:bCs/>
          <w:szCs w:val="28"/>
          <w:rtl w:val="true"/>
        </w:rPr>
        <w:t>מדינת ישראל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תק</w:t>
      </w:r>
      <w:r>
        <w:rPr>
          <w:szCs w:val="28"/>
          <w:rtl w:val="true"/>
        </w:rPr>
        <w:t>-</w:t>
      </w:r>
      <w:r>
        <w:rPr>
          <w:szCs w:val="28"/>
          <w:rtl w:val="true"/>
        </w:rPr>
        <w:t xml:space="preserve">על </w:t>
      </w:r>
      <w:r>
        <w:rPr>
          <w:szCs w:val="28"/>
        </w:rPr>
        <w:t>2008</w:t>
      </w:r>
      <w:r>
        <w:rPr>
          <w:szCs w:val="28"/>
          <w:rtl w:val="true"/>
        </w:rPr>
        <w:t>(</w:t>
      </w:r>
      <w:r>
        <w:rPr>
          <w:szCs w:val="28"/>
        </w:rPr>
        <w:t>4</w:t>
      </w:r>
      <w:r>
        <w:rPr>
          <w:szCs w:val="28"/>
          <w:rtl w:val="true"/>
        </w:rPr>
        <w:t xml:space="preserve">), </w:t>
      </w:r>
      <w:r>
        <w:rPr>
          <w:szCs w:val="28"/>
        </w:rPr>
        <w:t>168</w:t>
      </w:r>
      <w:r>
        <w:rPr>
          <w:szCs w:val="28"/>
          <w:rtl w:val="true"/>
        </w:rPr>
        <w:t xml:space="preserve"> – </w:t>
      </w:r>
      <w:r>
        <w:rPr>
          <w:szCs w:val="28"/>
          <w:rtl w:val="true"/>
        </w:rPr>
        <w:t xml:space="preserve">סעיפים </w:t>
      </w:r>
      <w:r>
        <w:rPr>
          <w:szCs w:val="28"/>
        </w:rPr>
        <w:t>21-17</w:t>
      </w:r>
      <w:r>
        <w:rPr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נראה לנו כראוי במקרה זה להטיל עונש כולל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מתוך מבט על כלל האישומים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כפי שהוטל על טפליצקי </w:t>
      </w:r>
      <w:r>
        <w:rPr>
          <w:szCs w:val="28"/>
          <w:rtl w:val="true"/>
        </w:rPr>
        <w:t>(</w:t>
      </w:r>
      <w:r>
        <w:rPr>
          <w:szCs w:val="28"/>
          <w:rtl w:val="true"/>
        </w:rPr>
        <w:t>במסגרת הסדר הטיעון</w:t>
      </w:r>
      <w:r>
        <w:rPr>
          <w:szCs w:val="28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21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 xml:space="preserve">טפליצקי שירה בסיני ופצע אותו חויב בגזר דינו בתשלום פיצויים לסיני בסכום של </w:t>
      </w:r>
      <w:r>
        <w:rPr>
          <w:szCs w:val="28"/>
        </w:rPr>
        <w:t>75,000</w:t>
      </w:r>
      <w:r>
        <w:rPr>
          <w:szCs w:val="28"/>
          <w:rtl w:val="true"/>
        </w:rPr>
        <w:t xml:space="preserve"> ₪.  </w:t>
      </w:r>
      <w:r>
        <w:rPr>
          <w:szCs w:val="28"/>
          <w:rtl w:val="true"/>
        </w:rPr>
        <w:t>פיצויים אלה לא היו מוסכמים לפי הסדר הטיעון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Cs w:val="28"/>
        </w:rPr>
      </w:pPr>
      <w:r>
        <w:rPr>
          <w:szCs w:val="28"/>
          <w:rtl w:val="true"/>
        </w:rPr>
        <w:t>אנו סבורים שגם את הנאשם יש לחייב בתשלום פיצויים לסיני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ובשיעור גבוה יותר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בהתחשב בכל הנסיבות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>בין השאר יש להטעים שחבותו המוסרית והמהותית של הנאשם רבה באירוע זה מחבותו של טפליצקי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Cs w:val="28"/>
          <w:rtl w:val="true"/>
        </w:rPr>
        <w:tab/>
      </w:r>
      <w:r>
        <w:rPr>
          <w:szCs w:val="28"/>
          <w:rtl w:val="true"/>
        </w:rPr>
        <w:t>לעומת זאת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איננו מטילים על הנאשם קנס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לאור תקופת המאסר הארוכה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ומאחר שגם על טפליצקי לא הוטל קנס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szCs w:val="28"/>
        </w:rPr>
      </w:pPr>
      <w:r>
        <w:rPr>
          <w:b/>
          <w:b/>
          <w:bCs/>
          <w:szCs w:val="28"/>
          <w:u w:val="single"/>
          <w:rtl w:val="true"/>
        </w:rPr>
        <w:t>התוצאה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</w:rPr>
        <w:t>22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>לאור כל האמור לעיל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החלטנו לגזור את עונשו של הנאשם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בגין כל העבירות שבהן הורשע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כדלקמן</w:t>
      </w:r>
      <w:r>
        <w:rPr>
          <w:szCs w:val="28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א</w:t>
      </w:r>
      <w:r>
        <w:rPr>
          <w:szCs w:val="28"/>
          <w:rtl w:val="true"/>
        </w:rPr>
        <w:t>.</w:t>
        <w:tab/>
      </w:r>
      <w:r>
        <w:rPr>
          <w:szCs w:val="28"/>
        </w:rPr>
        <w:t>17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שנות מאסר לריצוי בפועל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בניכוי ימי מעצרו בתיק זה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 xml:space="preserve">החל ביום </w:t>
      </w:r>
      <w:r>
        <w:rPr>
          <w:szCs w:val="28"/>
        </w:rPr>
        <w:t>25.4.07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 xml:space="preserve">עד </w:t>
      </w:r>
      <w:r>
        <w:rPr>
          <w:szCs w:val="28"/>
        </w:rPr>
        <w:t>18.8.08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ב</w:t>
      </w:r>
      <w:r>
        <w:rPr>
          <w:szCs w:val="28"/>
          <w:rtl w:val="true"/>
        </w:rPr>
        <w:t>.</w:t>
        <w:tab/>
      </w:r>
      <w:r>
        <w:rPr>
          <w:szCs w:val="28"/>
        </w:rPr>
        <w:t>12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חודשי מאסר על תנאי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והתנאי הוא שהנאשם לא יעבור תוך שלוש שנים  מיום שחרורו מהכלא אחת העבירות שבהן הורשע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וכל עבירת אלימות מסוג פשע</w:t>
      </w:r>
      <w:r>
        <w:rPr>
          <w:szCs w:val="28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  <w:t>ג</w:t>
      </w:r>
      <w:r>
        <w:rPr>
          <w:szCs w:val="28"/>
          <w:rtl w:val="true"/>
        </w:rPr>
        <w:t>.</w:t>
        <w:tab/>
      </w:r>
      <w:r>
        <w:rPr>
          <w:szCs w:val="28"/>
          <w:rtl w:val="true"/>
        </w:rPr>
        <w:t xml:space="preserve">אנו מחייבים את הנאשם בתשלום פיצויים בסך </w:t>
      </w:r>
      <w:r>
        <w:rPr>
          <w:szCs w:val="28"/>
        </w:rPr>
        <w:t>120,000</w:t>
      </w:r>
      <w:r>
        <w:rPr>
          <w:szCs w:val="28"/>
          <w:rtl w:val="true"/>
        </w:rPr>
        <w:t xml:space="preserve"> ₪ </w:t>
      </w:r>
      <w:r>
        <w:rPr>
          <w:szCs w:val="28"/>
          <w:rtl w:val="true"/>
        </w:rPr>
        <w:t>ליואב סיני</w:t>
      </w:r>
      <w:r>
        <w:rPr>
          <w:szCs w:val="28"/>
          <w:rtl w:val="true"/>
        </w:rPr>
        <w:t xml:space="preserve">. </w:t>
      </w:r>
      <w:r>
        <w:rPr>
          <w:szCs w:val="28"/>
          <w:rtl w:val="true"/>
        </w:rPr>
        <w:t xml:space="preserve">התשלום יופקד בקופת בית המשפט תוך </w:t>
      </w:r>
      <w:r>
        <w:rPr>
          <w:szCs w:val="28"/>
        </w:rPr>
        <w:t>90</w:t>
      </w:r>
      <w:r>
        <w:rPr>
          <w:szCs w:val="28"/>
          <w:rtl w:val="true"/>
        </w:rPr>
        <w:t xml:space="preserve"> </w:t>
      </w:r>
      <w:r>
        <w:rPr>
          <w:szCs w:val="28"/>
          <w:rtl w:val="true"/>
        </w:rPr>
        <w:t>יום מהיום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ויועבר לסיני על פי כתובת שתמסור המאשימה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szCs w:val="28"/>
        </w:rPr>
      </w:pPr>
      <w:r>
        <w:rPr>
          <w:szCs w:val="28"/>
          <w:rtl w:val="true"/>
        </w:rPr>
        <w:t xml:space="preserve">אם לא יופקד הסכום  במועד </w:t>
      </w:r>
      <w:r>
        <w:rPr>
          <w:szCs w:val="28"/>
          <w:rtl w:val="true"/>
        </w:rPr>
        <w:t xml:space="preserve">- </w:t>
      </w:r>
      <w:r>
        <w:rPr>
          <w:szCs w:val="28"/>
          <w:rtl w:val="true"/>
        </w:rPr>
        <w:t>יחויב בריבית ובהפרשי הצמדה מאותו יום ועד לתשלום בפועל</w:t>
      </w:r>
      <w:r>
        <w:rPr>
          <w:szCs w:val="28"/>
          <w:rtl w:val="true"/>
        </w:rPr>
        <w:t xml:space="preserve">, </w:t>
      </w:r>
      <w:r>
        <w:rPr>
          <w:szCs w:val="28"/>
          <w:rtl w:val="true"/>
        </w:rPr>
        <w:t>ויועבר לגבייה למרכז לגביית קנסות</w:t>
      </w:r>
      <w:r>
        <w:rPr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8"/>
        </w:rPr>
      </w:pPr>
      <w:r>
        <w:rPr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numPr>
          <w:ilvl w:val="0"/>
          <w:numId w:val="0"/>
        </w:numPr>
        <w:ind w:hanging="0" w:start="0" w:end="0"/>
        <w:jc w:val="both"/>
        <w:outlineLvl w:val="0"/>
        <w:rPr>
          <w:b/>
          <w:bCs/>
          <w:szCs w:val="28"/>
        </w:rPr>
      </w:pPr>
      <w:r>
        <w:rPr>
          <w:b/>
          <w:b/>
          <w:bCs/>
          <w:szCs w:val="28"/>
          <w:rtl w:val="true"/>
        </w:rPr>
        <w:t>הודעה לנאשם זכותו לערער לביהמ</w:t>
      </w:r>
      <w:r>
        <w:rPr>
          <w:b/>
          <w:bCs/>
          <w:szCs w:val="28"/>
          <w:rtl w:val="true"/>
        </w:rPr>
        <w:t>"</w:t>
      </w:r>
      <w:r>
        <w:rPr>
          <w:b/>
          <w:b/>
          <w:bCs/>
          <w:szCs w:val="28"/>
          <w:rtl w:val="true"/>
        </w:rPr>
        <w:t xml:space="preserve">ש העליון תוך </w:t>
      </w:r>
      <w:r>
        <w:rPr>
          <w:b/>
          <w:bCs/>
          <w:szCs w:val="28"/>
        </w:rPr>
        <w:t>45</w:t>
      </w:r>
      <w:r>
        <w:rPr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יום מהיום</w:t>
      </w:r>
      <w:r>
        <w:rPr>
          <w:b/>
          <w:bCs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Normal"/>
        <w:ind w:end="0"/>
        <w:jc w:val="start"/>
        <w:rPr>
          <w:rStyle w:val="LineNumber"/>
        </w:rPr>
      </w:pPr>
      <w:r>
        <w:rPr>
          <w:szCs w:val="28"/>
          <w:rtl w:val="true"/>
        </w:rPr>
      </w:r>
    </w:p>
    <w:p>
      <w:pPr>
        <w:pStyle w:val="Normal"/>
        <w:ind w:end="0"/>
        <w:jc w:val="start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#6#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ניתן והודע היום כ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חשון תשע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28/10/2010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 הצדדים והנאשם</w:t>
      </w:r>
      <w:r>
        <w:rPr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אברהם טל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bookmarkStart w:id="16" w:name="LastJudge"/>
            <w:bookmarkEnd w:id="16"/>
            <w:r>
              <w:rPr>
                <w:rFonts w:cs="FrankRuehl"/>
                <w:szCs w:val="28"/>
                <w:rtl w:val="true"/>
              </w:rPr>
              <w:t>אברהם</w:t>
            </w:r>
            <w:r>
              <w:rPr>
                <w:szCs w:val="28"/>
                <w:rtl w:val="true"/>
              </w:rPr>
              <w:t xml:space="preserve">  </w:t>
            </w:r>
            <w:r>
              <w:rPr>
                <w:rFonts w:cs="FrankRuehl"/>
                <w:szCs w:val="28"/>
                <w:rtl w:val="true"/>
              </w:rPr>
              <w:t>טל</w:t>
            </w:r>
            <w:r>
              <w:rPr>
                <w:rFonts w:cs="FrankRuehl"/>
                <w:szCs w:val="28"/>
                <w:rtl w:val="true"/>
              </w:rPr>
              <w:t xml:space="preserve">, </w:t>
            </w:r>
            <w:r>
              <w:rPr>
                <w:rFonts w:cs="FrankRuehl"/>
                <w:szCs w:val="28"/>
                <w:rtl w:val="true"/>
              </w:rPr>
              <w:t>שופט</w:t>
            </w:r>
            <w:r>
              <w:rPr>
                <w:rFonts w:cs="FrankRuehl"/>
                <w:szCs w:val="28"/>
                <w:rtl w:val="true"/>
              </w:rPr>
              <w:t xml:space="preserve">, </w:t>
            </w:r>
            <w:r>
              <w:rPr>
                <w:rFonts w:cs="FrankRuehl"/>
                <w:szCs w:val="28"/>
                <w:rtl w:val="true"/>
              </w:rPr>
              <w:t>אב</w:t>
            </w:r>
            <w:r>
              <w:rPr>
                <w:rFonts w:cs="FrankRuehl"/>
                <w:szCs w:val="28"/>
                <w:rtl w:val="true"/>
              </w:rPr>
              <w:t>"</w:t>
            </w:r>
            <w:r>
              <w:rPr>
                <w:rFonts w:cs="FrankRuehl"/>
                <w:szCs w:val="28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סגן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נשיא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ד</w:t>
            </w:r>
            <w:r>
              <w:rPr>
                <w:rFonts w:cs="FrankRuehl"/>
                <w:szCs w:val="28"/>
                <w:rtl w:val="true"/>
              </w:rPr>
              <w:t>"</w:t>
            </w:r>
            <w:r>
              <w:rPr>
                <w:rFonts w:cs="FrankRuehl"/>
                <w:szCs w:val="28"/>
                <w:rtl w:val="true"/>
              </w:rPr>
              <w:t>ר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מנחם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פינקלשטיין</w:t>
            </w:r>
            <w:r>
              <w:rPr>
                <w:rFonts w:cs="FrankRuehl"/>
                <w:szCs w:val="28"/>
                <w:rtl w:val="true"/>
              </w:rPr>
              <w:t xml:space="preserve">,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שופט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ד</w:t>
            </w:r>
            <w:r>
              <w:rPr>
                <w:rFonts w:cs="FrankRuehl"/>
                <w:szCs w:val="28"/>
                <w:rtl w:val="true"/>
              </w:rPr>
              <w:t>"</w:t>
            </w:r>
            <w:r>
              <w:rPr>
                <w:rFonts w:cs="FrankRuehl"/>
                <w:szCs w:val="28"/>
                <w:rtl w:val="true"/>
              </w:rPr>
              <w:t>ר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אחיקם</w:t>
            </w:r>
            <w:r>
              <w:rPr>
                <w:szCs w:val="28"/>
                <w:rtl w:val="true"/>
              </w:rPr>
              <w:t xml:space="preserve"> </w:t>
            </w:r>
            <w:r>
              <w:rPr>
                <w:rFonts w:cs="FrankRuehl"/>
                <w:szCs w:val="28"/>
                <w:rtl w:val="true"/>
              </w:rPr>
              <w:t>סטולר</w:t>
            </w:r>
            <w:r>
              <w:rPr>
                <w:rFonts w:cs="FrankRuehl"/>
                <w:szCs w:val="28"/>
                <w:rtl w:val="true"/>
              </w:rPr>
              <w:t xml:space="preserve">,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  <w:szCs w:val="28"/>
              </w:rPr>
            </w:pPr>
            <w:r>
              <w:rPr>
                <w:rFonts w:cs="FrankRuehl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Style w:val="LineNumber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Style w:val="LineNumber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Style w:val="LineNumber"/>
        </w:rPr>
      </w:pPr>
      <w:r>
        <w:rPr>
          <w:rStyle w:val="LineNumber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Style w:val="LineNumber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Style w:val="LineNumber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Style w:val="LineNumber"/>
        </w:rPr>
      </w:pPr>
      <w:r>
        <w:rPr>
          <w:rStyle w:val="LineNumber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  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בוסי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/Users/liorb/Downloads/study2025-p2/ME-08-07-6839-560.doc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6839-07-08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אברהם סטואר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case/4332411" TargetMode="External"/><Relationship Id="rId4" Type="http://schemas.openxmlformats.org/officeDocument/2006/relationships/hyperlink" Target="http://www.nevo.co.il/case/4332411" TargetMode="External"/><Relationship Id="rId5" Type="http://schemas.openxmlformats.org/officeDocument/2006/relationships/hyperlink" Target="http://www.nevo.co.il/case/4332411" TargetMode="External"/><Relationship Id="rId6" Type="http://schemas.openxmlformats.org/officeDocument/2006/relationships/hyperlink" Target="http://www.nevo.co.il/case/4332411" TargetMode="External"/><Relationship Id="rId7" Type="http://schemas.openxmlformats.org/officeDocument/2006/relationships/hyperlink" Target="http://www.nevo.co.il/case/6145930" TargetMode="External"/><Relationship Id="rId8" Type="http://schemas.openxmlformats.org/officeDocument/2006/relationships/hyperlink" Target="http://www.nevo.co.il/case/6145930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2" TargetMode="External"/><Relationship Id="rId11" Type="http://schemas.openxmlformats.org/officeDocument/2006/relationships/hyperlink" Target="http://www.nevo.co.il/law/70301/34d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law/70301/305" TargetMode="External"/><Relationship Id="rId16" Type="http://schemas.openxmlformats.org/officeDocument/2006/relationships/hyperlink" Target="http://www.nevo.co.il/law/70301/329.a.1" TargetMode="External"/><Relationship Id="rId17" Type="http://schemas.openxmlformats.org/officeDocument/2006/relationships/hyperlink" Target="http://www.nevo.co.il/law/70301/340a" TargetMode="External"/><Relationship Id="rId18" Type="http://schemas.openxmlformats.org/officeDocument/2006/relationships/hyperlink" Target="http://www.nevo.co.il/law/70301/379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safrut/bookgroup/412" TargetMode="External"/><Relationship Id="rId21" Type="http://schemas.openxmlformats.org/officeDocument/2006/relationships/hyperlink" Target="http://www.nevo.co.il/safrut/bookgroup/412" TargetMode="External"/><Relationship Id="rId22" Type="http://schemas.openxmlformats.org/officeDocument/2006/relationships/hyperlink" Target="http://www.nevo.co.il/law/70301/329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law/70301/144.b2" TargetMode="External"/><Relationship Id="rId26" Type="http://schemas.openxmlformats.org/officeDocument/2006/relationships/hyperlink" Target="http://www.nevo.co.il/law/70301/305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/144.b2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92" TargetMode="External"/><Relationship Id="rId33" Type="http://schemas.openxmlformats.org/officeDocument/2006/relationships/hyperlink" Target="http://www.nevo.co.il/law/70301/340a" TargetMode="External"/><Relationship Id="rId34" Type="http://schemas.openxmlformats.org/officeDocument/2006/relationships/hyperlink" Target="http://www.nevo.co.il/law/70301/379" TargetMode="External"/><Relationship Id="rId35" Type="http://schemas.openxmlformats.org/officeDocument/2006/relationships/hyperlink" Target="http://www.nevo.co.il/case/5741709" TargetMode="External"/><Relationship Id="rId36" Type="http://schemas.openxmlformats.org/officeDocument/2006/relationships/hyperlink" Target="http://www.nevo.co.il/law/70301/34d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2" TargetMode="External"/><Relationship Id="rId39" Type="http://schemas.openxmlformats.org/officeDocument/2006/relationships/hyperlink" Target="http://www.nevo.co.il/law/70301/34d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777712" TargetMode="External"/><Relationship Id="rId42" Type="http://schemas.openxmlformats.org/officeDocument/2006/relationships/hyperlink" Target="http://www.nevo.co.il/case/5807080" TargetMode="External"/><Relationship Id="rId43" Type="http://schemas.openxmlformats.org/officeDocument/2006/relationships/hyperlink" Target="http://www.nevo.co.il/case/6209178" TargetMode="External"/><Relationship Id="rId44" Type="http://schemas.openxmlformats.org/officeDocument/2006/relationships/hyperlink" Target="http://www.nevo.co.il/safrut/bookgroup/412" TargetMode="External"/><Relationship Id="rId45" Type="http://schemas.openxmlformats.org/officeDocument/2006/relationships/hyperlink" Target="http://www.nevo.co.il/case/6209178" TargetMode="External"/><Relationship Id="rId46" Type="http://schemas.openxmlformats.org/officeDocument/2006/relationships/hyperlink" Target="http://www.nevo.co.il/case/5973000" TargetMode="External"/><Relationship Id="rId47" Type="http://schemas.openxmlformats.org/officeDocument/2006/relationships/hyperlink" Target="http://www.nevo.co.il/case/5741709" TargetMode="External"/><Relationship Id="rId48" Type="http://schemas.openxmlformats.org/officeDocument/2006/relationships/hyperlink" Target="http://www.nevo.co.il/case/6087473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2016-08-07T15:19:00Z</dcterms:created>
  <dc:creator> </dc:creator>
  <dc:description/>
  <cp:keywords/>
  <dc:language>en-IL</dc:language>
  <cp:lastModifiedBy>run</cp:lastModifiedBy>
  <dcterms:modified xsi:type="dcterms:W3CDTF">2016-08-07T15:19:00Z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אברהם סטואר</vt:lpwstr>
  </property>
  <property fmtid="{D5CDD505-2E9C-101B-9397-08002B2CF9AE}" pid="4" name="BOOKGROUPTMP">
    <vt:lpwstr>412:2</vt:lpwstr>
  </property>
  <property fmtid="{D5CDD505-2E9C-101B-9397-08002B2CF9AE}" pid="5" name="CASENOTES1">
    <vt:lpwstr>ProcID=210&amp;PartA=1059&amp;PartC=07</vt:lpwstr>
  </property>
  <property fmtid="{D5CDD505-2E9C-101B-9397-08002B2CF9AE}" pid="6" name="CASENOTES2">
    <vt:lpwstr>ProcID=133;209&amp;PartA=5083&amp;PartC=08</vt:lpwstr>
  </property>
  <property fmtid="{D5CDD505-2E9C-101B-9397-08002B2CF9AE}" pid="7" name="CASESLISTTMP1">
    <vt:lpwstr>4332411:4;6145930:2;5741709:2;5777712;5807080;6209178:2;5973000;6087473</vt:lpwstr>
  </property>
  <property fmtid="{D5CDD505-2E9C-101B-9397-08002B2CF9AE}" pid="8" name="CITY">
    <vt:lpwstr>מרכז</vt:lpwstr>
  </property>
  <property fmtid="{D5CDD505-2E9C-101B-9397-08002B2CF9AE}" pid="9" name="DATE">
    <vt:lpwstr>20101028</vt:lpwstr>
  </property>
  <property fmtid="{D5CDD505-2E9C-101B-9397-08002B2CF9AE}" pid="10" name="DELEMATA">
    <vt:lpwstr>http://elyon2.court.gov.il/scripts9/mgrqispi93.dll?Appname=eScourt&amp;Prgname=GetFileDetails&amp;Arguments=-N2010-009141-0</vt:lpwstr>
  </property>
  <property fmtid="{D5CDD505-2E9C-101B-9397-08002B2CF9AE}" pid="11" name="ISABSTRACT">
    <vt:lpwstr>Y</vt:lpwstr>
  </property>
  <property fmtid="{D5CDD505-2E9C-101B-9397-08002B2CF9AE}" pid="12" name="JUDGE">
    <vt:lpwstr>אברהם טל;ד#ר מנחם פינקלשטיין;ד#ר אחיקם סטולר</vt:lpwstr>
  </property>
  <property fmtid="{D5CDD505-2E9C-101B-9397-08002B2CF9AE}" pid="13" name="LAWLISTTMP1">
    <vt:lpwstr>70301/329.a.1;499.a.1:2;144.b2:2;305;144.b;192;340a;379;034d:2;032</vt:lpwstr>
  </property>
  <property fmtid="{D5CDD505-2E9C-101B-9397-08002B2CF9AE}" pid="14" name="LAWYER">
    <vt:lpwstr>איריס פמיליה פוגל;יורם שפטל;שחר חצרוני</vt:lpwstr>
  </property>
  <property fmtid="{D5CDD505-2E9C-101B-9397-08002B2CF9AE}" pid="15" name="LINKK2">
    <vt:lpwstr>http://www.nevo.co.il/Psika_word/mechozi/ME-08-07-6839-A-A.doc;להחלטה במחוזי (16-07-2008)#תפח 6839-07-08 מדינת ישראל נ' אברהם סטואר#שופטים: אברהם טל#עו''ד: פמיליה פוגל, שפטל</vt:lpwstr>
  </property>
  <property fmtid="{D5CDD505-2E9C-101B-9397-08002B2CF9AE}" pid="16" name="LINKK3">
    <vt:lpwstr>http://www.nevo.co.il/Psika_word/mechozi/ME-08-07-6839.doc;להחלטה במחוזי (21-09-2008)#תפח 6839-07-08 מדינת ישראל נ' אברהם סטואר#שופטים: מנחם פינקלשטיין, אברהם טל, סג"נ#עו''ד: פמיליה פוגל</vt:lpwstr>
  </property>
  <property fmtid="{D5CDD505-2E9C-101B-9397-08002B2CF9AE}" pid="17" name="LINKK4">
    <vt:lpwstr>http://www.nevo.co.il/Psika_word/mechozi/ME-08-07-6839-16.doc;להחלטה במחוזי (09-07-2009)#תפח 6839-07-08 מדינת ישראל נ' אברהם סטואר#שופטים: אברהם טל, ד#ר אחיקם סטולר, רות לורך#עו''ד: איריס פמיליה פוגל , שחר חצרוני, יורם שפטל</vt:lpwstr>
  </property>
  <property fmtid="{D5CDD505-2E9C-101B-9397-08002B2CF9AE}" pid="18" name="LINKK5">
    <vt:lpwstr>http://www.nevo.co.il/Psika_word/mechozi/ME-08-07-6839-719.doc;להכרעת-דין במחוזי (20-10-2010)#תפח 6839-07-08 מדינת ישראל נ' אברהם סטואר#שופטים: אברהם טל, ד#ר מנחם, ד#ר אחיקם#עו''ד: איריס פמיליה פוגל, באי כוחו, יורם שפטל ושחר חצרוני</vt:lpwstr>
  </property>
  <property fmtid="{D5CDD505-2E9C-101B-9397-08002B2CF9AE}" pid="19" name="LINKK6">
    <vt:lpwstr>http://www.nevo.co.il/Psika_word/elyon/10091410-f01.doc;להחלטה בעליון (22-12-2010)#עפ 9141/10 אברהם סטואר נ' מדינת ישראל#שופטים: דנה כהן לקח</vt:lpwstr>
  </property>
  <property fmtid="{D5CDD505-2E9C-101B-9397-08002B2CF9AE}" pid="20" name="LINKK7">
    <vt:lpwstr>http://www.nevo.co.il/Psika_word/elyon/10091410-d04.doc;להחלטה בעליון (29-11-2011)#עפ 9141/10 אברהם סטואר נ' מדינת ישראל#שופטים: גיא שני</vt:lpwstr>
  </property>
  <property fmtid="{D5CDD505-2E9C-101B-9397-08002B2CF9AE}" pid="21" name="NEWPARTA">
    <vt:lpwstr>6839</vt:lpwstr>
  </property>
  <property fmtid="{D5CDD505-2E9C-101B-9397-08002B2CF9AE}" pid="22" name="NEWPARTB">
    <vt:lpwstr>07</vt:lpwstr>
  </property>
  <property fmtid="{D5CDD505-2E9C-101B-9397-08002B2CF9AE}" pid="23" name="NEWPARTC">
    <vt:lpwstr>08</vt:lpwstr>
  </property>
  <property fmtid="{D5CDD505-2E9C-101B-9397-08002B2CF9AE}" pid="24" name="NEWPROC">
    <vt:lpwstr>תפח</vt:lpwstr>
  </property>
  <property fmtid="{D5CDD505-2E9C-101B-9397-08002B2CF9AE}" pid="25" name="PSAKDIN">
    <vt:lpwstr>גזר-דין</vt:lpwstr>
  </property>
  <property fmtid="{D5CDD505-2E9C-101B-9397-08002B2CF9AE}" pid="26" name="RemarkFileName">
    <vt:lpwstr>mechozi me 08 07 6839 560 htm</vt:lpwstr>
  </property>
  <property fmtid="{D5CDD505-2E9C-101B-9397-08002B2CF9AE}" pid="27" name="TYPE">
    <vt:lpwstr>2</vt:lpwstr>
  </property>
  <property fmtid="{D5CDD505-2E9C-101B-9397-08002B2CF9AE}" pid="28" name="TYPE_ABS_DATE">
    <vt:lpwstr>390020101028</vt:lpwstr>
  </property>
  <property fmtid="{D5CDD505-2E9C-101B-9397-08002B2CF9AE}" pid="29" name="TYPE_N_DATE">
    <vt:lpwstr>39020101028</vt:lpwstr>
  </property>
  <property fmtid="{D5CDD505-2E9C-101B-9397-08002B2CF9AE}" pid="30" name="WORDNUMPAGES">
    <vt:lpwstr>19</vt:lpwstr>
  </property>
</Properties>
</file>