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793-07-14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סוליימנוב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אלרון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פוקס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יורי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סוליימנוב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מבוא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</w:t>
      </w:r>
      <w:hyperlink r:id="rId22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, </w:t>
      </w:r>
      <w:hyperlink r:id="rId23"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24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25"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26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bookmarkStart w:id="8" w:name="ABSTRACT_END"/>
      <w:bookmarkEnd w:id="8"/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Miriam"/>
          <w:rtl w:val="true"/>
        </w:rPr>
        <w:t>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בוריס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Miriam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לפידות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באיזור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התעשייה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בקיסריה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22/5/2010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זכויות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נפגעי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עבירה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Miriam"/>
          <w:rtl w:val="true"/>
        </w:rPr>
        <w:t>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זכויות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נפגעי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אביאל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שפיר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בתצהירו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הטראומתי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הביאו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משפחתי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לסחרור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בתפקוד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הפוגעים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באיכות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</w:t>
      </w:r>
      <w:r>
        <w:rPr>
          <w:rFonts w:cs="Miriam" w:ascii="Calibri" w:hAnsi="Calibri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מזיכרונו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בידיים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רועדות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חייג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ארע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הנורא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מכל</w:t>
      </w:r>
      <w:r>
        <w:rPr>
          <w:rFonts w:cs="Miriam" w:ascii="Calibri" w:hAnsi="Calibri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כמעין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סרט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אימה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מרחפת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וודאות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נרצח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למשענת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ודמות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אוהבת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ותומכת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בהכוונה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תצהירו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רעיית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אולגה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הירצחו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בקיסריה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ומתבוננת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הנוראה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איש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למופת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אחד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נישואיהם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ומאז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Miriam"/>
          <w:rtl w:val="true"/>
        </w:rPr>
        <w:t>חייה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געגועיה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טיעוני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1.6.14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לפנים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משורת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נבקש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שיופעל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במצטבר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לתצהירי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המדברים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כלשונה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באכזריות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שהיא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אינטגרלית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הרצח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כדבריו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הרעוע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ולחילופין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שיוגש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אני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מפשע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1037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>ה</w:t>
      </w:r>
      <w:r>
        <w:rPr>
          <w:b/>
          <w:bCs/>
          <w:sz w:val="20"/>
          <w:rtl w:val="true"/>
        </w:rPr>
        <w:t>.</w:t>
        <w:tab/>
      </w:r>
      <w:r>
        <w:rPr>
          <w:b/>
          <w:b/>
          <w:bCs/>
          <w:sz w:val="20"/>
          <w:sz w:val="20"/>
          <w:rtl w:val="true"/>
        </w:rPr>
        <w:t>דיון</w:t>
      </w:r>
      <w:r>
        <w:rPr>
          <w:b/>
          <w:bCs/>
          <w:sz w:val="2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0"/>
          <w:sz w:val="20"/>
          <w:rtl w:val="true"/>
        </w:rPr>
        <w:t>כעולה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מהמסכת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העובדתית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שפורטה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בהרחבה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בהכרעת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לרצח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ביריות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ולשם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תכנון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והכנות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שכללו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היתר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הצטיידות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ברובה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16</w:t>
      </w:r>
      <w:r>
        <w:rPr>
          <w:sz w:val="20"/>
          <w:lang w:val="en-IL" w:eastAsia="en-IL"/>
        </w:rPr>
        <w:t>M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ותחמושת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מעקבים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הכנת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נתיב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בריחה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ורכב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מילוט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התכנון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כמפורט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לעיל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בוצע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רצח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האחרון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הערב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22/05/2010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לעבודתו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במפעל</w:t>
      </w:r>
      <w:r>
        <w:rPr>
          <w:sz w:val="2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משותפיו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למנוח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שערך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שגרתי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במפעל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כשומר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ומשהגיע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סמוך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המפעל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נורה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למוות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יתרה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מזו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כמתואר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בהכרעת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שניים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הקליעים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נורו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נפל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ששכב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הקרקע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0"/>
          <w:sz w:val="20"/>
          <w:rtl w:val="true"/>
        </w:rPr>
        <w:t>מותו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נזכיר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נגרם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מנזק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חמור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לריאה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לטוחה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הימנית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ולכבד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איבוד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קליעים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הגו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במנוח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נמלטו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ושותפיו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המקום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בהותירם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מוטל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הקרקע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רצח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22/05/10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בוצעו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פעולות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חקירה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במשך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בניסיון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לפענח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הרצח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אותן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היתה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פריצת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בפענוח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הרצח</w:t>
      </w:r>
      <w:r>
        <w:rPr>
          <w:sz w:val="2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ציינו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בהכרעת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כיצד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המפנה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בחקירה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2014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נמצאה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התאמת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</w:t>
      </w:r>
      <w:r>
        <w:rPr>
          <w:sz w:val="20"/>
          <w:rtl w:val="true"/>
        </w:rPr>
        <w:t>.</w:t>
      </w:r>
      <w:r>
        <w:rPr>
          <w:sz w:val="20"/>
          <w:sz w:val="20"/>
          <w:rtl w:val="true"/>
        </w:rPr>
        <w:t>אן</w:t>
      </w:r>
      <w:r>
        <w:rPr>
          <w:sz w:val="20"/>
          <w:rtl w:val="true"/>
        </w:rPr>
        <w:t>.</w:t>
      </w:r>
      <w:r>
        <w:rPr>
          <w:sz w:val="20"/>
          <w:sz w:val="20"/>
          <w:rtl w:val="true"/>
        </w:rPr>
        <w:t>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מבדל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סיגריה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שנמצא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בסמוך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לזירת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האירוע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והחלה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פעילות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סמויה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לאיסוף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ראיות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הובילה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בסופו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להגשת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כנגד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ושניים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נוספים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העומדים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לדין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המחוזי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בחיפה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סיבת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רציחתו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והמניע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נותרו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עלומים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הורשע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שמיעת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ראיות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וזאת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שכפר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במיוחס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ולמעשה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גם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בשלב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הטיעונים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חרטה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דבק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בכפירתו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יודגש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יא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cs="Calibri" w:ascii="Calibri" w:hAnsi="Calibri"/>
          </w:rPr>
          <w:t>6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שמענו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בתצהירי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לפנים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משורת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לנימוקים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אינהרנטי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כלשונו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rtl w:val="true"/>
          </w:rPr>
          <w:t>סעיפים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300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)+</w:t>
        </w:r>
        <w:r>
          <w:rPr>
            <w:rStyle w:val="Hyperlink"/>
            <w:rFonts w:cs="Calibri" w:ascii="Calibri" w:hAnsi="Calibri"/>
          </w:rPr>
          <w:t>29</w:t>
        </w:r>
      </w:hyperlink>
      <w:r>
        <w:rPr>
          <w:rFonts w:cs="Calibri" w:ascii="Calibri" w:hAnsi="Calibri"/>
          <w:rtl w:val="true"/>
        </w:rPr>
        <w:t xml:space="preserve">, </w:t>
      </w:r>
      <w:hyperlink r:id="rId35">
        <w:r>
          <w:rPr>
            <w:rStyle w:val="Hyperlink"/>
            <w:rFonts w:cs="Calibri" w:ascii="Calibri" w:hAnsi="Calibri"/>
          </w:rPr>
          <w:t>499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36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u w:val="single"/>
          <w:rtl w:val="true"/>
        </w:rPr>
        <w:t xml:space="preserve">+ </w:t>
      </w:r>
      <w:hyperlink r:id="rId37"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u w:val="single"/>
          <w:rtl w:val="true"/>
        </w:rPr>
        <w:t>+</w:t>
      </w:r>
      <w:hyperlink r:id="rId38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המנגנון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הקבוע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בתיקון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113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לגזירת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– </w:t>
      </w:r>
      <w:r>
        <w:rPr>
          <w:rFonts w:ascii="Calibri" w:hAnsi="Calibri" w:cs="Calibri"/>
          <w:u w:val="single"/>
          <w:rtl w:val="true"/>
        </w:rPr>
        <w:t>מסגרת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נורמטיבית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cs="Miriam" w:ascii="Calibri" w:hAnsi="Calibri"/>
          <w:rtl w:val="true"/>
        </w:rPr>
        <w:t>"(</w:t>
      </w:r>
      <w:r>
        <w:rPr>
          <w:rFonts w:ascii="Calibri" w:hAnsi="Calibri" w:cs="Miriam"/>
          <w:rtl w:val="true"/>
        </w:rPr>
        <w:t>א</w:t>
      </w:r>
      <w:r>
        <w:rPr>
          <w:rFonts w:cs="Miriam" w:ascii="Calibri" w:hAnsi="Calibri"/>
          <w:rtl w:val="true"/>
        </w:rPr>
        <w:t xml:space="preserve">). </w:t>
      </w:r>
      <w:r>
        <w:rPr>
          <w:rFonts w:ascii="Calibri" w:hAnsi="Calibri" w:cs="Miriam"/>
          <w:rtl w:val="true"/>
        </w:rPr>
        <w:t>הרשיע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המהוות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אחד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40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א</w:t>
      </w:r>
      <w:r>
        <w:rPr>
          <w:rFonts w:cs="Miriam" w:ascii="Calibri" w:hAnsi="Calibri"/>
          <w:rtl w:val="true"/>
        </w:rPr>
        <w:t xml:space="preserve">) </w:t>
      </w:r>
      <w:r>
        <w:rPr>
          <w:rFonts w:ascii="Calibri" w:hAnsi="Calibri" w:cs="Miriam"/>
          <w:rtl w:val="true"/>
        </w:rPr>
        <w:t>לאירוע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כולו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ויגזור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כולל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ב</w:t>
      </w:r>
      <w:r>
        <w:rPr>
          <w:rFonts w:cs="Miriam" w:ascii="Calibri" w:hAnsi="Calibri"/>
          <w:rtl w:val="true"/>
        </w:rPr>
        <w:t xml:space="preserve">). </w:t>
      </w:r>
      <w:r>
        <w:rPr>
          <w:rFonts w:ascii="Calibri" w:hAnsi="Calibri" w:cs="Miriam"/>
          <w:rtl w:val="true"/>
        </w:rPr>
        <w:t>הרשיע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המהוות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אירועים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40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א</w:t>
      </w:r>
      <w:r>
        <w:rPr>
          <w:rFonts w:cs="Miriam" w:ascii="Calibri" w:hAnsi="Calibri"/>
          <w:rtl w:val="true"/>
        </w:rPr>
        <w:t xml:space="preserve">) </w:t>
      </w:r>
      <w:r>
        <w:rPr>
          <w:rFonts w:ascii="Calibri" w:hAnsi="Calibri" w:cs="Miriam"/>
          <w:rtl w:val="true"/>
        </w:rPr>
        <w:t>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בנפרד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רשאי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נפרד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כולל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האירועים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גזר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נפרד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אירוע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החפיפה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הצטברותם</w:t>
      </w:r>
      <w:r>
        <w:rPr>
          <w:rFonts w:cs="Miriam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כלומר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–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שהרי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צורנית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מעוררים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לפנים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משורת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נבקש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שיוטל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במצטבר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הערכים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החברתיים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שנפגעו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התיעוב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ascii="Calibri" w:hAnsi="Calibri" w:cs="Calibri"/>
          <w:rtl w:val="true"/>
        </w:rPr>
        <w:t xml:space="preserve"> – 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ויוצרות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ומבהיר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5604/11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היתרה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בפרט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המקימה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ויוצרת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להסלמה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ולפיכך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מחייבת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ביטוי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הרחקת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מסוימת</w:t>
      </w:r>
      <w:r>
        <w:rPr>
          <w:rFonts w:cs="Miriam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סלאימה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בהחזקת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כרוך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ניכר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לציבור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הואיל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וניסיון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עוינת</w:t>
      </w:r>
      <w:r>
        <w:rPr>
          <w:rFonts w:cs="Miriam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ascii="Calibri" w:hAnsi="Calibri" w:cs="Miriam"/>
          <w:rtl w:val="true"/>
        </w:rPr>
        <w:t>למרבה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הדאבה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תופעה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נפוצה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שילמו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בחייהם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שלרוע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מזלם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נקלעו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אלימה</w:t>
      </w:r>
      <w:r>
        <w:rPr>
          <w:rFonts w:cs="Miriam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ascii="Calibri" w:hAnsi="Calibri" w:cs="Miriam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להרתעת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הרבים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היינו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נהיר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לכליאתם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מבצעיהן</w:t>
      </w:r>
      <w:r>
        <w:rPr>
          <w:rFonts w:cs="Miriam" w:ascii="Calibri" w:hAnsi="Calibri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בהתאמה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קדושת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וסלידתו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התיעוב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הירצחו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בתצהירו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מהתצהיר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הנהוגה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56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נפאע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4.12.11</w:t>
      </w:r>
      <w:r>
        <w:rPr>
          <w:rFonts w:cs="Calibri" w:ascii="Calibri" w:hAnsi="Calibri"/>
          <w:rtl w:val="true"/>
        </w:rPr>
        <w:t xml:space="preserve">); 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4450/11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עספור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8.2.12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וזמינותו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המדאיגה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בהתאמה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משעמדנו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ככל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שסבר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משפיעות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חומרת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cs="Calibri" w:ascii="Calibri" w:hAnsi="Calibri"/>
          <w:rtl w:val="true"/>
        </w:rPr>
        <w:t>" (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התעשייה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בקיסריה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העניין</w:t>
      </w:r>
    </w:p>
    <w:p>
      <w:pPr>
        <w:pStyle w:val="Normal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הינו על פי דין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עולם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עבירות הנשק וקשירת הקשר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מתחם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מאסר עולם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גזירת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המתאים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לנאשם</w:t>
      </w:r>
      <w:r>
        <w:rPr>
          <w:rFonts w:ascii="Calibri" w:hAnsi="Calibri" w:cs="Calibri"/>
          <w:u w:val="single"/>
          <w:rtl w:val="true"/>
        </w:rPr>
        <w:t xml:space="preserve"> –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שנקבע</w:t>
      </w:r>
    </w:p>
    <w:p>
      <w:pPr>
        <w:pStyle w:val="Normal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ככל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שסבר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המקרה</w:t>
      </w:r>
      <w:r>
        <w:rPr>
          <w:rFonts w:cs="Miriam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בלבד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יחרוג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ההולם</w:t>
      </w:r>
      <w:r>
        <w:rPr>
          <w:rFonts w:cs="Calibri" w:ascii="Calibri" w:hAnsi="Calibri"/>
          <w:rtl w:val="true"/>
        </w:rPr>
        <w:t>" (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נציין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בקובענו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התחשבנו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משעמדנו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בקובענו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בתדירותן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משהצהירה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לפנים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משורת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נבקש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שיוטל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במצטבר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בחופף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הטלת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פיצוי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לנפגעי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העבירה</w:t>
      </w:r>
    </w:p>
    <w:p>
      <w:pPr>
        <w:pStyle w:val="Normal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cs="Miriam" w:ascii="Calibri" w:hAnsi="Calibri"/>
        </w:rPr>
        <w:t>77</w:t>
      </w:r>
      <w:r>
        <w:rPr>
          <w:rFonts w:cs="Miriam" w:ascii="Calibri" w:hAnsi="Calibri"/>
          <w:rtl w:val="true"/>
        </w:rPr>
        <w:tab/>
        <w:t>.(</w:t>
      </w:r>
      <w:r>
        <w:rPr>
          <w:rFonts w:ascii="Calibri" w:hAnsi="Calibri" w:cs="Miriam"/>
          <w:rtl w:val="true"/>
        </w:rPr>
        <w:t>א</w:t>
      </w:r>
      <w:r>
        <w:rPr>
          <w:rFonts w:cs="Miriam" w:ascii="Calibri" w:hAnsi="Calibri"/>
          <w:rtl w:val="true"/>
        </w:rPr>
        <w:t>)</w:t>
        <w:tab/>
      </w:r>
      <w:r>
        <w:rPr>
          <w:rFonts w:ascii="Calibri" w:hAnsi="Calibri" w:cs="Miriam"/>
          <w:rtl w:val="true"/>
        </w:rPr>
        <w:t>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רשאי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לחייבו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לשלם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שניזוק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סכום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258,000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שקלים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חדשים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הסבל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שנגרם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לו</w:t>
      </w:r>
      <w:r>
        <w:rPr>
          <w:rFonts w:cs="Miriam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ב</w:t>
      </w:r>
      <w:r>
        <w:rPr>
          <w:rFonts w:cs="Miriam" w:ascii="Calibri" w:hAnsi="Calibri"/>
          <w:rtl w:val="true"/>
        </w:rPr>
        <w:t>)</w:t>
        <w:tab/>
      </w:r>
      <w:r>
        <w:rPr>
          <w:rFonts w:ascii="Calibri" w:hAnsi="Calibri" w:cs="Miriam"/>
          <w:rtl w:val="true"/>
        </w:rPr>
        <w:t>קביעת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הפיצויים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תהא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הסבל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שנגרמו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ההחלטה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הפיצויים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הגדול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יותר</w:t>
      </w:r>
      <w:r>
        <w:rPr>
          <w:rFonts w:cs="Miriam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)</w:t>
        <w:tab/>
      </w:r>
      <w:r>
        <w:rPr>
          <w:rFonts w:ascii="Calibri" w:hAnsi="Calibri" w:cs="Miriam"/>
          <w:rtl w:val="true"/>
        </w:rPr>
        <w:t>לענין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גביה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פיצויים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קנס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סכום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ששולם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קנס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בצדו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פיצויים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ייזקף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תחילה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הפיצויים</w:t>
      </w:r>
      <w:r>
        <w:rPr>
          <w:rFonts w:cs="Miriam" w:ascii="Calibri" w:hAnsi="Calibri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hyperlink r:id="rId6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3116/13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קבלאן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], </w:t>
      </w:r>
      <w:r>
        <w:rPr>
          <w:rFonts w:cs="Calibri" w:ascii="Calibri" w:hAnsi="Calibri"/>
        </w:rPr>
        <w:t>15/10/13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קבלאן</w:t>
      </w:r>
      <w:r>
        <w:rPr>
          <w:rFonts w:cs="Calibri" w:ascii="Calibri" w:hAnsi="Calibri"/>
          <w:rtl w:val="true"/>
        </w:rPr>
        <w:t xml:space="preserve">")).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ההצדקה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7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7033/04</w:t>
        </w:r>
      </w:hyperlink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</w:r>
    </w:p>
    <w:p>
      <w:pPr>
        <w:pStyle w:val="Normal"/>
        <w:ind w:start="720" w:end="567"/>
        <w:jc w:val="both"/>
        <w:rPr/>
      </w:pPr>
      <w:r>
        <w:rPr>
          <w:rFonts w:cs="Miriam" w:ascii="Calibri" w:hAnsi="Calibri"/>
          <w:rtl w:val="true"/>
        </w:rPr>
        <w:t xml:space="preserve">"[...] </w:t>
      </w:r>
      <w:r>
        <w:rPr>
          <w:rFonts w:ascii="Calibri" w:hAnsi="Calibri" w:cs="Miriam"/>
          <w:rtl w:val="true"/>
        </w:rPr>
        <w:t>בעת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האחרונה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לשינוי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שחל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בפרשנות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הניתנת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77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</w:t>
      </w:r>
      <w:hyperlink r:id="rId74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העונשין</w:t>
        </w:r>
      </w:hyperlink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כך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החל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לעודד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בהוראת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העלייה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שחלה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במעמדם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נפגעי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הכרה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בזכותם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לקבלת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הנזקים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השונים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הרכושיים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הגופניים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והנפשיים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שנגרמו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[...] </w:t>
      </w:r>
      <w:r>
        <w:rPr>
          <w:rFonts w:ascii="Calibri" w:hAnsi="Calibri" w:cs="Miriam"/>
          <w:rtl w:val="true"/>
        </w:rPr>
        <w:t>דברים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ודאי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נכונים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נטילת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cs="Miriam" w:ascii="Calibri" w:hAnsi="Calibri"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יחזקאל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יאיר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11/09/06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7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], </w:t>
      </w:r>
      <w:r>
        <w:rPr>
          <w:rFonts w:cs="Calibri" w:ascii="Calibri" w:hAnsi="Calibri"/>
        </w:rPr>
        <w:t>23/11/09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יכולותיו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הכלכליות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העבריין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מהוות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בקביעת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שיעור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לטובת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המנוח</w:t>
      </w:r>
      <w:r>
        <w:rPr>
          <w:rFonts w:cs="Calibri" w:ascii="Calibri" w:hAnsi="Calibri"/>
          <w:rtl w:val="true"/>
        </w:rPr>
        <w:t>" (</w:t>
      </w:r>
      <w:hyperlink r:id="rId7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סגונדו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ורגס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], </w:t>
      </w:r>
      <w:r>
        <w:rPr>
          <w:rFonts w:cs="Calibri" w:ascii="Calibri" w:hAnsi="Calibri"/>
        </w:rPr>
        <w:t>09/03/14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קבלאן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start="720" w:end="567"/>
        <w:jc w:val="both"/>
        <w:rPr/>
      </w:pPr>
      <w:r>
        <w:rPr>
          <w:rFonts w:cs="Miriam" w:ascii="Calibri" w:hAnsi="Calibri"/>
          <w:rtl w:val="true"/>
        </w:rPr>
        <w:t xml:space="preserve">"[...] </w:t>
      </w:r>
      <w:r>
        <w:rPr>
          <w:rFonts w:ascii="Calibri" w:hAnsi="Calibri" w:cs="Miriam"/>
          <w:rtl w:val="true"/>
        </w:rPr>
        <w:t>בל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נשכח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שלסמכות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החיוב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77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</w:t>
      </w:r>
      <w:hyperlink r:id="rId81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תכליות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נוספות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היתר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לנפגע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שייאלץ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להמתין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לסיומם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הליכים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האזרחיים</w:t>
      </w:r>
      <w:r>
        <w:rPr>
          <w:rFonts w:cs="Miriam" w:ascii="Calibri" w:hAnsi="Calibri"/>
          <w:rtl w:val="true"/>
        </w:rPr>
        <w:t>[...]"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המקסימאלי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שקובע</w:t>
      </w:r>
      <w:r>
        <w:rPr>
          <w:rFonts w:ascii="Calibri" w:hAnsi="Calibri" w:cs="Calibri"/>
          <w:rtl w:val="true"/>
        </w:rPr>
        <w:t xml:space="preserve"> </w:t>
      </w:r>
      <w:hyperlink r:id="rId8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8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1076/15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אבנר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7/6/2016</w:t>
      </w:r>
      <w:r>
        <w:rPr>
          <w:rFonts w:cs="Calibri" w:ascii="Calibri" w:hAnsi="Calibri"/>
          <w:rtl w:val="true"/>
        </w:rPr>
        <w:t xml:space="preserve">)) . </w:t>
      </w:r>
      <w:r>
        <w:rPr>
          <w:rFonts w:ascii="Calibri" w:hAnsi="Calibri" w:cs="Calibri"/>
          <w:rtl w:val="true"/>
        </w:rPr>
        <w:t>היינו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והמקסימאלי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258,000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Calibri" w:hAnsi="Calibri" w:cs="Calibri"/>
          <w:u w:val="single"/>
          <w:rtl w:val="true"/>
        </w:rPr>
        <w:t>סיכום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סיכומו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נסיבותיו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בגין עבירת הרצח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בגין עבירות הנשק וקשירת הקשר לפשע אשר ירוצו בחופף לעונש מאסר העולם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יחולק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01/05/17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ויועבר בהתאם לפרטי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01/06/2014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זכות ערעור לבית המשפט העליון תוך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 מהיום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אלול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פוקס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פיש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6"/>
      <w:footerReference w:type="default" r:id="rId8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793-07-14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יורי סוליימנוב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  <w:b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  <w:b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  <w:b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  <w:b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5">
    <w:name w:val=" Char Char5"/>
    <w:qFormat/>
    <w:rPr>
      <w:rFonts w:cs="David"/>
      <w:b/>
      <w:bCs/>
      <w:szCs w:val="24"/>
      <w:lang w:val="en-US" w:eastAsia="en-IL" w:bidi="he-IL"/>
    </w:rPr>
  </w:style>
  <w:style w:type="character" w:styleId="CharChar6">
    <w:name w:val=" Char Char6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שמות"/>
    <w:basedOn w:val="Normal"/>
    <w:qFormat/>
    <w:pPr>
      <w:suppressLineNumbers/>
      <w:spacing w:lineRule="auto" w:line="360"/>
      <w:jc w:val="both"/>
    </w:pPr>
    <w:rPr>
      <w:b/>
      <w:bCs/>
      <w:sz w:val="22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jc w:val="both"/>
    </w:pPr>
    <w:rPr>
      <w:sz w:val="20"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77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a.6" TargetMode="External"/><Relationship Id="rId14" Type="http://schemas.openxmlformats.org/officeDocument/2006/relationships/hyperlink" Target="http://www.nevo.co.il/law/70301/40jb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0301/40jc.a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99" TargetMode="External"/><Relationship Id="rId19" Type="http://schemas.openxmlformats.org/officeDocument/2006/relationships/hyperlink" Target="http://www.nevo.co.il/law/71835" TargetMode="External"/><Relationship Id="rId20" Type="http://schemas.openxmlformats.org/officeDocument/2006/relationships/hyperlink" Target="http://www.nevo.co.il/law/71835/18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499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1835/18" TargetMode="External"/><Relationship Id="rId29" Type="http://schemas.openxmlformats.org/officeDocument/2006/relationships/hyperlink" Target="http://www.nevo.co.il/law/7183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ja.6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00.a.2.;29" TargetMode="External"/><Relationship Id="rId35" Type="http://schemas.openxmlformats.org/officeDocument/2006/relationships/hyperlink" Target="http://www.nevo.co.il/law/70301/499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a" TargetMode="External"/><Relationship Id="rId42" Type="http://schemas.openxmlformats.org/officeDocument/2006/relationships/hyperlink" Target="http://www.nevo.co.il/law/70301/40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jc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jc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jc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6024035" TargetMode="External"/><Relationship Id="rId52" Type="http://schemas.openxmlformats.org/officeDocument/2006/relationships/hyperlink" Target="http://www.nevo.co.il/case/5673467" TargetMode="External"/><Relationship Id="rId53" Type="http://schemas.openxmlformats.org/officeDocument/2006/relationships/hyperlink" Target="http://www.nevo.co.il/law/70301/300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144.a" TargetMode="External"/><Relationship Id="rId56" Type="http://schemas.openxmlformats.org/officeDocument/2006/relationships/hyperlink" Target="http://www.nevo.co.il/law/70301/144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5821327" TargetMode="External"/><Relationship Id="rId59" Type="http://schemas.openxmlformats.org/officeDocument/2006/relationships/hyperlink" Target="http://www.nevo.co.il/case/5703734" TargetMode="External"/><Relationship Id="rId60" Type="http://schemas.openxmlformats.org/officeDocument/2006/relationships/hyperlink" Target="http://www.nevo.co.il/law/70301/40i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j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ja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77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77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6959068" TargetMode="External"/><Relationship Id="rId71" Type="http://schemas.openxmlformats.org/officeDocument/2006/relationships/hyperlink" Target="http://www.nevo.co.il/law/70301/77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5676752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77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6245504" TargetMode="External"/><Relationship Id="rId78" Type="http://schemas.openxmlformats.org/officeDocument/2006/relationships/hyperlink" Target="http://www.nevo.co.il/case/5568851" TargetMode="External"/><Relationship Id="rId79" Type="http://schemas.openxmlformats.org/officeDocument/2006/relationships/hyperlink" Target="http://www.nevo.co.il/law/70301/77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77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20770422" TargetMode="External"/><Relationship Id="rId85" Type="http://schemas.openxmlformats.org/officeDocument/2006/relationships/hyperlink" Target="http://www.nevo.co.il/advertisements/nevo-100.doc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2017-04-13T11:16:00Z</dcterms:created>
  <dc:creator> </dc:creator>
  <dc:description/>
  <cp:keywords/>
  <dc:language>en-IL</dc:language>
  <cp:lastModifiedBy>run</cp:lastModifiedBy>
  <dcterms:modified xsi:type="dcterms:W3CDTF">2017-04-13T11:16:00Z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יורי סוליימנוב</vt:lpwstr>
  </property>
  <property fmtid="{D5CDD505-2E9C-101B-9397-08002B2CF9AE}" pid="4" name="CASESLISTTMP1">
    <vt:lpwstr>6024035;5673467;5821327;5703734;6959068;5676752;6245504;5568851;20770422</vt:lpwstr>
  </property>
  <property fmtid="{D5CDD505-2E9C-101B-9397-08002B2CF9AE}" pid="5" name="CITY">
    <vt:lpwstr>חי'</vt:lpwstr>
  </property>
  <property fmtid="{D5CDD505-2E9C-101B-9397-08002B2CF9AE}" pid="6" name="DATE">
    <vt:lpwstr>20160912</vt:lpwstr>
  </property>
  <property fmtid="{D5CDD505-2E9C-101B-9397-08002B2CF9AE}" pid="7" name="ISABSTRACT">
    <vt:lpwstr>Y</vt:lpwstr>
  </property>
  <property fmtid="{D5CDD505-2E9C-101B-9397-08002B2CF9AE}" pid="8" name="JUDGE">
    <vt:lpwstr>הרכב;יוסף אלרון;רבקה פוקס;דניאל פיש</vt:lpwstr>
  </property>
  <property fmtid="{D5CDD505-2E9C-101B-9397-08002B2CF9AE}" pid="9" name="LAWLISTTMP1">
    <vt:lpwstr>70301/300.a.2:2;029:4;499:2;144.a:3;144.b:3;40ja.6;040a;040b;40jc;40jc.a;40jc.b;300.a;040i;40jb;40ja;077:6</vt:lpwstr>
  </property>
  <property fmtid="{D5CDD505-2E9C-101B-9397-08002B2CF9AE}" pid="10" name="LAWLISTTMP2">
    <vt:lpwstr>71835/018</vt:lpwstr>
  </property>
  <property fmtid="{D5CDD505-2E9C-101B-9397-08002B2CF9AE}" pid="11" name="NEWPARTA">
    <vt:lpwstr>793</vt:lpwstr>
  </property>
  <property fmtid="{D5CDD505-2E9C-101B-9397-08002B2CF9AE}" pid="12" name="NEWPARTB">
    <vt:lpwstr>07</vt:lpwstr>
  </property>
  <property fmtid="{D5CDD505-2E9C-101B-9397-08002B2CF9AE}" pid="13" name="NEWPARTC">
    <vt:lpwstr>14</vt:lpwstr>
  </property>
  <property fmtid="{D5CDD505-2E9C-101B-9397-08002B2CF9AE}" pid="14" name="NEWPROC">
    <vt:lpwstr>תפח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390020160912</vt:lpwstr>
  </property>
  <property fmtid="{D5CDD505-2E9C-101B-9397-08002B2CF9AE}" pid="18" name="TYPE_N_DATE">
    <vt:lpwstr>39020160912</vt:lpwstr>
  </property>
  <property fmtid="{D5CDD505-2E9C-101B-9397-08002B2CF9AE}" pid="19" name="WORDNUMPAGES">
    <vt:lpwstr>12</vt:lpwstr>
  </property>
</Properties>
</file>