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8-10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הצפון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סלאם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79"/>
        <w:gridCol w:w="7060"/>
        <w:gridCol w:w="81"/>
      </w:tblGrid>
      <w:tr>
        <w:trPr>
          <w:trHeight w:val="337" w:hRule="atLeast"/>
        </w:trPr>
        <w:tc>
          <w:tcPr>
            <w:tcW w:w="1579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0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720" w:type="dxa"/>
            <w:gridSpan w:val="3"/>
            <w:tcBorders/>
          </w:tcPr>
          <w:p>
            <w:pPr>
              <w:pStyle w:val="Normal"/>
              <w:spacing w:lineRule="auto" w:line="360"/>
              <w:ind w:start="28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 יצחק כהן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  <w:p>
            <w:pPr>
              <w:pStyle w:val="Normal"/>
              <w:spacing w:lineRule="auto" w:line="360"/>
              <w:ind w:start="28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השופטת אסתר הלמן</w:t>
            </w:r>
          </w:p>
          <w:p>
            <w:pPr>
              <w:pStyle w:val="Normal"/>
              <w:spacing w:lineRule="auto" w:line="360"/>
              <w:ind w:start="28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בנימין ארבל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 xml:space="preserve">באסל סלאם </w:t>
            </w:r>
          </w:p>
          <w:p>
            <w:pPr>
              <w:pStyle w:val="Normal"/>
              <w:ind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  <w:bookmarkStart w:id="3" w:name="FirstLawyer"/>
      <w:r>
        <w:rPr>
          <w:b/>
          <w:b/>
          <w:bCs/>
          <w:rtl w:val="true"/>
        </w:rPr>
        <w:t>בשם</w:t>
      </w:r>
      <w:bookmarkEnd w:id="3"/>
      <w:r>
        <w:rPr>
          <w:b/>
          <w:b/>
          <w:bCs/>
          <w:rtl w:val="true"/>
        </w:rPr>
        <w:t xml:space="preserve"> 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יעל כוכבי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 xml:space="preserve">             </w:t>
      </w:r>
      <w:r>
        <w:rPr>
          <w:b/>
          <w:b/>
          <w:bCs/>
          <w:rtl w:val="true"/>
        </w:rPr>
        <w:t>בשם 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אחמד מסאלחה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 xml:space="preserve">             </w:t>
      </w:r>
      <w:r>
        <w:rPr>
          <w:b/>
          <w:b/>
          <w:bCs/>
          <w:rtl w:val="true"/>
        </w:rPr>
        <w:t>הנאשם בעצמו באמצעות הליווי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5" w:name="PsakDin"/>
      <w:bookmarkEnd w:id="5"/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 על פי הכרעת הדין בעבירה בניגוד לס</w:t>
      </w:r>
      <w:r>
        <w:rPr>
          <w:rtl w:val="true"/>
        </w:rPr>
        <w:t xml:space="preserve">' </w:t>
      </w:r>
      <w:r>
        <w:rPr/>
        <w:t>300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</w:t>
      </w:r>
      <w:r>
        <w:rPr>
          <w:rtl w:val="true"/>
        </w:rPr>
        <w:t>'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עבירת רצח אשר העונש עליה הוא מאסר עולם ומכאן אנו גוזרים על הנאשם מאסר עולם בגין עבירת הרצח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באשר לעבירות הנוספות בהן הורשע הנאשם ומתוך הסכמת הצדדים ולאחר ששמענו את טיעוניהם וכאשר מדובר בחריג</w:t>
      </w:r>
      <w:r>
        <w:rPr>
          <w:rtl w:val="true"/>
        </w:rPr>
        <w:t xml:space="preserve">, </w:t>
      </w:r>
      <w:r>
        <w:rPr>
          <w:rtl w:val="true"/>
        </w:rPr>
        <w:t>לאור העובדה שהנאשם הורשע בעבירה החמורה ביותר למעשה ב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אך מתוך מבט לחומרה הנובעת מעצם העבירות של החזקת נשק ומבלי לייתר את טענות הסניגור</w:t>
      </w:r>
      <w:r>
        <w:rPr>
          <w:rtl w:val="true"/>
        </w:rPr>
        <w:t xml:space="preserve">, </w:t>
      </w:r>
      <w:r>
        <w:rPr>
          <w:rtl w:val="true"/>
        </w:rPr>
        <w:t>אנו גוזרים על הנאשם בגין עבירות הנשק בניגוד לס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ו –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 אשר ירוצו בחופף למאסר העולם כפי שנגזר בעבירת הרצח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אנו גוזרים על הנאשם מאסר על תנאי של שנתיים לתקופה של שלוש שנים על עבירות הנשק בניגוד לס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ו –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שעה ששולם פיצוי כפי דברי הסניגור</w:t>
      </w:r>
      <w:r>
        <w:rPr>
          <w:rtl w:val="true"/>
        </w:rPr>
        <w:t xml:space="preserve">, </w:t>
      </w:r>
      <w:r>
        <w:rPr>
          <w:rtl w:val="true"/>
        </w:rPr>
        <w:t>לא נגזור פיצוי נוסף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הודעה זכות 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#3#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ניתן והודע היום 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20/12/2012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הנאשם והנאשם </w:t>
      </w:r>
      <w:r>
        <w:rPr>
          <w:b/>
          <w:b/>
          <w:bCs/>
          <w:rtl w:val="true"/>
        </w:rPr>
        <w:t>בעצמו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  <w:gridCol w:w="360"/>
        <w:gridCol w:w="2406"/>
        <w:gridCol w:w="346"/>
        <w:gridCol w:w="2576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0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כהן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[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אב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ד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]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הלמן</w:t>
            </w: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4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ב</w:t>
            </w: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  <w:t xml:space="preserve">' </w:t>
            </w: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ארבל</w:t>
            </w: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color w:val="000000"/>
          <w:sz w:val="22"/>
          <w:szCs w:val="22"/>
        </w:rPr>
        <w:t>54678313-8/10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8/10</w:t>
    </w:r>
    <w:r>
      <w:rPr>
        <w:color w:val="000000"/>
        <w:sz w:val="22"/>
        <w:szCs w:val="22"/>
        <w:rtl w:val="true"/>
      </w:rPr>
      <w:t xml:space="preserve"> </w:t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באסל סלאם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2012-12-24T13:11:00Z</dcterms:created>
  <dc:creator> </dc:creator>
  <dc:description/>
  <cp:keywords/>
  <dc:language>en-IL</dc:language>
  <cp:lastModifiedBy>hofit</cp:lastModifiedBy>
  <dcterms:modified xsi:type="dcterms:W3CDTF">2012-12-24T13:11:00Z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באסל סלאם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נצ'</vt:lpwstr>
  </property>
  <property fmtid="{D5CDD505-2E9C-101B-9397-08002B2CF9AE}" pid="9" name="DATE">
    <vt:lpwstr>20121220</vt:lpwstr>
  </property>
  <property fmtid="{D5CDD505-2E9C-101B-9397-08002B2CF9AE}" pid="10" name="DELEMATA">
    <vt:lpwstr/>
  </property>
  <property fmtid="{D5CDD505-2E9C-101B-9397-08002B2CF9AE}" pid="11" name="JUDGE">
    <vt:lpwstr>יצחק כהן;אסתר הלמן;בנימין ארבל</vt:lpwstr>
  </property>
  <property fmtid="{D5CDD505-2E9C-101B-9397-08002B2CF9AE}" pid="12" name="LAWYER">
    <vt:lpwstr>יעל כוכבי;אחמד מסאלחה</vt:lpwstr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NEWPARTA">
    <vt:lpwstr/>
  </property>
  <property fmtid="{D5CDD505-2E9C-101B-9397-08002B2CF9AE}" pid="19" name="NEWPARTB">
    <vt:lpwstr/>
  </property>
  <property fmtid="{D5CDD505-2E9C-101B-9397-08002B2CF9AE}" pid="20" name="NEWPARTC">
    <vt:lpwstr/>
  </property>
  <property fmtid="{D5CDD505-2E9C-101B-9397-08002B2CF9AE}" pid="21" name="NEWPROC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תפח</vt:lpwstr>
  </property>
  <property fmtid="{D5CDD505-2E9C-101B-9397-08002B2CF9AE}" pid="26" name="PROCNUM">
    <vt:lpwstr>8</vt:lpwstr>
  </property>
  <property fmtid="{D5CDD505-2E9C-101B-9397-08002B2CF9AE}" pid="27" name="PROCYEAR">
    <vt:lpwstr>10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TYPE_ABS_DATE">
    <vt:lpwstr>390020121220</vt:lpwstr>
  </property>
  <property fmtid="{D5CDD505-2E9C-101B-9397-08002B2CF9AE}" pid="31" name="TYPE_N_DATE">
    <vt:lpwstr>39020121220</vt:lpwstr>
  </property>
  <property fmtid="{D5CDD505-2E9C-101B-9397-08002B2CF9AE}" pid="32" name="VOLUME">
    <vt:lpwstr/>
  </property>
  <property fmtid="{D5CDD505-2E9C-101B-9397-08002B2CF9AE}" pid="33" name="WORDNUMPAGES">
    <vt:lpwstr>2</vt:lpwstr>
  </property>
</Properties>
</file>