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8398-05-12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מוך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יוסף אלרון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נשיא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]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עודד גרשון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אברהם אליקים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מופיד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, </w:t>
      </w:r>
      <w:hyperlink r:id="rId8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rStyle w:val="default"/>
          <w:b/>
          <w:bCs/>
          <w:u w:val="single"/>
        </w:rPr>
      </w:pPr>
      <w:r>
        <w:rPr>
          <w:rStyle w:val="default"/>
          <w:b/>
          <w:b/>
          <w:bCs/>
          <w:rtl w:val="true"/>
        </w:rPr>
        <w:t>ב</w:t>
      </w:r>
      <w:r>
        <w:rPr>
          <w:rStyle w:val="default"/>
          <w:b/>
          <w:bCs/>
          <w:rtl w:val="true"/>
        </w:rPr>
        <w:t>.</w:t>
        <w:tab/>
      </w:r>
      <w:r>
        <w:rPr>
          <w:rStyle w:val="default"/>
          <w:b/>
          <w:b/>
          <w:bCs/>
          <w:u w:val="single"/>
          <w:rtl w:val="true"/>
        </w:rPr>
        <w:t>עובדות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כתב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האישום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start="720" w:end="0"/>
        <w:jc w:val="both"/>
        <w:rPr>
          <w:rStyle w:val="default"/>
          <w:b/>
          <w:bCs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efault"/>
          <w:u w:val="single"/>
        </w:rPr>
      </w:pPr>
      <w:r>
        <w:rPr>
          <w:rStyle w:val="default"/>
          <w:rtl w:val="true"/>
        </w:rPr>
        <w:t>אחות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מאורסת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לאדם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מוחמד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כיתתו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נאהד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להלן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- "</w:t>
      </w:r>
      <w:r>
        <w:rPr>
          <w:rStyle w:val="default"/>
          <w:rFonts w:cs="Miriam"/>
          <w:rtl w:val="true"/>
        </w:rPr>
        <w:t>המנוח</w:t>
      </w:r>
      <w:r>
        <w:rPr>
          <w:rStyle w:val="default"/>
          <w:rtl w:val="true"/>
        </w:rPr>
        <w:t xml:space="preserve">"). </w:t>
      </w:r>
      <w:r>
        <w:rPr>
          <w:rStyle w:val="default"/>
          <w:rtl w:val="true"/>
        </w:rPr>
        <w:t>בתאריך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13.4.2012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נהג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המנוח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ברכבו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בפראות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והשמיע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מוסיקה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בקול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דבר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שהכעיס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ומוחמד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החליטו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פגישה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המנוח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מנת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לתקוף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אותו</w:t>
      </w:r>
      <w:r>
        <w:rPr>
          <w:rStyle w:val="defaul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default"/>
        </w:rPr>
      </w:pPr>
      <w:r>
        <w:rPr>
          <w:rStyle w:val="default"/>
          <w:rtl w:val="true"/>
        </w:rPr>
        <w:t>עובר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ליציאתם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למקום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המפגש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החליט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לפגוע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במנוח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ולשם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הצטייד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באקדח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ובתחמושת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מתאימה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להלן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- "</w:t>
      </w:r>
      <w:r>
        <w:rPr>
          <w:rStyle w:val="default"/>
          <w:rFonts w:cs="Miriam"/>
          <w:rtl w:val="true"/>
        </w:rPr>
        <w:t>הנשק</w:t>
      </w:r>
      <w:r>
        <w:rPr>
          <w:rStyle w:val="default"/>
          <w:rtl w:val="true"/>
        </w:rPr>
        <w:t xml:space="preserve">"),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ידיעת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מוחמד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כשעה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הגיעו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ומוחמד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למקום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המפגש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והמתינו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לבוא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המנוח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דקות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ספורות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הגיע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המנוח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למקום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המפגש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כשעמו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עמאד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ואחיו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עאדל</w:t>
      </w:r>
      <w:r>
        <w:rPr>
          <w:rStyle w:val="default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default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efault"/>
        </w:rPr>
      </w:pPr>
      <w:r>
        <w:rPr>
          <w:rStyle w:val="default"/>
          <w:rtl w:val="true"/>
        </w:rPr>
        <w:t>משירד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המנוח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מרכבו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ניגש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מוחמד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ותקף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אותו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השניים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התפתחה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קטטה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משהבחינו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בקטטה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ירדו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עאדל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ועמאד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מהרכב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הגיעו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וניסו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להתקרב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המנוח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ומוחמד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בשלב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הוציא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והחל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עמאד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בכוונה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לגרום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חמורה</w:t>
      </w:r>
      <w:r>
        <w:rPr>
          <w:rStyle w:val="default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default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efault"/>
        </w:rPr>
      </w:pP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התקרב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המנוח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בחוזקה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בראשו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וגרם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לפצע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קרע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בראשו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הצטרף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לקטטה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ובמהלכה</w:t>
      </w: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>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קליע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שחדר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לראש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המנוח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וגרם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למותו</w:t>
      </w:r>
      <w:r>
        <w:rPr>
          <w:rStyle w:val="default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default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efault"/>
          <w:u w:val="single"/>
        </w:rPr>
      </w:pPr>
      <w:r>
        <w:rPr>
          <w:rStyle w:val="default"/>
          <w:rtl w:val="true"/>
        </w:rPr>
        <w:t>מיד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מוחמד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לרכבם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ונמלטו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מהמקום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כשהנאשם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עדיין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נושא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הנשק</w:t>
      </w:r>
      <w:r>
        <w:rPr>
          <w:rStyle w:val="defaul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default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efault"/>
          <w:u w:val="single"/>
        </w:rPr>
      </w:pPr>
      <w:r>
        <w:rPr>
          <w:rStyle w:val="default"/>
          <w:rtl w:val="true"/>
        </w:rPr>
        <w:t>במעשיו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המנוח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במעשה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אסור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ניסה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לפגוע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באדם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בקליע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בכוונה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לגרום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חמורה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והוביל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סוגל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שבכוחו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להמית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אדם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רשות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להחזקתו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ונשיאתו</w:t>
      </w:r>
      <w:r>
        <w:rPr>
          <w:rStyle w:val="defaul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default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30.5.2010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6.2.2008</w:t>
      </w:r>
      <w:r>
        <w:rPr>
          <w:rtl w:val="true"/>
        </w:rPr>
        <w:t xml:space="preserve"> (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שתו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בלילות</w:t>
      </w:r>
      <w:r>
        <w:rPr>
          <w:rtl w:val="true"/>
        </w:rPr>
        <w:t xml:space="preserve">, </w:t>
      </w:r>
      <w:r>
        <w:rPr>
          <w:rtl w:val="true"/>
        </w:rPr>
        <w:t>צועקת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בטראומה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Fonts w:cs="Times New Roman"/>
          <w:b/>
          <w:bCs/>
          <w:rtl w:val="true"/>
        </w:rPr>
        <w:t xml:space="preserve">     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   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תוקפניים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158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כדור</w:t>
      </w:r>
      <w:r>
        <w:rPr>
          <w:rtl w:val="true"/>
        </w:rPr>
        <w:t xml:space="preserve">"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שנתמכו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מהשלבים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צעדיו</w:t>
      </w:r>
      <w:r>
        <w:rPr>
          <w:rtl w:val="true"/>
        </w:rPr>
        <w:t xml:space="preserve">,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 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Arial" w:hAnsi="Arial" w:cs="Miriam"/>
          <w:rtl w:val="true"/>
        </w:rPr>
        <w:t>ב</w:t>
      </w:r>
      <w:r>
        <w:rPr>
          <w:rFonts w:ascii="Arial" w:hAnsi="Arial" w:cs="Miriam"/>
          <w:rtl w:val="true"/>
        </w:rPr>
        <w:t>מעשה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החמור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שעשיתי</w:t>
      </w:r>
      <w:r>
        <w:rPr>
          <w:rtl w:val="true"/>
        </w:rPr>
        <w:t xml:space="preserve">",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14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firstLine="71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72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</w:p>
    <w:p>
      <w:pPr>
        <w:pStyle w:val="Ruller41"/>
        <w:ind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Ruller41"/>
        <w:ind w:hanging="800" w:start="80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 w:val="24"/>
          <w:szCs w:val="24"/>
          <w:rtl w:val="true"/>
        </w:rPr>
        <w:t>תוכנית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שבוצעה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מסגרת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'(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לחוק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במקרה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לקבוע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הולם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לאירוע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כולו</w:t>
      </w:r>
      <w:r>
        <w:rPr>
          <w:rFonts w:cs="David"/>
          <w:color w:val="000000"/>
          <w:sz w:val="24"/>
          <w:szCs w:val="24"/>
          <w:rtl w:val="true"/>
        </w:rPr>
        <w:t>.</w:t>
      </w:r>
    </w:p>
    <w:p>
      <w:pPr>
        <w:pStyle w:val="Ruller41"/>
        <w:ind w:hanging="800" w:start="80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  <w:tab/>
      </w:r>
    </w:p>
    <w:p>
      <w:pPr>
        <w:pStyle w:val="Ruller41"/>
        <w:ind w:hanging="800" w:start="80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  <w:tab/>
      </w:r>
      <w:r>
        <w:rPr>
          <w:rFonts w:cs="David"/>
          <w:color w:val="000000"/>
          <w:sz w:val="24"/>
          <w:sz w:val="24"/>
          <w:szCs w:val="24"/>
          <w:rtl w:val="true"/>
        </w:rPr>
        <w:t>במסגרת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הסדר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הטיעון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הציגו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הצדדים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הולם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מוסכם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17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</w:t>
      </w:r>
      <w:r>
        <w:rPr>
          <w:rFonts w:cs="David"/>
          <w:color w:val="000000"/>
          <w:sz w:val="24"/>
          <w:szCs w:val="24"/>
          <w:rtl w:val="true"/>
        </w:rPr>
        <w:t>-</w:t>
      </w:r>
      <w:r>
        <w:rPr>
          <w:rFonts w:cs="David"/>
          <w:color w:val="000000"/>
          <w:sz w:val="24"/>
          <w:szCs w:val="24"/>
        </w:rPr>
        <w:t>24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שנות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מאסר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אנו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סבורים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לאמץ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בהתחשב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בערך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שנפגע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הפגיעה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ומדיניות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הנהוגה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כפי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שהוצגה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</w:t>
      </w:r>
      <w:r>
        <w:rPr>
          <w:rFonts w:cs="David"/>
          <w:color w:val="000000"/>
          <w:sz w:val="24"/>
          <w:szCs w:val="24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rtl w:val="true"/>
        </w:rPr>
        <w:t>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שני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הצדדים</w:t>
      </w:r>
      <w:r>
        <w:rPr>
          <w:rFonts w:cs="David"/>
          <w:color w:val="000000"/>
          <w:sz w:val="24"/>
          <w:szCs w:val="24"/>
          <w:rtl w:val="true"/>
        </w:rPr>
        <w:t>.</w:t>
      </w:r>
    </w:p>
    <w:p>
      <w:pPr>
        <w:pStyle w:val="Ruller41"/>
        <w:ind w:start="80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בנסיבותיו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תיק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זה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כעסו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המנוח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נהיגתו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הפראית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תוך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השמעת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מוסיקה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בקול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רם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הביא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לטרגדיה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איומה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שהסתיימה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במות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המנוח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המ</w:t>
      </w:r>
      <w:r>
        <w:rPr>
          <w:rFonts w:cs="David"/>
          <w:color w:val="000000"/>
          <w:sz w:val="24"/>
          <w:sz w:val="24"/>
          <w:szCs w:val="24"/>
          <w:rtl w:val="true"/>
        </w:rPr>
        <w:t>וות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פגע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קשות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במשפחתו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הגרעינית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והמורחבת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המנוח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אלמנתו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הצעירה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המנוח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עזבה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הבית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והפילה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עוברה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והורי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המנוח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ואחיו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טרם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התאוששו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מהטרגדיה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הקשה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שפקדה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אותם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יפים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לכאן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דברי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השופט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</w:t>
      </w:r>
      <w:r>
        <w:rPr>
          <w:rFonts w:cs="David"/>
          <w:color w:val="000000"/>
          <w:sz w:val="24"/>
          <w:szCs w:val="24"/>
          <w:rtl w:val="true"/>
        </w:rPr>
        <w:t xml:space="preserve">' </w:t>
      </w:r>
      <w:r>
        <w:rPr>
          <w:rFonts w:cs="David"/>
          <w:color w:val="000000"/>
          <w:sz w:val="24"/>
          <w:sz w:val="24"/>
          <w:szCs w:val="24"/>
          <w:rtl w:val="true"/>
        </w:rPr>
        <w:t>רובינשטיין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שנכתבו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בפסק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דין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מיום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11.6.2013</w:t>
      </w:r>
      <w:r>
        <w:rPr>
          <w:rFonts w:cs="David"/>
          <w:color w:val="000000"/>
          <w:sz w:val="24"/>
          <w:szCs w:val="24"/>
          <w:rtl w:val="true"/>
        </w:rPr>
        <w:t>:</w:t>
      </w:r>
    </w:p>
    <w:p>
      <w:pPr>
        <w:pStyle w:val="Ruller41"/>
        <w:ind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41"/>
        <w:ind w:start="1440" w:end="720"/>
        <w:jc w:val="both"/>
        <w:rPr>
          <w:rFonts w:cs="Miriam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המקרה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שבפנינו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המקרים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המעידים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הבלתי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נסבלת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נטילת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צורך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להביא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הרבה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מקרים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הפכו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למרבה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הצער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לחזון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נפרץ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לעתים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מזומנות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במחוזותינו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במקרה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דנא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מחלוקת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חנית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רכב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לגיטימית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הסתיימה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בתוצאה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הימנה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נטילת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למותר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להכביר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נעלותו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עקרון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קדושת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החיים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לאחרונה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rFonts w:ascii="Arial TUR;Arial" w:hAnsi="Arial TUR;Arial" w:cs="Miriam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ascii="Arial TUR;Arial" w:hAnsi="Arial TUR;Arial"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Cs w:val="24"/>
          </w:rPr>
          <w:t>2167/12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17.3.13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בפסקה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Miriam"/>
          <w:sz w:val="24"/>
          <w:sz w:val="24"/>
          <w:szCs w:val="24"/>
          <w:rtl w:val="true"/>
        </w:rPr>
        <w:t>ועל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הפוגע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יהיה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צפוי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מחמירה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מחמירה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מאד</w:t>
      </w:r>
      <w:r>
        <w:rPr>
          <w:rFonts w:cs="Miriam"/>
          <w:sz w:val="24"/>
          <w:szCs w:val="24"/>
          <w:rtl w:val="true"/>
        </w:rPr>
        <w:t xml:space="preserve">" </w:t>
      </w:r>
    </w:p>
    <w:p>
      <w:pPr>
        <w:pStyle w:val="Ruller41"/>
        <w:ind w:start="1440" w:end="720"/>
        <w:jc w:val="both"/>
        <w:rPr>
          <w:rFonts w:cs="David"/>
          <w:sz w:val="24"/>
          <w:szCs w:val="24"/>
        </w:rPr>
      </w:pPr>
      <w:hyperlink r:id="rId13">
        <w:r>
          <w:rPr>
            <w:rStyle w:val="Hyperlink"/>
            <w:rFonts w:ascii="Arial TUR;Arial" w:hAnsi="Arial TUR;Arial" w:cs="Miriam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ascii="Arial TUR;Arial" w:hAnsi="Arial TUR;Arial"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z w:val="24"/>
            <w:sz w:val="24"/>
            <w:szCs w:val="24"/>
            <w:rtl w:val="true"/>
          </w:rPr>
          <w:t xml:space="preserve">  </w:t>
        </w:r>
        <w:r>
          <w:rPr>
            <w:rStyle w:val="Hyperlink"/>
            <w:rFonts w:cs="Miriam"/>
            <w:sz w:val="24"/>
            <w:szCs w:val="24"/>
          </w:rPr>
          <w:t>6162/10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כבאז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11.6.2013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Ruller41"/>
        <w:tabs>
          <w:tab w:val="clear" w:pos="720"/>
          <w:tab w:val="left" w:pos="7425" w:leader="none"/>
        </w:tabs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tabs>
          <w:tab w:val="clear" w:pos="720"/>
          <w:tab w:val="left" w:pos="7425" w:leader="none"/>
        </w:tabs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tabs>
          <w:tab w:val="clear" w:pos="720"/>
          <w:tab w:val="left" w:pos="7425" w:leader="none"/>
        </w:tabs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כבאז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פציעה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ובהתחשב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הפחית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ההריגה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התווספו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הפציעה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1"/>
        <w:tabs>
          <w:tab w:val="clear" w:pos="720"/>
          <w:tab w:val="left" w:pos="7425" w:leader="none"/>
        </w:tabs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חשוב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להדגיש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להקל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ראש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בעבירה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ascii="Arial TUR;Arial" w:hAnsi="Arial TUR;Arial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329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Arial TUR;Arial" w:hAnsi="Arial TUR;Arial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2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המקסימאלי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כשמדובר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Style w:val="default"/>
          <w:rFonts w:cs="David"/>
          <w:sz w:val="24"/>
          <w:szCs w:val="24"/>
          <w:rtl w:val="true"/>
        </w:rPr>
        <w:t>"</w:t>
      </w:r>
      <w:r>
        <w:rPr>
          <w:rStyle w:val="default"/>
          <w:rFonts w:cs="Miriam"/>
          <w:sz w:val="24"/>
          <w:sz w:val="24"/>
          <w:szCs w:val="24"/>
          <w:rtl w:val="true"/>
        </w:rPr>
        <w:t>מ</w:t>
      </w:r>
      <w:r>
        <w:rPr>
          <w:rStyle w:val="default"/>
          <w:rFonts w:cs="Miriam"/>
          <w:sz w:val="24"/>
          <w:sz w:val="24"/>
          <w:szCs w:val="24"/>
          <w:rtl w:val="true"/>
        </w:rPr>
        <w:t>נס</w:t>
      </w:r>
      <w:r>
        <w:rPr>
          <w:rStyle w:val="default"/>
          <w:rFonts w:cs="Miriam"/>
          <w:sz w:val="24"/>
          <w:sz w:val="24"/>
          <w:szCs w:val="24"/>
          <w:rtl w:val="true"/>
        </w:rPr>
        <w:t>ה</w:t>
      </w:r>
      <w:r>
        <w:rPr>
          <w:rStyle w:val="default"/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שלא</w:t>
      </w:r>
      <w:r>
        <w:rPr>
          <w:rStyle w:val="default"/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כדין</w:t>
      </w:r>
      <w:r>
        <w:rPr>
          <w:rStyle w:val="default"/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לפגוע</w:t>
      </w:r>
      <w:r>
        <w:rPr>
          <w:rStyle w:val="default"/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באדם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באמצעות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קליע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להדגיש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שנעברו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ביריביהם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יוכיח</w:t>
      </w:r>
      <w:r>
        <w:rPr>
          <w:rtl w:val="true"/>
        </w:rPr>
        <w:t xml:space="preserve">: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).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4460/11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28.11.11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"). </w:t>
      </w:r>
      <w:hyperlink r:id="rId1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9373/10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14.9.11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highlight w:val="yellow"/>
        </w:rPr>
      </w:pPr>
      <w:r>
        <w:rPr>
          <w:b/>
          <w:bCs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  <w:r>
          <w:rPr>
            <w:rStyle w:val="Hyperlink"/>
            <w:b/>
            <w:bCs/>
          </w:rPr>
          <w:t>8416/09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וערעורים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9.6.10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</w:t>
      </w:r>
      <w:r>
        <w:rPr>
          <w:rtl w:val="true"/>
        </w:rPr>
        <w:t>ו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hanging="2160" w:start="1701" w:end="90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  <w:tab/>
      </w:r>
      <w:r>
        <w:rPr>
          <w:rFonts w:cs="Miriam"/>
          <w:b/>
          <w:bCs/>
          <w:sz w:val="24"/>
          <w:szCs w:val="24"/>
          <w:rtl w:val="true"/>
        </w:rPr>
        <w:t>"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סיום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המותר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להזכיר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מושכלות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cs="Miriam"/>
          <w:b/>
          <w:bCs/>
          <w:sz w:val="24"/>
          <w:szCs w:val="24"/>
          <w:rtl w:val="true"/>
        </w:rPr>
        <w:t xml:space="preserve">.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Miriam"/>
          <w:b/>
          <w:bCs/>
          <w:sz w:val="24"/>
          <w:szCs w:val="24"/>
          <w:rtl w:val="true"/>
        </w:rPr>
        <w:t xml:space="preserve">. (...).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שציינה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חברתי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ד</w:t>
      </w:r>
      <w:r>
        <w:rPr>
          <w:rFonts w:cs="Miriam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ביניש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המציאות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השוררת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בארץ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המתבטאת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בזמינותו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חם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ורב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עוצמה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שיש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עמו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פוטנציאל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להסלמת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העבריינית</w:t>
      </w:r>
      <w:r>
        <w:rPr>
          <w:rFonts w:cs="Miriam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מחייבת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מתן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ביטוי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עונשי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הולם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והחמרה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ברמת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Cs/>
          <w:sz w:val="24"/>
          <w:szCs w:val="24"/>
          <w:rtl w:val="true"/>
        </w:rPr>
        <w:t>(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rFonts w:cs="Miriam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Miriam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Miriam" w:ascii="Times New Roman" w:hAnsi="Times New Roman"/>
          <w:b/>
          <w:bCs/>
          <w:color w:val="000000"/>
          <w:sz w:val="24"/>
          <w:szCs w:val="24"/>
        </w:rPr>
        <w:t>1332/04</w:t>
      </w:r>
      <w:r>
        <w:rPr>
          <w:rFonts w:cs="Miriam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פס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Miriam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בנבו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]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Cs/>
          <w:sz w:val="24"/>
          <w:szCs w:val="24"/>
        </w:rPr>
        <w:t>4</w:t>
      </w:r>
      <w:r>
        <w:rPr>
          <w:rFonts w:cs="Miriam"/>
          <w:b/>
          <w:bCs/>
          <w:sz w:val="24"/>
          <w:szCs w:val="24"/>
          <w:rtl w:val="true"/>
        </w:rPr>
        <w:t xml:space="preserve"> (</w:t>
      </w:r>
      <w:r>
        <w:rPr>
          <w:rFonts w:cs="Miriam" w:ascii="Times New Roman" w:hAnsi="Times New Roman"/>
          <w:b/>
          <w:bCs/>
          <w:spacing w:val="0"/>
          <w:sz w:val="24"/>
          <w:szCs w:val="24"/>
          <w:rtl w:val="true"/>
        </w:rPr>
        <w:t>...</w:t>
      </w:r>
      <w:r>
        <w:rPr>
          <w:rFonts w:cs="Miriam"/>
          <w:b/>
          <w:bCs/>
          <w:sz w:val="24"/>
          <w:szCs w:val="24"/>
          <w:rtl w:val="true"/>
        </w:rPr>
        <w:t xml:space="preserve">)).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לעשות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עוד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בטרם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ייעשה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באקדח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שימוש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קטלני</w:t>
      </w:r>
      <w:r>
        <w:rPr>
          <w:rFonts w:cs="Miriam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הרחקת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המחזיק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החברה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לפרק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זמן</w:t>
      </w:r>
      <w:r>
        <w:rPr>
          <w:rFonts w:cs="Miriam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והעברת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מסר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מרתיע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ממשי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לריצוי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Cs/>
          <w:sz w:val="24"/>
          <w:szCs w:val="24"/>
          <w:rtl w:val="true"/>
        </w:rPr>
        <w:t>(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Cs/>
            <w:sz w:val="24"/>
            <w:szCs w:val="24"/>
          </w:rPr>
          <w:t>3361/08</w:t>
        </w:r>
      </w:hyperlink>
      <w:r>
        <w:rPr>
          <w:rFonts w:cs="Miriam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Miriam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Cs/>
          <w:sz w:val="24"/>
          <w:szCs w:val="24"/>
          <w:rtl w:val="true"/>
        </w:rPr>
        <w:t xml:space="preserve">(...) </w:t>
      </w:r>
      <w:r>
        <w:rPr>
          <w:rFonts w:cs="Miriam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בנבו</w:t>
      </w:r>
      <w:r>
        <w:rPr>
          <w:rFonts w:cs="Miriam" w:ascii="Times New Roman" w:hAnsi="Times New Roman"/>
          <w:spacing w:val="0"/>
          <w:szCs w:val="24"/>
          <w:rtl w:val="true"/>
        </w:rPr>
        <w:t>]</w:t>
      </w:r>
      <w:r>
        <w:rPr>
          <w:rFonts w:cs="Miriam"/>
          <w:b/>
          <w:bCs/>
          <w:sz w:val="24"/>
          <w:szCs w:val="24"/>
          <w:rtl w:val="true"/>
        </w:rPr>
        <w:t xml:space="preserve">; </w:t>
      </w:r>
      <w:hyperlink r:id="rId19"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Cs/>
            <w:sz w:val="24"/>
            <w:szCs w:val="24"/>
          </w:rPr>
          <w:t>5220/09</w:t>
        </w:r>
      </w:hyperlink>
      <w:r>
        <w:rPr>
          <w:rFonts w:cs="Miriam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Cs/>
          <w:sz w:val="24"/>
          <w:szCs w:val="24"/>
          <w:rtl w:val="true"/>
        </w:rPr>
        <w:t>(</w:t>
      </w:r>
      <w:r>
        <w:rPr>
          <w:rFonts w:cs="Miriam" w:ascii="Times New Roman" w:hAnsi="Times New Roman"/>
          <w:b/>
          <w:bCs/>
          <w:spacing w:val="0"/>
          <w:sz w:val="24"/>
          <w:szCs w:val="24"/>
          <w:rtl w:val="true"/>
        </w:rPr>
        <w:t>...</w:t>
      </w:r>
      <w:r>
        <w:rPr>
          <w:rFonts w:cs="Miriam"/>
          <w:b/>
          <w:bCs/>
          <w:sz w:val="24"/>
          <w:szCs w:val="24"/>
          <w:rtl w:val="true"/>
        </w:rPr>
        <w:t xml:space="preserve">)"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b/>
          <w:bCs/>
          <w:sz w:val="24"/>
          <w:szCs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</w:t>
      </w:r>
      <w:r>
        <w:rPr>
          <w:rFonts w:cs="David"/>
          <w:b/>
          <w:bCs/>
          <w:sz w:val="24"/>
          <w:szCs w:val="24"/>
          <w:rtl w:val="true"/>
        </w:rPr>
        <w:t xml:space="preserve">].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6671/06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דינים</w:t>
      </w:r>
      <w:r>
        <w:rPr>
          <w:b/>
          <w:bCs/>
          <w:rtl w:val="true"/>
        </w:rPr>
        <w:t>"):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701" w:end="90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 xml:space="preserve">"(...) </w:t>
      </w:r>
      <w:r>
        <w:rPr>
          <w:rFonts w:cs="Miriam"/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קטלנית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למיניהם</w:t>
      </w:r>
      <w:r>
        <w:rPr>
          <w:rFonts w:cs="Miriam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900"/>
        <w:jc w:val="both"/>
        <w:rPr>
          <w:rFonts w:cs="Miriam"/>
          <w:b/>
          <w:bCs/>
          <w:highlight w:val="yellow"/>
        </w:rPr>
      </w:pPr>
      <w:r>
        <w:rPr>
          <w:rFonts w:cs="Miriam"/>
          <w:b/>
          <w:bCs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hyperlink r:id="rId2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7955/06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60" w:start="1701" w:end="90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ab/>
        <w:t xml:space="preserve">"(...) </w:t>
      </w:r>
      <w:r>
        <w:rPr>
          <w:rFonts w:cs="Miriam"/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לכך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נודע</w:t>
      </w:r>
      <w:r>
        <w:rPr>
          <w:rFonts w:cs="Miriam"/>
          <w:b/>
          <w:b/>
          <w:bCs/>
          <w:rtl w:val="true"/>
        </w:rPr>
        <w:t>ו</w:t>
      </w:r>
      <w:r>
        <w:rPr>
          <w:rFonts w:cs="Miriam"/>
          <w:b/>
          <w:b/>
          <w:bCs/>
          <w:rtl w:val="true"/>
        </w:rPr>
        <w:t>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האחרונות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יריבים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מפשע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למבצעיהם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התופעה</w:t>
      </w:r>
      <w:r>
        <w:rPr>
          <w:rFonts w:cs="Miriam"/>
          <w:b/>
          <w:bCs/>
          <w:rtl w:val="true"/>
        </w:rPr>
        <w:t>".</w:t>
      </w:r>
    </w:p>
    <w:p>
      <w:pPr>
        <w:pStyle w:val="Ruller41"/>
        <w:spacing w:lineRule="auto" w:line="240"/>
        <w:ind w:start="720" w:end="0"/>
        <w:jc w:val="both"/>
        <w:rPr>
          <w:rFonts w:cs="Miriam"/>
          <w:b/>
          <w:bCs/>
          <w:sz w:val="24"/>
          <w:szCs w:val="24"/>
        </w:rPr>
      </w:pPr>
      <w:r>
        <w:rPr>
          <w:rFonts w:cs="Miriam"/>
          <w:b/>
          <w:bCs/>
          <w:sz w:val="24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קובעים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1"/>
        <w:spacing w:lineRule="auto" w:line="240"/>
        <w:ind w:start="1440" w:end="72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לחרוג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שאלת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למסוכנות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לקריטריונים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1958/98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color w:val="000000"/>
          <w:rtl w:val="true"/>
        </w:rPr>
        <w:t>).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</w:t>
      </w:r>
      <w:r>
        <w:rPr>
          <w:rtl w:val="true"/>
        </w:rPr>
        <w:t xml:space="preserve">',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),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ind w:hanging="0" w:start="720" w:end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המקווה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ind w:hanging="0" w:start="720" w:end="0"/>
        <w:jc w:val="both"/>
        <w:outlineLvl w:val="0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u w:val="single"/>
        </w:rPr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/>
        <w:t>13.4.2012</w:t>
      </w:r>
      <w:r>
        <w:rPr>
          <w:rtl w:val="true"/>
        </w:rPr>
        <w:t>.</w:t>
      </w:r>
    </w:p>
    <w:p>
      <w:pPr>
        <w:pStyle w:val="Normal"/>
        <w:ind w:start="714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ind w:start="714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1.5.2014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>.</w:t>
      </w:r>
    </w:p>
    <w:p>
      <w:pPr>
        <w:pStyle w:val="Normal"/>
        <w:ind w:start="71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14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תשרי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bookmarkStart w:id="10" w:name="_GoBack"/>
            <w:bookmarkEnd w:id="10"/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גרשון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אליקים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8398-05-12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מופיד אבו מוך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lang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0"/>
      <w:lang w:val="en-US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eastAsia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40jc.a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jc.a" TargetMode="External"/><Relationship Id="rId12" Type="http://schemas.openxmlformats.org/officeDocument/2006/relationships/hyperlink" Target="http://www.nevo.co.il/case/5578844" TargetMode="External"/><Relationship Id="rId13" Type="http://schemas.openxmlformats.org/officeDocument/2006/relationships/hyperlink" Target="http://www.nevo.co.il/case/5826590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case/5958231" TargetMode="External"/><Relationship Id="rId16" Type="http://schemas.openxmlformats.org/officeDocument/2006/relationships/hyperlink" Target="http://www.nevo.co.il/case/6151556" TargetMode="External"/><Relationship Id="rId17" Type="http://schemas.openxmlformats.org/officeDocument/2006/relationships/hyperlink" Target="http://www.nevo.co.il/case/5969313" TargetMode="External"/><Relationship Id="rId18" Type="http://schemas.openxmlformats.org/officeDocument/2006/relationships/hyperlink" Target="http://www.nevo.co.il/case/5891605" TargetMode="External"/><Relationship Id="rId19" Type="http://schemas.openxmlformats.org/officeDocument/2006/relationships/hyperlink" Target="http://www.nevo.co.il/case/6000182" TargetMode="External"/><Relationship Id="rId20" Type="http://schemas.openxmlformats.org/officeDocument/2006/relationships/hyperlink" Target="http://www.nevo.co.il/case/6078308" TargetMode="External"/><Relationship Id="rId21" Type="http://schemas.openxmlformats.org/officeDocument/2006/relationships/hyperlink" Target="http://www.nevo.co.il/case/6104546" TargetMode="External"/><Relationship Id="rId22" Type="http://schemas.openxmlformats.org/officeDocument/2006/relationships/hyperlink" Target="http://www.nevo.co.il/case/161892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2016-01-24T15:32:00Z</dcterms:created>
  <dc:creator> </dc:creator>
  <dc:description/>
  <cp:keywords/>
  <dc:language>en-IL</dc:language>
  <cp:lastModifiedBy>yafit</cp:lastModifiedBy>
  <dcterms:modified xsi:type="dcterms:W3CDTF">2016-01-24T15:32:00Z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מופיד אבו מוך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5578844;5826590;5958231;6151556;5969313;5891605;6000182;6078308;6104546;161892</vt:lpwstr>
  </property>
  <property fmtid="{D5CDD505-2E9C-101B-9397-08002B2CF9AE}" pid="10" name="CITY">
    <vt:lpwstr>חי'</vt:lpwstr>
  </property>
  <property fmtid="{D5CDD505-2E9C-101B-9397-08002B2CF9AE}" pid="11" name="DATE">
    <vt:lpwstr>20130917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יוסף אלרון;עודד גרשון;אברהם אליקים</vt:lpwstr>
  </property>
  <property fmtid="{D5CDD505-2E9C-101B-9397-08002B2CF9AE}" pid="15" name="LAWLISTTMP1">
    <vt:lpwstr>70301/298;329.a.2:2;144.b;40jc.a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8398</vt:lpwstr>
  </property>
  <property fmtid="{D5CDD505-2E9C-101B-9397-08002B2CF9AE}" pid="23" name="NEWPARTB">
    <vt:lpwstr>05</vt:lpwstr>
  </property>
  <property fmtid="{D5CDD505-2E9C-101B-9397-08002B2CF9AE}" pid="24" name="NEWPARTC">
    <vt:lpwstr>12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390020130917</vt:lpwstr>
  </property>
  <property fmtid="{D5CDD505-2E9C-101B-9397-08002B2CF9AE}" pid="35" name="TYPE_N_DATE">
    <vt:lpwstr>39020130917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