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58432-10-17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אלקלק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זהבי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כריס אלקלק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איתי רוזין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391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413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אישום מתוקן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 xml:space="preserve">הנאשם הודה בעובדות כתב האישום המתוקן והורשע בביצוע עבירה של גניבה בידי עובד ממעבידו בצוותא לפי </w:t>
      </w:r>
      <w:hyperlink r:id="rId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391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 עם</w:t>
      </w:r>
      <w:r>
        <w:rPr>
          <w:rFonts w:ascii="David" w:hAnsi="David"/>
          <w:rtl w:val="true"/>
        </w:rPr>
        <w:t xml:space="preserve"> </w:t>
      </w:r>
      <w:hyperlink r:id="rId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לא הייתה הסכמה בין הצדדים לעניין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9" w:name="ABSTRACT_END"/>
      <w:bookmarkEnd w:id="9"/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במועד הרלבנטי לכתב האישום הועסק הנאשם בתחנת דלק סונול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המעסיק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ברחוב קרן היסוד בבאר יעקב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מקום העבודה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מספר ימים עובר ליום </w:t>
      </w:r>
      <w:r>
        <w:rPr>
          <w:rFonts w:cs="David" w:ascii="David" w:hAnsi="David"/>
        </w:rPr>
        <w:t>3.2.2017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תכננו הנאשם וזיאד אבו גאנם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האחר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לגנוב מהמעביד את כספי הקופה וסיגריות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ביום שוד על מנת להסתיר את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3.2.2017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19:54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האחר במונית למקום העבודה בתחנת הדלק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אמר לו שימתין בחוץ עד שיסמן לו שאין אנשים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ואז כשהנאשם סימן לאחר בידו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חבש האחר לראשו כובע קפוצ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כיסה את פניו באמצעות צעיף מחמם צוואר ואחז בסכין כדי שידמה כאילו הוא שודד 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והנאשם העביר לידי האחר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עבור נסיעתו במונית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מכספי הקופה ושתי חפיסות סיגריות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התקבל תסקיר לעונש מטעם שירות המבחן ולהלן עיקריו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מתגורר בבית הוריו ועובד בחדר אוכל כטבח בחברת תקשורת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סיום לימודיו התיכוניים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מעורבותו הפלילית העמיקה והתמכר לסמים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  <w:t xml:space="preserve"> </w:t>
      </w:r>
      <w:r>
        <w:rPr>
          <w:rFonts w:ascii="David" w:hAnsi="David"/>
          <w:rtl w:val="true"/>
        </w:rPr>
        <w:t>עיון ברישומו הפלילי מעלה כי לנאשם שש הרשעות קודמות בעבירות של שימוש ברכב ללא רישיון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התחזות לאדם אחר במטרה להונות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גניבה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קבלת דבר בתחבולה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תקיפת עובד ציבור ושימוש בסמים לצריכה עצמית שבגינן נידון למאסרים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התרשם כי הנאשם אינו מקבל אחריות על התנהגותו באירוע העבירה ומשליך את האחריות לאירוע על שותפו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שנים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שולב בבית המשפט הקהילתי ברמלה על מנת לבנות עבורו תכנית טיפולית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rtl w:val="true"/>
        </w:rPr>
        <w:t xml:space="preserve">התקשה לשתף פעולה </w:t>
      </w:r>
      <w:r>
        <w:rPr>
          <w:rFonts w:ascii="David" w:hAnsi="David"/>
          <w:rtl w:val="true"/>
        </w:rPr>
        <w:t xml:space="preserve">עם שרות המבחן כדי שתוכן </w:t>
      </w:r>
      <w:r>
        <w:rPr>
          <w:rFonts w:ascii="David" w:hAnsi="David"/>
          <w:rtl w:val="true"/>
        </w:rPr>
        <w:t>תכנית טיפול</w:t>
      </w:r>
      <w:r>
        <w:rPr>
          <w:rFonts w:ascii="David" w:hAnsi="David"/>
          <w:rtl w:val="true"/>
        </w:rPr>
        <w:t>ית עבורו ועקב כך נשר מאותו תהליך והתיק הוחזר לבית משפט שלום רגיל לגזירת דינו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התרשם שהנאשם בעל מאפיינים אישיותיים אנטי סוציאליים ובעל דפוסי חשיבה והתנהגות עבריינים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שירות המבחן התרשם </w:t>
      </w:r>
      <w:r>
        <w:rPr>
          <w:rFonts w:ascii="David" w:hAnsi="David"/>
          <w:rtl w:val="true"/>
        </w:rPr>
        <w:t>מהנאשם שהוא בעל נטייה להתנהגויות א</w:t>
      </w:r>
      <w:r>
        <w:rPr>
          <w:rFonts w:ascii="David" w:hAnsi="David"/>
          <w:rtl w:val="true"/>
        </w:rPr>
        <w:t>ימפולסיביות ומתקשה לווסת את דחפיו וממוקד בהשגת צרכיו באופן מידי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התרשם כי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בניגוד לעבר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מנסה לגבש לעצמו אורח חיים נורמטיבי ויציב הכולל תפקוד תעסוקתי תקין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התרשם שהנאשם הוא בעל תובנה נמוכה למורכבות מצבו ואיננו מעוניין בקבלת סיוע משירות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הסיכון במצבו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היעדר קבלת אחריות מצדו של הנאשם למעשי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שיתוף פעולה הלוקה בחסר והעדר מוטיבציה לטיפול ולשינוי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שירות המבחן לא בא בהמלצה טיפולית </w:t>
      </w:r>
      <w:r>
        <w:rPr>
          <w:rFonts w:ascii="David" w:hAnsi="David"/>
          <w:rtl w:val="true"/>
        </w:rPr>
        <w:t xml:space="preserve">והמליץ </w:t>
      </w:r>
      <w:r>
        <w:rPr>
          <w:rFonts w:ascii="David" w:hAnsi="David"/>
          <w:rtl w:val="true"/>
        </w:rPr>
        <w:t>על ענישה קונקרטית ומרתיעה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טענה שמתחם העונש ההולם נע בין מספר חודשי מאסר בפועל שיכול וירוצו בעבודות שירות ועד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ascii="David" w:hAnsi="David"/>
          <w:rtl w:val="true"/>
        </w:rPr>
        <w:t xml:space="preserve">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הפנתה לתסקיר שירות המבחן </w:t>
      </w:r>
      <w:r>
        <w:rPr>
          <w:rFonts w:ascii="David" w:hAnsi="David"/>
          <w:rtl w:val="true"/>
        </w:rPr>
        <w:t>וטענה שמדובר בתסקיר שלילי שלא עולה ממנו אפיק שיקומי כלשהו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לרישום הפלילי של הנאשם ו</w:t>
      </w:r>
      <w:r>
        <w:rPr>
          <w:rFonts w:ascii="David" w:hAnsi="David"/>
          <w:rtl w:val="true"/>
        </w:rPr>
        <w:t xml:space="preserve">לכן עתרה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שתת</w:t>
      </w:r>
      <w:r>
        <w:rPr>
          <w:rFonts w:ascii="David" w:hAnsi="David"/>
          <w:rtl w:val="true"/>
        </w:rPr>
        <w:t xml:space="preserve"> שישה חודשי מאסר שיכול וירוצו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 למעסיק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 כוח הנאשם טען שהנאשם נוטל אחריות על מעש</w:t>
      </w:r>
      <w:r>
        <w:rPr>
          <w:rFonts w:ascii="David" w:hAnsi="David"/>
          <w:rtl w:val="true"/>
        </w:rPr>
        <w:t>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</w:t>
      </w:r>
      <w:r>
        <w:rPr>
          <w:rFonts w:ascii="David" w:hAnsi="David"/>
          <w:rtl w:val="true"/>
        </w:rPr>
        <w:t xml:space="preserve">היום הוא מבין שהייתה אופציה אחרת </w:t>
      </w:r>
      <w:r>
        <w:rPr>
          <w:rFonts w:ascii="David" w:hAnsi="David"/>
          <w:rtl w:val="true"/>
        </w:rPr>
        <w:t>שהיה יכול לבחור 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 כוח הנאשם הדגיש את הסכום הנמוך שנגנב מהמעביד ולכן טען שיש להסתפק במאסר על תנאי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הגדרת 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hyperlink r:id="rId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391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קובע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עובד הגונב דבר שהוא נכס מעבידו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שהגיע לידי העובד בשביל מעבידו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וערכו עולה על אלף שקלים חדשים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דינו – מאסר שבע שנים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ההדגשה </w:t>
      </w:r>
      <w:r>
        <w:rPr>
          <w:rFonts w:ascii="David" w:hAnsi="David"/>
          <w:rtl w:val="true"/>
        </w:rPr>
        <w:t xml:space="preserve">שלי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)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מידת הנזק </w:t>
      </w:r>
      <w:r>
        <w:rPr>
          <w:rFonts w:ascii="David" w:hAnsi="David"/>
          <w:rtl w:val="true"/>
        </w:rPr>
        <w:t xml:space="preserve">שנגרם מביצוע העבירה שבה הורשע הנאשם </w:t>
      </w:r>
      <w:r>
        <w:rPr>
          <w:rFonts w:ascii="David" w:hAnsi="David"/>
          <w:rtl w:val="true"/>
        </w:rPr>
        <w:t>הי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 xml:space="preserve"> פרמטר מרכזי לקביעת גבולות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העבירה בה הורשע הנאשם הי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 xml:space="preserve"> עבירה מסוג פשע שהעונש המקסימלי בגינה הו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 xml:space="preserve"> שבע שנות מאסר אך עדיין אין להתעלם מהסכום שנגנב על ידי הנאשם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בגניבת סך של </w:t>
      </w:r>
      <w:r>
        <w:rPr>
          <w:rFonts w:cs="David" w:ascii="David" w:hAnsi="David"/>
        </w:rPr>
        <w:t>1,200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נוספים שמסר אותם לבעל המונית ושתי חפיסות סיגריות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במילים אחרות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הסכום שנגנב מהמעביד הוא </w:t>
      </w:r>
      <w:r>
        <w:rPr>
          <w:rFonts w:ascii="David" w:hAnsi="David"/>
          <w:rtl w:val="true"/>
        </w:rPr>
        <w:t xml:space="preserve">קרוב מאוד לסכום המינימום הקבוע </w:t>
      </w:r>
      <w:hyperlink r:id="rId11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391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שהוא 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,</w:t>
      </w:r>
      <w:r>
        <w:rPr>
          <w:rFonts w:cs="David" w:ascii="David" w:hAnsi="David"/>
        </w:rPr>
        <w:t>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כיוון 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</w:t>
      </w:r>
      <w:r>
        <w:rPr>
          <w:rFonts w:ascii="David" w:hAnsi="David"/>
          <w:rtl w:val="true"/>
        </w:rPr>
        <w:t>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קבל את טענת המאשימה שמתחם העונש ההולם מתחיל ממספר חודשי מאסר בפועל </w:t>
      </w:r>
      <w:r>
        <w:rPr>
          <w:rFonts w:ascii="David" w:hAnsi="David"/>
          <w:rtl w:val="true"/>
        </w:rPr>
        <w:t>שיכול וירוצו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הנני קובע שהמתחם מתחיל ממאסר על תנאי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כפי שאראה בפסיקה שאביא 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מדיניות הענישה הנוהגת בעבירה של גניבה ממעביד מושפעת באופן ישיר מהערך הכלכלי של </w:t>
      </w:r>
      <w:r>
        <w:rPr>
          <w:rFonts w:ascii="David" w:hAnsi="David"/>
          <w:rtl w:val="true"/>
        </w:rPr>
        <w:t>הדבר שנגנב מהמעביד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ככל שסכום הגניבה הוא קרוב למינימום של </w:t>
      </w:r>
      <w:r>
        <w:rPr>
          <w:rFonts w:cs="David" w:ascii="David" w:hAnsi="David"/>
        </w:rPr>
        <w:t>1,000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להתקיימות העבירה של גניבה מעביד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>חם יתחיל ממאסר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העונש ההולם </w:t>
      </w:r>
      <w:r>
        <w:rPr>
          <w:rFonts w:ascii="David" w:hAnsi="David"/>
          <w:rtl w:val="true"/>
        </w:rPr>
        <w:t>עשוי לה</w:t>
      </w:r>
      <w:r>
        <w:rPr>
          <w:rFonts w:ascii="David" w:hAnsi="David"/>
          <w:rtl w:val="true"/>
        </w:rPr>
        <w:t xml:space="preserve">תחיל ממספר חודשי מאסר שיכול וירוצו בעבודות שירות </w:t>
      </w:r>
      <w:r>
        <w:rPr>
          <w:rFonts w:ascii="David" w:hAnsi="David"/>
          <w:rtl w:val="true"/>
        </w:rPr>
        <w:t xml:space="preserve">רק באותם מקרים שבהם </w:t>
      </w:r>
      <w:r>
        <w:rPr>
          <w:rFonts w:ascii="David" w:hAnsi="David"/>
          <w:rtl w:val="true"/>
        </w:rPr>
        <w:t>סכום הגניבה מגיע לעשרות אלפי שקלים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שהוא לא המקרה בפני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להלן </w:t>
      </w:r>
      <w:r>
        <w:rPr>
          <w:rFonts w:ascii="David" w:hAnsi="David"/>
          <w:rtl w:val="true"/>
        </w:rPr>
        <w:t>דוגמאות מ</w:t>
      </w:r>
      <w:r>
        <w:rPr>
          <w:rFonts w:ascii="David" w:hAnsi="David"/>
          <w:rtl w:val="true"/>
        </w:rPr>
        <w:t>פסקי דין של בת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משפט מחוזי</w:t>
      </w:r>
      <w:r>
        <w:rPr>
          <w:rFonts w:ascii="David" w:hAnsi="David"/>
          <w:rtl w:val="true"/>
        </w:rPr>
        <w:t>ים</w:t>
      </w:r>
      <w:r>
        <w:rPr>
          <w:rFonts w:ascii="David" w:hAnsi="David"/>
          <w:rtl w:val="true"/>
        </w:rPr>
        <w:t xml:space="preserve"> שמשקפ</w:t>
      </w:r>
      <w:r>
        <w:rPr>
          <w:rFonts w:ascii="David" w:hAnsi="David"/>
          <w:rtl w:val="true"/>
        </w:rPr>
        <w:t>ים</w:t>
      </w:r>
      <w:r>
        <w:rPr>
          <w:rFonts w:ascii="David" w:hAnsi="David"/>
          <w:rtl w:val="true"/>
        </w:rPr>
        <w:t xml:space="preserve"> את </w:t>
      </w:r>
      <w:r>
        <w:rPr>
          <w:rFonts w:ascii="David" w:hAnsi="David"/>
          <w:rtl w:val="true"/>
        </w:rPr>
        <w:t xml:space="preserve">מדיניות </w:t>
      </w:r>
      <w:r>
        <w:rPr>
          <w:rFonts w:ascii="David" w:hAnsi="David"/>
          <w:rtl w:val="true"/>
        </w:rPr>
        <w:t xml:space="preserve">הענישה הנהוגה כאשר </w:t>
      </w:r>
      <w:r>
        <w:rPr>
          <w:rFonts w:ascii="David" w:hAnsi="David"/>
          <w:rtl w:val="true"/>
        </w:rPr>
        <w:t xml:space="preserve">ערכו של הדבר שנגנב מהמעביד הוא קרוב לגבול המינימום של </w:t>
      </w:r>
      <w:r>
        <w:rPr>
          <w:rFonts w:cs="David" w:ascii="David" w:hAnsi="David"/>
        </w:rPr>
        <w:t>1,000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ומהם עולה שהמתחם העונש ההולם מתחיל ממאסר על תנאי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hyperlink r:id="rId1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70352/03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כהן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23.12.20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המערערת גנבה </w:t>
      </w:r>
      <w:r>
        <w:rPr>
          <w:rFonts w:cs="David" w:ascii="David" w:hAnsi="David"/>
          <w:sz w:val="24"/>
          <w:szCs w:val="24"/>
        </w:rPr>
        <w:t>5000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מהמעביד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משט השלום הטיל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על המערערת הוטל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 w:ascii="David" w:hAnsi="David"/>
          <w:sz w:val="24"/>
          <w:szCs w:val="24"/>
          <w:u w:val="single"/>
        </w:rPr>
        <w:t>12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קנס בסך </w:t>
      </w:r>
      <w:r>
        <w:rPr>
          <w:rFonts w:cs="David" w:ascii="David" w:hAnsi="David"/>
          <w:sz w:val="24"/>
          <w:szCs w:val="24"/>
        </w:rPr>
        <w:t>1,500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וכן הו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טל עליה צו </w:t>
      </w:r>
      <w:r>
        <w:rPr>
          <w:rFonts w:ascii="David" w:hAnsi="David" w:cs="David"/>
          <w:sz w:val="24"/>
          <w:sz w:val="24"/>
          <w:szCs w:val="24"/>
          <w:rtl w:val="true"/>
        </w:rPr>
        <w:t>מבחן למשך שנה אחת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ערעורה לבית המשפט המחוזי נדחה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hyperlink r:id="rId1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36268-01-13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בן שמעון ואח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22.05.14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גנב מבית החולים 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בו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עבד ציוד ומזון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עם אחר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כאשר סכום הגניבה היה </w:t>
      </w:r>
      <w:r>
        <w:rPr>
          <w:rFonts w:ascii="David" w:hAnsi="David" w:cs="David"/>
          <w:sz w:val="24"/>
          <w:sz w:val="24"/>
          <w:szCs w:val="24"/>
          <w:rtl w:val="true"/>
        </w:rPr>
        <w:t>בשווי של אלפי שקלים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המאשימה טענה שמתחם העונש ההולם נע בין מאסר על תנאי לבין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על הנאשם נגזרו </w:t>
      </w:r>
      <w:r>
        <w:rPr>
          <w:rFonts w:cs="David" w:ascii="David" w:hAnsi="David"/>
          <w:sz w:val="24"/>
          <w:szCs w:val="24"/>
          <w:u w:val="single"/>
        </w:rPr>
        <w:t>8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 מאסר על תנאי ו</w:t>
      </w:r>
      <w:r>
        <w:rPr>
          <w:rFonts w:cs="David" w:ascii="David" w:hAnsi="David"/>
          <w:sz w:val="24"/>
          <w:szCs w:val="24"/>
          <w:u w:val="single"/>
        </w:rPr>
        <w:t>200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שעות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שירות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לתועלת הציבור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hyperlink r:id="rId1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1576-02-18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לזמי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פורסם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בנבו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31.05.2018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המערער  גנב בצוותא מתכות מהמפעל 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בו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עבד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בתמורה קיבל המערער מ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אדם </w:t>
      </w:r>
      <w:r>
        <w:rPr>
          <w:rFonts w:ascii="David" w:hAnsi="David" w:cs="David"/>
          <w:sz w:val="24"/>
          <w:sz w:val="24"/>
          <w:szCs w:val="24"/>
          <w:rtl w:val="true"/>
        </w:rPr>
        <w:t>אחר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סך של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1000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משום כך הורשע בבית משפט השלום בעבירה של גניבה ממעביד לפי </w:t>
      </w:r>
      <w:hyperlink r:id="rId1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391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ונגזרו עליו ארבעה חודשי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200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שעות לתועלת הציבור והתחייבות כספית בסך של </w:t>
      </w:r>
      <w:r>
        <w:rPr>
          <w:rFonts w:cs="David" w:ascii="David" w:hAnsi="David"/>
          <w:sz w:val="24"/>
          <w:szCs w:val="24"/>
        </w:rPr>
        <w:t>3000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ערעורו לבית המשפט המחוזי התקבל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ובוטלה הרשעתו של המערער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וכפועל יוצא 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וטל </w:t>
      </w:r>
      <w:r>
        <w:rPr>
          <w:rFonts w:ascii="David" w:hAnsi="David" w:cs="David"/>
          <w:sz w:val="24"/>
          <w:sz w:val="24"/>
          <w:szCs w:val="24"/>
          <w:rtl w:val="true"/>
        </w:rPr>
        <w:t>עונש המאסר המותנה שנגזר עליו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ביחס לעונשים הנוספים שנגזרו על המערער נותרו כפי שקבע בית משפט השלום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למען השלמת התמונה אביא </w:t>
      </w:r>
      <w:r>
        <w:rPr>
          <w:rFonts w:ascii="David" w:hAnsi="David"/>
          <w:rtl w:val="true"/>
        </w:rPr>
        <w:t>גם דוגמאות מ</w:t>
      </w:r>
      <w:r>
        <w:rPr>
          <w:rFonts w:ascii="David" w:hAnsi="David"/>
          <w:rtl w:val="true"/>
        </w:rPr>
        <w:t>פסיק</w:t>
      </w:r>
      <w:r>
        <w:rPr>
          <w:rFonts w:ascii="David" w:hAnsi="David"/>
          <w:rtl w:val="true"/>
        </w:rPr>
        <w:t>תו</w:t>
      </w:r>
      <w:r>
        <w:rPr>
          <w:rFonts w:ascii="David" w:hAnsi="David"/>
          <w:rtl w:val="true"/>
        </w:rPr>
        <w:t xml:space="preserve"> של בית המשפט העליון בעבירה של גניבה על ידי עובד ממעבידו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</w:t>
      </w:r>
      <w:r>
        <w:rPr>
          <w:rFonts w:ascii="David" w:hAnsi="David"/>
          <w:rtl w:val="true"/>
        </w:rPr>
        <w:t xml:space="preserve">ערכו של הדבר שנגנב היה </w:t>
      </w:r>
      <w:r>
        <w:rPr>
          <w:rFonts w:ascii="David" w:hAnsi="David"/>
          <w:rtl w:val="true"/>
        </w:rPr>
        <w:t>של עשרות אלפי שקלים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בשונה מהמקרה שבפני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באותם פסקי דין שבהם הדבר שנגנב היה בעל ערך כספי של עשרות אלפי שקלים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שמתחם העונש ההולם מתחיל ממספר 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להלן הפסיקה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  <w:tab/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5471/15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לסטר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19.8.15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במקרה זה הסח</w:t>
      </w:r>
      <w:r>
        <w:rPr>
          <w:rFonts w:ascii="David" w:hAnsi="David"/>
          <w:rtl w:val="true"/>
        </w:rPr>
        <w:t xml:space="preserve">ורה שנגנבה </w:t>
      </w:r>
      <w:r>
        <w:rPr>
          <w:rFonts w:ascii="David" w:hAnsi="David"/>
          <w:rtl w:val="true"/>
        </w:rPr>
        <w:t xml:space="preserve">מהמעביד על ידי העובד </w:t>
      </w:r>
      <w:r>
        <w:rPr>
          <w:rFonts w:ascii="David" w:hAnsi="David"/>
          <w:rtl w:val="true"/>
        </w:rPr>
        <w:t xml:space="preserve">הייתה בשווי </w:t>
      </w:r>
      <w:r>
        <w:rPr>
          <w:rFonts w:cs="David" w:ascii="David" w:hAnsi="David"/>
        </w:rPr>
        <w:t>80,600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והוחזרה למעביד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היה נעדר עבר פלילי קודם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שמתחם העונש ההולם 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והשית על המבקש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שירוצו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המדינה ערערה על קולת העונש ובית המשפט המחוזי קיבל את הערעור והשית על המבקש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מאחורי סורג ובריח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שהגיש המבקש לבית המשפט העליון נדחתה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21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407/09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יאיר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16.4.09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המבקשת הורשעה בבית משפט השלום בעבירה של גניבה ממעביד ובעבירה של הוצאת שיק ללא כיסוי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כאן היה מדובר במי שגנבה מהמעביד כסף בסך של </w:t>
      </w:r>
      <w:r>
        <w:rPr>
          <w:rFonts w:cs="David" w:ascii="David" w:hAnsi="David"/>
        </w:rPr>
        <w:t>171,000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השית עליה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ערעורה של המבקשת לבית משפט המחוזי נדחתה וכן נדחתה בקשת רשות ערעור שהגישה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9866/17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19.12.17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המבקשת גנבה מהמעביד כספים שקיבלה עבורו מלקוחות בסך כולל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459,000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המבקשת החזירה את מלוא הסכום כשנתיים עובר למועד מתן גזר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השית עליה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מאחורי סורג ובריח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ערעורה לבית המשפט המחוזי נדחה וכן נדחתה בקשת רשות ערעור שהגישה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כן הנני קובע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מתחם העונש ההולם </w:t>
      </w:r>
      <w:r>
        <w:rPr>
          <w:rFonts w:ascii="David" w:hAnsi="David"/>
          <w:rtl w:val="true"/>
        </w:rPr>
        <w:t>לאירוע העברייני שבו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סכום הגניבה הוא </w:t>
      </w:r>
      <w:r>
        <w:rPr>
          <w:rFonts w:cs="David" w:ascii="David" w:hAnsi="David"/>
        </w:rPr>
        <w:t>1,300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ועוד שתי חפיסות סיגריות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 בין </w:t>
      </w:r>
      <w:r>
        <w:rPr>
          <w:rFonts w:ascii="David" w:hAnsi="David"/>
          <w:u w:val="single"/>
          <w:rtl w:val="true"/>
        </w:rPr>
        <w:t xml:space="preserve">מאסר על תנאי ועד </w:t>
      </w:r>
      <w:r>
        <w:rPr>
          <w:rFonts w:cs="David" w:ascii="David" w:hAnsi="David"/>
          <w:u w:val="single"/>
        </w:rPr>
        <w:t>10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בצירוף קנס ופיצוי למעסיק</w:t>
      </w:r>
      <w:r>
        <w:rPr>
          <w:rFonts w:cs="David" w:ascii="David" w:hAnsi="David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</w:t>
      </w:r>
      <w:r>
        <w:rPr>
          <w:rFonts w:ascii="David" w:hAnsi="David"/>
          <w:rtl w:val="true"/>
        </w:rPr>
        <w:t xml:space="preserve">בחשבון </w:t>
      </w:r>
      <w:r>
        <w:rPr>
          <w:rFonts w:ascii="David" w:hAnsi="David"/>
          <w:rtl w:val="true"/>
        </w:rPr>
        <w:t>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הודאתו של הנאשם בכתב האישום המתוקן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סכון בזמן שיפוטי ונסיבותיו האישיות של הנאשם כפי שפורט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בתסקיר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יובהר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למרות העובדה ש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נאשם </w:t>
      </w:r>
      <w:r>
        <w:rPr>
          <w:rFonts w:ascii="David" w:hAnsi="David"/>
          <w:rtl w:val="true"/>
        </w:rPr>
        <w:t xml:space="preserve">הוא בעל </w:t>
      </w:r>
      <w:r>
        <w:rPr>
          <w:rFonts w:ascii="David" w:hAnsi="David"/>
          <w:rtl w:val="true"/>
        </w:rPr>
        <w:t xml:space="preserve">עבר פלילי ואף ריצה </w:t>
      </w:r>
      <w:r>
        <w:rPr>
          <w:rFonts w:ascii="David" w:hAnsi="David"/>
          <w:rtl w:val="true"/>
        </w:rPr>
        <w:t xml:space="preserve">בעבר עונשי </w:t>
      </w:r>
      <w:r>
        <w:rPr>
          <w:rFonts w:ascii="David" w:hAnsi="David"/>
          <w:rtl w:val="true"/>
        </w:rPr>
        <w:t>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התרשמתי שסכום הגניבה 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1,300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ועוד שתי</w:t>
      </w:r>
      <w:r>
        <w:rPr>
          <w:rFonts w:ascii="David" w:hAnsi="David"/>
          <w:rtl w:val="true"/>
        </w:rPr>
        <w:t xml:space="preserve"> חפיסות </w:t>
      </w:r>
      <w:r>
        <w:rPr>
          <w:rFonts w:ascii="David" w:hAnsi="David"/>
          <w:rtl w:val="true"/>
        </w:rPr>
        <w:t>סי</w:t>
      </w:r>
      <w:r>
        <w:rPr>
          <w:rFonts w:ascii="David" w:hAnsi="David"/>
          <w:rtl w:val="true"/>
        </w:rPr>
        <w:t>גריות מצ</w:t>
      </w:r>
      <w:r>
        <w:rPr>
          <w:rFonts w:ascii="David" w:hAnsi="David"/>
          <w:rtl w:val="true"/>
        </w:rPr>
        <w:t>דיק</w:t>
      </w:r>
      <w:r>
        <w:rPr>
          <w:rFonts w:ascii="David" w:hAnsi="David"/>
          <w:rtl w:val="true"/>
        </w:rPr>
        <w:t xml:space="preserve"> השתת מאסר בפועל</w:t>
      </w:r>
      <w:r>
        <w:rPr>
          <w:rFonts w:ascii="David" w:hAnsi="David"/>
          <w:rtl w:val="true"/>
        </w:rPr>
        <w:t xml:space="preserve"> שירוצה בדרך של עבודות שירות כפי שטענה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יוזכר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סכום הגניבה היה פחות מאלף 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בכלל לא היה מדובר בעבירה של גניבה ממעביד שהיא עבירה מסוג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היה מדובר בעבירה רגילה של גניבה מסוג עוון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הפער הקטן והמצומצם בין סכום הגניבה בפועל לבין המינימום שנקבע על ידי המחוקק כדי שתתקיים העבירה של גניבה ממעביד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מטים את הכף לעבר המסקנה </w:t>
      </w:r>
      <w:r>
        <w:rPr>
          <w:rFonts w:ascii="David" w:hAnsi="David"/>
          <w:rtl w:val="true"/>
        </w:rPr>
        <w:t>שיש להסתפק במאסר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על אף העבודה שיש לנאשם עבר פלילי קודם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 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מהיום לא יבצע עבירת רכוש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מעט עבירה לפי </w:t>
      </w:r>
      <w:hyperlink r:id="rId21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ישלם פיצוי למעסיק על סך</w:t>
      </w:r>
      <w:r>
        <w:rPr>
          <w:rFonts w:ascii="David" w:hAnsi="David"/>
          <w:rtl w:val="true"/>
        </w:rPr>
        <w:t xml:space="preserve"> 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</w:rPr>
        <w:t>,</w:t>
      </w:r>
      <w:r>
        <w:rPr>
          <w:rFonts w:cs="David" w:ascii="David" w:hAnsi="David"/>
        </w:rPr>
        <w:t>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הפיצוי ישולם </w:t>
      </w:r>
      <w:r>
        <w:rPr>
          <w:rFonts w:ascii="David" w:hAnsi="David"/>
          <w:rtl w:val="true"/>
        </w:rPr>
        <w:t xml:space="preserve">בשני </w:t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</w:t>
      </w:r>
      <w:r>
        <w:rPr>
          <w:rFonts w:cs="David" w:ascii="David" w:hAnsi="David"/>
        </w:rPr>
        <w:t>1.12.2022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</w:t>
      </w:r>
      <w:r>
        <w:rPr>
          <w:rFonts w:ascii="David" w:hAnsi="David"/>
          <w:rtl w:val="true"/>
        </w:rPr>
        <w:t xml:space="preserve">תשלום השני עד ליום </w:t>
      </w:r>
      <w:r>
        <w:rPr>
          <w:rFonts w:cs="David" w:ascii="David" w:hAnsi="David"/>
        </w:rPr>
        <w:t>1.1.2023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היה והתשלום הראשון </w:t>
      </w:r>
      <w:r>
        <w:rPr>
          <w:rFonts w:ascii="David" w:hAnsi="David"/>
          <w:rtl w:val="true"/>
        </w:rPr>
        <w:t>לא ישולם במועד אזי יעמוד מלוא סכום הפיצוי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לפירעון מידי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תמסור למזכירות את פרטי המעסיק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ישלם קנס בסך</w:t>
      </w:r>
      <w:r>
        <w:rPr>
          <w:rFonts w:ascii="David" w:hAnsi="David"/>
          <w:rtl w:val="true"/>
        </w:rPr>
        <w:t xml:space="preserve"> 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,5</w:t>
      </w:r>
      <w:r>
        <w:rPr>
          <w:rFonts w:cs="David" w:ascii="David" w:hAnsi="David"/>
        </w:rPr>
        <w:t>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הקנס ישולם עד ליום </w:t>
      </w:r>
      <w:r>
        <w:rPr>
          <w:rFonts w:cs="David" w:ascii="David" w:hAnsi="David"/>
        </w:rPr>
        <w:t>1.</w:t>
      </w:r>
      <w:r>
        <w:rPr>
          <w:rFonts w:cs="David" w:ascii="David" w:hAnsi="David"/>
        </w:rPr>
        <w:t>2</w:t>
      </w:r>
      <w:r>
        <w:rPr>
          <w:rFonts w:cs="David" w:ascii="David" w:hAnsi="David"/>
        </w:rPr>
        <w:t>.2023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זכות ערעור תוך </w:t>
      </w:r>
      <w:r>
        <w:rPr>
          <w:rFonts w:cs="Arial" w:ascii="Arial" w:hAnsi="Arial"/>
          <w:b/>
          <w:bCs/>
          <w:sz w:val="26"/>
          <w:szCs w:val="26"/>
        </w:rPr>
        <w:t>45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ימים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תשרי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תפק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58432-10-17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כריס אלקלק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a" TargetMode="External"/><Relationship Id="rId4" Type="http://schemas.openxmlformats.org/officeDocument/2006/relationships/hyperlink" Target="http://www.nevo.co.il/law/70301/391" TargetMode="External"/><Relationship Id="rId5" Type="http://schemas.openxmlformats.org/officeDocument/2006/relationships/hyperlink" Target="http://www.nevo.co.il/law/70301/413" TargetMode="External"/><Relationship Id="rId6" Type="http://schemas.openxmlformats.org/officeDocument/2006/relationships/hyperlink" Target="http://www.nevo.co.il/law/70301/391" TargetMode="External"/><Relationship Id="rId7" Type="http://schemas.openxmlformats.org/officeDocument/2006/relationships/hyperlink" Target="http://www.nevo.co.il/law/70301/29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9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9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316699" TargetMode="External"/><Relationship Id="rId14" Type="http://schemas.openxmlformats.org/officeDocument/2006/relationships/hyperlink" Target="http://www.nevo.co.il/case/5427899" TargetMode="External"/><Relationship Id="rId15" Type="http://schemas.openxmlformats.org/officeDocument/2006/relationships/hyperlink" Target="http://www.nevo.co.il/case/23599561" TargetMode="External"/><Relationship Id="rId16" Type="http://schemas.openxmlformats.org/officeDocument/2006/relationships/hyperlink" Target="http://www.nevo.co.il/law/70301/39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0503323" TargetMode="External"/><Relationship Id="rId19" Type="http://schemas.openxmlformats.org/officeDocument/2006/relationships/hyperlink" Target="http://www.nevo.co.il/case/5699549" TargetMode="External"/><Relationship Id="rId20" Type="http://schemas.openxmlformats.org/officeDocument/2006/relationships/hyperlink" Target="http://www.nevo.co.il/case/23507388" TargetMode="External"/><Relationship Id="rId21" Type="http://schemas.openxmlformats.org/officeDocument/2006/relationships/hyperlink" Target="http://www.nevo.co.il/law/70301/413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2023-07-26T13:57:00Z</dcterms:created>
  <dc:creator> </dc:creator>
  <dc:description/>
  <cp:keywords/>
  <dc:language>en-IL</dc:language>
  <cp:lastModifiedBy>h1</cp:lastModifiedBy>
  <dcterms:modified xsi:type="dcterms:W3CDTF">2023-07-26T13:57:00Z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כריס אלקלק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316699;5427899;23599561;20503323;5699549;23507388</vt:lpwstr>
  </property>
  <property fmtid="{D5CDD505-2E9C-101B-9397-08002B2CF9AE}" pid="9" name="CITY">
    <vt:lpwstr>רמ'</vt:lpwstr>
  </property>
  <property fmtid="{D5CDD505-2E9C-101B-9397-08002B2CF9AE}" pid="10" name="DATE">
    <vt:lpwstr>20221002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70301/391:4;029.a;413</vt:lpwstr>
  </property>
  <property fmtid="{D5CDD505-2E9C-101B-9397-08002B2CF9AE}" pid="15" name="LAWYER">
    <vt:lpwstr>שיר זהבי;איתי רוזין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58432</vt:lpwstr>
  </property>
  <property fmtid="{D5CDD505-2E9C-101B-9397-08002B2CF9AE}" pid="22" name="NEWPARTB">
    <vt:lpwstr>10</vt:lpwstr>
  </property>
  <property fmtid="{D5CDD505-2E9C-101B-9397-08002B2CF9AE}" pid="23" name="NEWPARTC">
    <vt:lpwstr>17</vt:lpwstr>
  </property>
  <property fmtid="{D5CDD505-2E9C-101B-9397-08002B2CF9AE}" pid="24" name="NEWPROC">
    <vt:lpwstr>תפק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380020221002</vt:lpwstr>
  </property>
  <property fmtid="{D5CDD505-2E9C-101B-9397-08002B2CF9AE}" pid="34" name="TYPE_N_DATE">
    <vt:lpwstr>38020221002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