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 המשפט</w:t>
      </w:r>
      <w:r>
        <w:rPr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b/>
                <w:bCs/>
                <w:sz w:val="24"/>
              </w:rPr>
              <w:t>001002/07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 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יפה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ץ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 ו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 xml:space="preserve">מרוז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 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30/06/2008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237"/>
        <w:gridCol w:w="458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  <w:szCs w:val="26"/>
              </w:rPr>
            </w:pPr>
            <w:bookmarkStart w:id="2" w:name="FirstAppellant"/>
            <w:bookmarkEnd w:id="2"/>
            <w:r>
              <w:rPr>
                <w:rFonts w:cs="Arial"/>
                <w:rtl w:val="true"/>
              </w:rPr>
              <w:t>בעניין</w:t>
            </w:r>
            <w:r>
              <w:rPr>
                <w:rFonts w:cs="Arial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3" w:name="שם_א"/>
            <w:r>
              <w:rPr>
                <w:rFonts w:cs="Arial"/>
                <w:rtl w:val="true"/>
              </w:rPr>
              <w:t>מדינת 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6" w:name="בא_כוח_א"/>
            <w:r>
              <w:rPr>
                <w:rFonts w:cs="Arial"/>
                <w:rtl w:val="true"/>
              </w:rPr>
              <w:t>על ידי ב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כ עוה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 אלטמן וחלפון</w:t>
            </w:r>
            <w:r>
              <w:rPr>
                <w:rFonts w:cs="Arial"/>
                <w:rtl w:val="true"/>
              </w:rPr>
              <w:t xml:space="preserve">, </w:t>
            </w:r>
            <w:r>
              <w:rPr>
                <w:rFonts w:cs="Arial"/>
                <w:rtl w:val="true"/>
              </w:rPr>
              <w:t>פמ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center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  <w:p>
            <w:pPr>
              <w:pStyle w:val="Style10"/>
              <w:ind w:end="0"/>
              <w:jc w:val="center"/>
              <w:rPr>
                <w:rFonts w:cs="Arial"/>
              </w:rPr>
            </w:pPr>
            <w:r>
              <w:rPr>
                <w:rFonts w:cs="Arial"/>
                <w:rtl w:val="true"/>
              </w:rPr>
              <w:t>נ  ג  ד</w:t>
            </w:r>
          </w:p>
          <w:p>
            <w:pPr>
              <w:pStyle w:val="Style10"/>
              <w:ind w:end="0"/>
              <w:jc w:val="center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7" w:name="שם_ב"/>
            <w:r>
              <w:rPr>
                <w:rFonts w:cs="Arial"/>
                <w:rtl w:val="true"/>
              </w:rPr>
              <w:t>כפארנה עלאא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23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Arial"/>
                <w:szCs w:val="26"/>
              </w:rPr>
            </w:pPr>
            <w:r>
              <w:rPr>
                <w:rFonts w:cs="Arial"/>
                <w:szCs w:val="26"/>
                <w:rtl w:val="true"/>
              </w:rPr>
            </w:r>
          </w:p>
        </w:tc>
        <w:tc>
          <w:tcPr>
            <w:tcW w:w="4583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bookmarkStart w:id="8" w:name="בא_כוח_ב"/>
            <w:r>
              <w:rPr>
                <w:rFonts w:cs="Arial"/>
                <w:rtl w:val="true"/>
              </w:rPr>
              <w:t>על ידי ב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כ עו</w:t>
            </w:r>
            <w:r>
              <w:rPr>
                <w:rFonts w:cs="Arial"/>
                <w:rtl w:val="true"/>
              </w:rPr>
              <w:t>"</w:t>
            </w:r>
            <w:r>
              <w:rPr>
                <w:rFonts w:cs="Arial"/>
                <w:rtl w:val="true"/>
              </w:rPr>
              <w:t>ד ג</w:t>
            </w:r>
            <w:r>
              <w:rPr>
                <w:rFonts w:cs="Arial"/>
                <w:rtl w:val="true"/>
              </w:rPr>
              <w:t>'</w:t>
            </w:r>
            <w:r>
              <w:rPr>
                <w:rFonts w:cs="Arial"/>
                <w:rtl w:val="true"/>
              </w:rPr>
              <w:t>ברין רפיק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Arial"/>
              </w:rPr>
            </w:pPr>
            <w:r>
              <w:rPr>
                <w:rFonts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9" w:name="LawTable"/>
      <w:bookmarkStart w:id="10" w:name="LawTable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305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bookmarkStart w:id="13" w:name="PsakDin"/>
      <w:bookmarkEnd w:id="13"/>
      <w:r>
        <w:rPr>
          <w:u w:val="none"/>
          <w:rtl w:val="true"/>
        </w:rPr>
        <w:t>ג ז ר – ד י ן</w:t>
      </w:r>
    </w:p>
    <w:p>
      <w:pPr>
        <w:pStyle w:val="Normal"/>
        <w:ind w:end="0"/>
        <w:jc w:val="both"/>
        <w:rPr>
          <w:b/>
          <w:bCs/>
        </w:rPr>
      </w:pPr>
      <w:bookmarkStart w:id="14" w:name="PsakDin"/>
      <w:bookmarkEnd w:id="14"/>
      <w:r>
        <w:rPr>
          <w:b/>
          <w:b/>
          <w:bCs/>
          <w:rtl w:val="true"/>
        </w:rPr>
        <w:t>השופטת 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יפה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 הסדר טיעון שנערך בין הצדדים תוקן כתב האישום המקורי שהוגש כנגד הנאשם והוא הודה בעובדות שבכתב האישום המתוקן והורשע בהתאם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bookmarkStart w:id="15" w:name="ABSTRACT_START"/>
      <w:bookmarkEnd w:id="15"/>
      <w:r>
        <w:rPr>
          <w:rtl w:val="true"/>
        </w:rPr>
        <w:t>מעובדות האישום הראשון שבכתב האישום המתוקן בו הודה הנאשם עולה</w:t>
      </w:r>
      <w:r>
        <w:rPr>
          <w:rtl w:val="true"/>
        </w:rPr>
        <w:t xml:space="preserve">, </w:t>
      </w:r>
      <w:r>
        <w:rPr>
          <w:rtl w:val="true"/>
        </w:rPr>
        <w:t xml:space="preserve">כי במהלך חודש ספטמר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פנה אליו אדם בשם חאתם אל</w:t>
      </w:r>
      <w:r>
        <w:rPr>
          <w:rtl w:val="true"/>
        </w:rPr>
        <w:t>-</w:t>
      </w:r>
      <w:r>
        <w:rPr>
          <w:rtl w:val="true"/>
        </w:rPr>
        <w:t>אשקר והציע לו להצטרף אליו לנסיעה</w:t>
      </w:r>
      <w:r>
        <w:rPr>
          <w:rtl w:val="true"/>
        </w:rPr>
        <w:t xml:space="preserve">. </w:t>
      </w:r>
      <w:r>
        <w:rPr>
          <w:rtl w:val="true"/>
        </w:rPr>
        <w:t>הנאשם הסכים ונסע יחד עם חאתם לרח</w:t>
      </w:r>
      <w:r>
        <w:rPr>
          <w:rtl w:val="true"/>
        </w:rPr>
        <w:t xml:space="preserve">' </w:t>
      </w:r>
      <w:r>
        <w:rPr>
          <w:rtl w:val="true"/>
        </w:rPr>
        <w:t>אלקסר בג</w:t>
      </w:r>
      <w:r>
        <w:rPr>
          <w:rtl w:val="true"/>
        </w:rPr>
        <w:t>'</w:t>
      </w:r>
      <w:r>
        <w:rPr>
          <w:rtl w:val="true"/>
        </w:rPr>
        <w:t>בליה</w:t>
      </w:r>
      <w:r>
        <w:rPr>
          <w:rtl w:val="true"/>
        </w:rPr>
        <w:t xml:space="preserve">, </w:t>
      </w:r>
      <w:r>
        <w:rPr>
          <w:rtl w:val="true"/>
        </w:rPr>
        <w:t>ושם הם פגשו את מוחמד חילי ו</w:t>
      </w:r>
      <w:r>
        <w:rPr>
          <w:rtl w:val="true"/>
        </w:rPr>
        <w:t>-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 דריני</w:t>
      </w:r>
      <w:r>
        <w:rPr>
          <w:rtl w:val="true"/>
        </w:rPr>
        <w:t xml:space="preserve">. </w:t>
      </w:r>
      <w:r>
        <w:rPr>
          <w:rtl w:val="true"/>
        </w:rPr>
        <w:t>למקום הגיע גם נביל טמיס</w:t>
      </w:r>
      <w:r>
        <w:rPr>
          <w:rtl w:val="true"/>
        </w:rPr>
        <w:t xml:space="preserve">, </w:t>
      </w:r>
      <w:r>
        <w:rPr>
          <w:rtl w:val="true"/>
        </w:rPr>
        <w:t xml:space="preserve">שהוביל מטען חבלה שהכיל חומר נפץ במשקל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bookmarkStart w:id="16" w:name="ABSTRACT_END"/>
      <w:bookmarkEnd w:id="16"/>
      <w:r>
        <w:rPr>
          <w:rtl w:val="true"/>
        </w:rPr>
        <w:t>חבריו של הנאשם חפרו בור</w:t>
      </w:r>
      <w:r>
        <w:rPr>
          <w:rtl w:val="true"/>
        </w:rPr>
        <w:t xml:space="preserve">, </w:t>
      </w:r>
      <w:r>
        <w:rPr>
          <w:rtl w:val="true"/>
        </w:rPr>
        <w:t xml:space="preserve">הניחו את מטען החבלה ברחוב וחיברו למטען חוט הפעלה שאורכו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כולם המתינו במקום להגעה של 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ושותפיו של הנאשם אחזו בקצה חוט ההפעלה</w:t>
      </w:r>
      <w:r>
        <w:rPr>
          <w:rtl w:val="true"/>
        </w:rPr>
        <w:t xml:space="preserve">, </w:t>
      </w:r>
      <w:r>
        <w:rPr>
          <w:rtl w:val="true"/>
        </w:rPr>
        <w:t>כדי להפעיל את המטען</w:t>
      </w:r>
      <w:r>
        <w:rPr>
          <w:rtl w:val="true"/>
        </w:rPr>
        <w:t xml:space="preserve">. </w:t>
      </w:r>
      <w:r>
        <w:rPr>
          <w:rtl w:val="true"/>
        </w:rPr>
        <w:t>חיילי צה</w:t>
      </w:r>
      <w:r>
        <w:rPr>
          <w:rtl w:val="true"/>
        </w:rPr>
        <w:t>"</w:t>
      </w:r>
      <w:r>
        <w:rPr>
          <w:rtl w:val="true"/>
        </w:rPr>
        <w:t xml:space="preserve">ל לא הגיעו עד השעה </w:t>
      </w:r>
      <w:r>
        <w:rPr/>
        <w:t>4:00</w:t>
      </w:r>
      <w:r>
        <w:rPr>
          <w:rtl w:val="true"/>
        </w:rPr>
        <w:t xml:space="preserve">, </w:t>
      </w:r>
      <w:r>
        <w:rPr>
          <w:rtl w:val="true"/>
        </w:rPr>
        <w:t>ואז חבריו של הנאשם פירקו את המטען ועזבו את המקום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היות ובמעשיו אלה</w:t>
      </w:r>
      <w:r>
        <w:rPr>
          <w:rtl w:val="true"/>
        </w:rPr>
        <w:t xml:space="preserve">, </w:t>
      </w:r>
      <w:r>
        <w:rPr>
          <w:rtl w:val="true"/>
        </w:rPr>
        <w:t>סייע הנאשם לנסיון לרצוח חיילי צה</w:t>
      </w:r>
      <w:r>
        <w:rPr>
          <w:rtl w:val="true"/>
        </w:rPr>
        <w:t>"</w:t>
      </w:r>
      <w:r>
        <w:rPr>
          <w:rtl w:val="true"/>
        </w:rPr>
        <w:t>ל בכוונה לפגוע בבטחון המדינה</w:t>
      </w:r>
      <w:r>
        <w:rPr>
          <w:rtl w:val="true"/>
        </w:rPr>
        <w:t xml:space="preserve">, </w:t>
      </w:r>
      <w:r>
        <w:rPr>
          <w:rtl w:val="true"/>
        </w:rPr>
        <w:t xml:space="preserve">הוא הורשע בעבירה של סיוע לנסיון לרצח לפי </w:t>
      </w:r>
      <w:hyperlink r:id="rId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בצרוף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 הודה עוד</w:t>
      </w:r>
      <w:r>
        <w:rPr>
          <w:rtl w:val="true"/>
        </w:rPr>
        <w:t xml:space="preserve">, </w:t>
      </w:r>
      <w:r>
        <w:rPr>
          <w:rtl w:val="true"/>
        </w:rPr>
        <w:t>במסגרת האישום השני של כתב האישם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כי במועד כלשהו במהלך סוף שנת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בעיר עזה</w:t>
      </w:r>
      <w:r>
        <w:rPr>
          <w:rtl w:val="true"/>
        </w:rPr>
        <w:t xml:space="preserve">, </w:t>
      </w:r>
      <w:r>
        <w:rPr>
          <w:rtl w:val="true"/>
        </w:rPr>
        <w:t>פנה אליו חליל אבו דאהר וביקש ממנו להצטרף לנסיעה לעיר ג</w:t>
      </w:r>
      <w:r>
        <w:rPr>
          <w:rtl w:val="true"/>
        </w:rPr>
        <w:t>'</w:t>
      </w:r>
      <w:r>
        <w:rPr>
          <w:rtl w:val="true"/>
        </w:rPr>
        <w:t>בליה</w:t>
      </w:r>
      <w:r>
        <w:rPr>
          <w:rtl w:val="true"/>
        </w:rPr>
        <w:t xml:space="preserve">. </w:t>
      </w:r>
      <w:r>
        <w:rPr>
          <w:rtl w:val="true"/>
        </w:rPr>
        <w:t>הנאשם הסכים והצטרף לנסיעה</w:t>
      </w:r>
      <w:r>
        <w:rPr>
          <w:rtl w:val="true"/>
        </w:rPr>
        <w:t xml:space="preserve">, </w:t>
      </w:r>
      <w:r>
        <w:rPr>
          <w:rtl w:val="true"/>
        </w:rPr>
        <w:t>וכאשר השניים הגיעו לג</w:t>
      </w:r>
      <w:r>
        <w:rPr>
          <w:rtl w:val="true"/>
        </w:rPr>
        <w:t>'</w:t>
      </w:r>
      <w:r>
        <w:rPr>
          <w:rtl w:val="true"/>
        </w:rPr>
        <w:t>בליה</w:t>
      </w:r>
      <w:r>
        <w:rPr>
          <w:rtl w:val="true"/>
        </w:rPr>
        <w:t xml:space="preserve">, </w:t>
      </w:r>
      <w:r>
        <w:rPr>
          <w:rtl w:val="true"/>
        </w:rPr>
        <w:t>הם נפגשו עם אדם בשם מוחמד אלנוגר</w:t>
      </w:r>
      <w:r>
        <w:rPr>
          <w:rtl w:val="true"/>
        </w:rPr>
        <w:t xml:space="preserve">, </w:t>
      </w:r>
      <w:r>
        <w:rPr>
          <w:rtl w:val="true"/>
        </w:rPr>
        <w:t xml:space="preserve">אשר מסר לחליל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פצצות מרגמה ומרגמה</w:t>
      </w:r>
      <w:r>
        <w:rPr>
          <w:rtl w:val="true"/>
        </w:rPr>
        <w:t xml:space="preserve">. </w:t>
      </w:r>
      <w:r>
        <w:rPr>
          <w:rtl w:val="true"/>
        </w:rPr>
        <w:t>חליל הכניס את המרגמה והפצצות לתא המטען של מכוניתו</w:t>
      </w:r>
      <w:r>
        <w:rPr>
          <w:rtl w:val="true"/>
        </w:rPr>
        <w:t xml:space="preserve">, </w:t>
      </w:r>
      <w:r>
        <w:rPr>
          <w:rtl w:val="true"/>
        </w:rPr>
        <w:t>והשניים חזרו יחד לעיר עזה</w:t>
      </w:r>
      <w:r>
        <w:rPr>
          <w:rtl w:val="true"/>
        </w:rPr>
        <w:t xml:space="preserve">, </w:t>
      </w:r>
      <w:r>
        <w:rPr>
          <w:rtl w:val="true"/>
        </w:rPr>
        <w:t>כאשר במכונית הפצצות והמרגמה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היות ובמעשיו אלה</w:t>
      </w:r>
      <w:r>
        <w:rPr>
          <w:rtl w:val="true"/>
        </w:rPr>
        <w:t xml:space="preserve">, </w:t>
      </w:r>
      <w:r>
        <w:rPr>
          <w:rtl w:val="true"/>
        </w:rPr>
        <w:t>היה הנאשם שותף להובלת נשק שלא כדין</w:t>
      </w:r>
      <w:r>
        <w:rPr>
          <w:rtl w:val="true"/>
        </w:rPr>
        <w:t xml:space="preserve">, </w:t>
      </w:r>
      <w:r>
        <w:rPr>
          <w:rtl w:val="true"/>
        </w:rPr>
        <w:t>דבר שיש בו כדי לפגוע בבטחון המדינה</w:t>
      </w:r>
      <w:r>
        <w:rPr>
          <w:rtl w:val="true"/>
        </w:rPr>
        <w:t xml:space="preserve">, </w:t>
      </w:r>
      <w:r>
        <w:rPr>
          <w:rtl w:val="true"/>
        </w:rPr>
        <w:t xml:space="preserve">הוא הורשע בביצוע עבירות בנשק </w:t>
      </w:r>
      <w:r>
        <w:rPr>
          <w:rtl w:val="true"/>
        </w:rPr>
        <w:t>(</w:t>
      </w:r>
      <w:r>
        <w:rPr>
          <w:rtl w:val="true"/>
        </w:rPr>
        <w:t>הובלת נשק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 הטיעונים לעונש ציינה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כי הנאשם היה חלק מחוליית מפגעים לה העניק סיוע של ממש</w:t>
      </w:r>
      <w:r>
        <w:rPr>
          <w:rtl w:val="true"/>
        </w:rPr>
        <w:t xml:space="preserve">, </w:t>
      </w:r>
      <w:r>
        <w:rPr>
          <w:rtl w:val="true"/>
        </w:rPr>
        <w:t>עת יצא יחד עמם להניח מטען</w:t>
      </w:r>
      <w:r>
        <w:rPr>
          <w:rtl w:val="true"/>
        </w:rPr>
        <w:t xml:space="preserve">, </w:t>
      </w:r>
      <w:r>
        <w:rPr>
          <w:rtl w:val="true"/>
        </w:rPr>
        <w:t>אשר אמור היה לפגוע בחיילי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הנאשם נכח במקום בעת הטמנת המטען ובעת שחבריו חיברו את המטען לחוט ההפעלה</w:t>
      </w:r>
      <w:r>
        <w:rPr>
          <w:rtl w:val="true"/>
        </w:rPr>
        <w:t xml:space="preserve">. </w:t>
      </w:r>
      <w:r>
        <w:rPr>
          <w:rtl w:val="true"/>
        </w:rPr>
        <w:t>הוא המתין יחד עם החבורה להגעה של חיילי צה</w:t>
      </w:r>
      <w:r>
        <w:rPr>
          <w:rtl w:val="true"/>
        </w:rPr>
        <w:t>"</w:t>
      </w:r>
      <w:r>
        <w:rPr>
          <w:rtl w:val="true"/>
        </w:rPr>
        <w:t>ל לאזור כדי שהמטען יופעל וחזר עם החבורה</w:t>
      </w:r>
      <w:r>
        <w:rPr>
          <w:rtl w:val="true"/>
        </w:rPr>
        <w:t xml:space="preserve">, </w:t>
      </w:r>
      <w:r>
        <w:rPr>
          <w:rtl w:val="true"/>
        </w:rPr>
        <w:t>כאשר המטען עמם</w:t>
      </w:r>
      <w:r>
        <w:rPr>
          <w:rtl w:val="true"/>
        </w:rPr>
        <w:t xml:space="preserve">, </w:t>
      </w:r>
      <w:r>
        <w:rPr>
          <w:rtl w:val="true"/>
        </w:rPr>
        <w:t>לאחר שתוכניתם לא עלתה יפה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התובעת</w:t>
      </w:r>
      <w:r>
        <w:rPr>
          <w:rtl w:val="true"/>
        </w:rPr>
        <w:t xml:space="preserve">, </w:t>
      </w:r>
      <w:r>
        <w:rPr>
          <w:rtl w:val="true"/>
        </w:rPr>
        <w:t>הנחת מטענים רבי עוצמה טומנת בחובה סכנה אדירה לחיילי צה</w:t>
      </w:r>
      <w:r>
        <w:rPr>
          <w:rtl w:val="true"/>
        </w:rPr>
        <w:t>"</w:t>
      </w:r>
      <w:r>
        <w:rPr>
          <w:rtl w:val="true"/>
        </w:rPr>
        <w:t>ל הפועלים ברצועת עזה באופן יום יומי וחשופים לפגיעות של חוליות כמו זו לה סייע 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 טענה התובעת</w:t>
      </w:r>
      <w:r>
        <w:rPr>
          <w:rtl w:val="true"/>
        </w:rPr>
        <w:t xml:space="preserve">, </w:t>
      </w:r>
      <w:r>
        <w:rPr>
          <w:rtl w:val="true"/>
        </w:rPr>
        <w:t>לעניין האישום השני של כתב האישום המתוקן</w:t>
      </w:r>
      <w:r>
        <w:rPr>
          <w:rtl w:val="true"/>
        </w:rPr>
        <w:t xml:space="preserve">, </w:t>
      </w:r>
      <w:r>
        <w:rPr>
          <w:rtl w:val="true"/>
        </w:rPr>
        <w:t>כי החשש לפגיעה בחיי אדם כתוצאה מירי פצצות מרגמה הוא ממשי וכי מטרת היורים את הפצצות</w:t>
      </w:r>
      <w:r>
        <w:rPr>
          <w:rtl w:val="true"/>
        </w:rPr>
        <w:t xml:space="preserve">, </w:t>
      </w:r>
      <w:r>
        <w:rPr>
          <w:rtl w:val="true"/>
        </w:rPr>
        <w:t>היא לגרום חורבן והרס ולקטול חיי אדם רבים ככל הניתן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נוכח מעשיו אלה של הנאשם</w:t>
      </w:r>
      <w:r>
        <w:rPr>
          <w:rtl w:val="true"/>
        </w:rPr>
        <w:t xml:space="preserve">, </w:t>
      </w:r>
      <w:r>
        <w:rPr>
          <w:rtl w:val="true"/>
        </w:rPr>
        <w:t>ביקשה התובעת להטיל על הנאשם עונש מאסר בפועל ממושך ומאסר על תנאי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rFonts w:eastAsia="Arial"/>
        </w:rPr>
      </w:pPr>
      <w:r>
        <w:rPr>
          <w:rFonts w:eastAsia="Arial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ציין הסנגור 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ג</w:t>
      </w:r>
      <w:r>
        <w:rPr>
          <w:rtl w:val="true"/>
        </w:rPr>
        <w:t>'</w:t>
      </w:r>
      <w:r>
        <w:rPr>
          <w:rtl w:val="true"/>
        </w:rPr>
        <w:t>אברין</w:t>
      </w:r>
      <w:r>
        <w:rPr>
          <w:rtl w:val="true"/>
        </w:rPr>
        <w:t xml:space="preserve">, </w:t>
      </w:r>
      <w:r>
        <w:rPr>
          <w:rtl w:val="true"/>
        </w:rPr>
        <w:t>את העובדה שהנאשם אך היה נלווה למעשים נשוא שני האישומים בהם הודה</w:t>
      </w:r>
      <w:r>
        <w:rPr>
          <w:rtl w:val="true"/>
        </w:rPr>
        <w:t xml:space="preserve">. </w:t>
      </w:r>
      <w:r>
        <w:rPr>
          <w:rtl w:val="true"/>
        </w:rPr>
        <w:t>אשר לאישום הראשון טען</w:t>
      </w:r>
      <w:r>
        <w:rPr>
          <w:rtl w:val="true"/>
        </w:rPr>
        <w:t xml:space="preserve">, </w:t>
      </w:r>
      <w:r>
        <w:rPr>
          <w:rtl w:val="true"/>
        </w:rPr>
        <w:t>כי הנאשם</w:t>
      </w:r>
      <w:r>
        <w:rPr>
          <w:rtl w:val="true"/>
        </w:rPr>
        <w:t xml:space="preserve">, </w:t>
      </w:r>
      <w:r>
        <w:rPr>
          <w:rtl w:val="true"/>
        </w:rPr>
        <w:t>אשר עבד במסגרת השיטור בעזה</w:t>
      </w:r>
      <w:r>
        <w:rPr>
          <w:rtl w:val="true"/>
        </w:rPr>
        <w:t xml:space="preserve">, </w:t>
      </w:r>
      <w:r>
        <w:rPr>
          <w:rtl w:val="true"/>
        </w:rPr>
        <w:t>סבר תחילה</w:t>
      </w:r>
      <w:r>
        <w:rPr>
          <w:rtl w:val="true"/>
        </w:rPr>
        <w:t xml:space="preserve">, </w:t>
      </w:r>
      <w:r>
        <w:rPr>
          <w:rtl w:val="true"/>
        </w:rPr>
        <w:t>כי מדובר במשימת שיטור רגילה ועל כן הצטרף לנסיעה</w:t>
      </w:r>
      <w:r>
        <w:rPr>
          <w:rtl w:val="true"/>
        </w:rPr>
        <w:t xml:space="preserve">. </w:t>
      </w:r>
      <w:r>
        <w:rPr>
          <w:rtl w:val="true"/>
        </w:rPr>
        <w:t>רק לאחר מכן התברר לו במה באמת מדובר</w:t>
      </w:r>
      <w:r>
        <w:rPr>
          <w:rtl w:val="true"/>
        </w:rPr>
        <w:t xml:space="preserve">, </w:t>
      </w:r>
      <w:r>
        <w:rPr>
          <w:rtl w:val="true"/>
        </w:rPr>
        <w:t>כאשר הוא לא נטל חלק בפעילות אופרטיבית של ממש</w:t>
      </w:r>
      <w:r>
        <w:rPr>
          <w:rtl w:val="true"/>
        </w:rPr>
        <w:t xml:space="preserve">. </w:t>
      </w:r>
      <w:r>
        <w:rPr>
          <w:rtl w:val="true"/>
        </w:rPr>
        <w:t>הוא לא יזם את הטמנת המטען</w:t>
      </w:r>
      <w:r>
        <w:rPr>
          <w:rtl w:val="true"/>
        </w:rPr>
        <w:t xml:space="preserve">, </w:t>
      </w:r>
      <w:r>
        <w:rPr>
          <w:rtl w:val="true"/>
        </w:rPr>
        <w:t>הוא לא חפר את הבור בו הונח המטען</w:t>
      </w:r>
      <w:r>
        <w:rPr>
          <w:rtl w:val="true"/>
        </w:rPr>
        <w:t xml:space="preserve">, </w:t>
      </w:r>
      <w:r>
        <w:rPr>
          <w:rtl w:val="true"/>
        </w:rPr>
        <w:t>הוא לא חיבר את המטען לחוט ההפעלה וגם לא פירק את המטען לאחר שהתוכנית לא יצאה אל הפועל</w:t>
      </w:r>
      <w:r>
        <w:rPr>
          <w:rtl w:val="true"/>
        </w:rPr>
        <w:t xml:space="preserve">. </w:t>
      </w:r>
      <w:r>
        <w:rPr>
          <w:rtl w:val="true"/>
        </w:rPr>
        <w:t>סיועו של הנאשם התבטא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רק בעצם נוכחותו במקום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כך גם לגבי האישום השני</w:t>
      </w:r>
      <w:r>
        <w:rPr>
          <w:rtl w:val="true"/>
        </w:rPr>
        <w:t xml:space="preserve">. </w:t>
      </w:r>
      <w:r>
        <w:rPr>
          <w:rtl w:val="true"/>
        </w:rPr>
        <w:t>לטענת הסנגור</w:t>
      </w:r>
      <w:r>
        <w:rPr>
          <w:rtl w:val="true"/>
        </w:rPr>
        <w:t xml:space="preserve">, </w:t>
      </w:r>
      <w:r>
        <w:rPr>
          <w:rtl w:val="true"/>
        </w:rPr>
        <w:t>רק כאשר הנאשם הגיע עם אותו חליל לג</w:t>
      </w:r>
      <w:r>
        <w:rPr>
          <w:rtl w:val="true"/>
        </w:rPr>
        <w:t>'</w:t>
      </w:r>
      <w:r>
        <w:rPr>
          <w:rtl w:val="true"/>
        </w:rPr>
        <w:t>בליה</w:t>
      </w:r>
      <w:r>
        <w:rPr>
          <w:rtl w:val="true"/>
        </w:rPr>
        <w:t xml:space="preserve">, </w:t>
      </w:r>
      <w:r>
        <w:rPr>
          <w:rtl w:val="true"/>
        </w:rPr>
        <w:t>נודע לו</w:t>
      </w:r>
      <w:r>
        <w:rPr>
          <w:rtl w:val="true"/>
        </w:rPr>
        <w:t xml:space="preserve">, </w:t>
      </w:r>
      <w:r>
        <w:rPr>
          <w:rtl w:val="true"/>
        </w:rPr>
        <w:t>כי הוא הצטרף לנסיעה במהלכה יעביר חליל נשק מג</w:t>
      </w:r>
      <w:r>
        <w:rPr>
          <w:rtl w:val="true"/>
        </w:rPr>
        <w:t>'</w:t>
      </w:r>
      <w:r>
        <w:rPr>
          <w:rtl w:val="true"/>
        </w:rPr>
        <w:t>בליה לעזה</w:t>
      </w:r>
      <w:r>
        <w:rPr>
          <w:rtl w:val="true"/>
        </w:rPr>
        <w:t xml:space="preserve">. </w:t>
      </w:r>
      <w:r>
        <w:rPr>
          <w:rtl w:val="true"/>
        </w:rPr>
        <w:t>גם פה הנאשם לא תרם להובלת הנשק</w:t>
      </w:r>
      <w:r>
        <w:rPr>
          <w:rtl w:val="true"/>
        </w:rPr>
        <w:t xml:space="preserve">, </w:t>
      </w:r>
      <w:r>
        <w:rPr>
          <w:rtl w:val="true"/>
        </w:rPr>
        <w:t>לא היה הפעיל בהובלה וגם לא היוזם שלה</w:t>
      </w:r>
      <w:r>
        <w:rPr>
          <w:rtl w:val="true"/>
        </w:rPr>
        <w:t xml:space="preserve">. </w:t>
      </w:r>
      <w:r>
        <w:rPr>
          <w:rtl w:val="true"/>
        </w:rPr>
        <w:t>כל מה שעשה היה להיות נוכח בעת שחליל ביצע את המעשים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הדגיש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בעבירות משנת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היינו לפני תחילת האינתיפאדה השניה</w:t>
      </w:r>
      <w:r>
        <w:rPr>
          <w:rtl w:val="true"/>
        </w:rPr>
        <w:t xml:space="preserve">, </w:t>
      </w:r>
      <w:r>
        <w:rPr>
          <w:rtl w:val="true"/>
        </w:rPr>
        <w:t>עת הנאשם נטל חלק במשימות השיטור של הבטחון המסכל בעזה</w:t>
      </w:r>
      <w:r>
        <w:rPr>
          <w:rtl w:val="true"/>
        </w:rPr>
        <w:t xml:space="preserve">. 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לבטחון המסכל היה קשר עם מדינת ישראל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הוסיף וציין</w:t>
      </w:r>
      <w:r>
        <w:rPr>
          <w:rtl w:val="true"/>
        </w:rPr>
        <w:t xml:space="preserve">, </w:t>
      </w:r>
      <w:r>
        <w:rPr>
          <w:rtl w:val="true"/>
        </w:rPr>
        <w:t>כי הנאשם היה צעיר בעת שביצע את העבירות ונגרר אחרי המבוגרים ממנו</w:t>
      </w:r>
      <w:r>
        <w:rPr>
          <w:rtl w:val="true"/>
        </w:rPr>
        <w:t xml:space="preserve">. </w:t>
      </w:r>
      <w:r>
        <w:rPr>
          <w:rtl w:val="true"/>
        </w:rPr>
        <w:t>היות והוא לא משתייך לאף ארגון ואין לו מניע אידיאולוגי קנאי והיות וחסך מזמנו של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סבר הסנגור</w:t>
      </w:r>
      <w:r>
        <w:rPr>
          <w:rtl w:val="true"/>
        </w:rPr>
        <w:t xml:space="preserve">, </w:t>
      </w:r>
      <w:r>
        <w:rPr>
          <w:rtl w:val="true"/>
        </w:rPr>
        <w:t>כי ניתן להסתפק לגביו בענישה מתונה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שני הצדדים הגישו פסיקה</w:t>
      </w:r>
      <w:r>
        <w:rPr>
          <w:rtl w:val="true"/>
        </w:rPr>
        <w:t xml:space="preserve">, </w:t>
      </w:r>
      <w:r>
        <w:rPr>
          <w:rtl w:val="true"/>
        </w:rPr>
        <w:t>כל אחד מהם פסיקה התואמת את העמדה העונשית שביקש כי נאמץ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גם הנאשם פנה לביהמ</w:t>
      </w:r>
      <w:r>
        <w:rPr>
          <w:rtl w:val="true"/>
        </w:rPr>
        <w:t>"</w:t>
      </w:r>
      <w:r>
        <w:rPr>
          <w:rtl w:val="true"/>
        </w:rPr>
        <w:t>ש וסיפר כי הוא נשוי ואב לשני ילדים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אחרי תקופה  בה עבד ברשות הפלשתינאית הפסיק לעשות כן והחל לעבוד בעבודות מזדמנות</w:t>
      </w:r>
      <w:r>
        <w:rPr>
          <w:rtl w:val="true"/>
        </w:rPr>
        <w:t xml:space="preserve">, </w:t>
      </w:r>
      <w:r>
        <w:rPr>
          <w:rtl w:val="true"/>
        </w:rPr>
        <w:t>כולל ניקוי רחובות כדי לפרנס את משפחתו</w:t>
      </w:r>
      <w:r>
        <w:rPr>
          <w:rtl w:val="true"/>
        </w:rPr>
        <w:t>.</w:t>
      </w:r>
      <w:r>
        <w:rPr>
          <w:rtl w:val="true"/>
        </w:rPr>
        <w:t>הנאשם ציין</w:t>
      </w:r>
      <w:r>
        <w:rPr>
          <w:rtl w:val="true"/>
        </w:rPr>
        <w:t xml:space="preserve">, </w:t>
      </w:r>
      <w:r>
        <w:rPr>
          <w:rtl w:val="true"/>
        </w:rPr>
        <w:t>כי היה צעיר עת ביצע את המעשים נשוא כתב האישום והושפע מהמבוגרים עמם הלך</w:t>
      </w:r>
      <w:r>
        <w:rPr>
          <w:rtl w:val="true"/>
        </w:rPr>
        <w:t xml:space="preserve">. </w:t>
      </w:r>
      <w:r>
        <w:rPr>
          <w:rtl w:val="true"/>
        </w:rPr>
        <w:t>והוסיף</w:t>
      </w:r>
      <w:r>
        <w:rPr>
          <w:rtl w:val="true"/>
        </w:rPr>
        <w:t xml:space="preserve">: </w:t>
      </w:r>
    </w:p>
    <w:p>
      <w:pPr>
        <w:pStyle w:val="Normal"/>
        <w:spacing w:lineRule="auto" w:line="240"/>
        <w:ind w:start="1440" w:end="1276"/>
        <w:jc w:val="both"/>
        <w:rPr/>
      </w:pPr>
      <w:r>
        <w:rPr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למרות האינתיפאדה והמצבים שעברה עזה ומה שקיים בין הישראלים והפלשתינים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אני הקדשתי את מאמצי לגדל את ילדי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ולא עשיתי כלום נגד מדינת ישראל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אני מבקש סליחה ומתחרט על הכל</w:t>
      </w:r>
      <w:r>
        <w:rPr>
          <w:b/>
          <w:bCs/>
          <w:sz w:val="22"/>
          <w:szCs w:val="22"/>
          <w:rtl w:val="true"/>
        </w:rPr>
        <w:t>"</w:t>
      </w:r>
      <w:r>
        <w:rPr>
          <w:sz w:val="22"/>
          <w:szCs w:val="22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אין חולק</w:t>
      </w:r>
      <w:r>
        <w:rPr>
          <w:rtl w:val="true"/>
        </w:rPr>
        <w:t xml:space="preserve">, </w:t>
      </w:r>
      <w:r>
        <w:rPr>
          <w:rtl w:val="true"/>
        </w:rPr>
        <w:t>כי העבירות אותן עבר הנאשם חמורות ביותר ואין גם חולק</w:t>
      </w:r>
      <w:r>
        <w:rPr>
          <w:rtl w:val="true"/>
        </w:rPr>
        <w:t xml:space="preserve">, </w:t>
      </w:r>
      <w:r>
        <w:rPr>
          <w:rtl w:val="true"/>
        </w:rPr>
        <w:t>כי יש בהן פוטנציאל לפגיעה בבטחון המדינה</w:t>
      </w:r>
      <w:r>
        <w:rPr>
          <w:rtl w:val="true"/>
        </w:rPr>
        <w:t xml:space="preserve">. </w:t>
      </w:r>
      <w:r>
        <w:rPr>
          <w:rtl w:val="true"/>
        </w:rPr>
        <w:t>הנאשם נטל חלק בפעילות של חוליית מפגעים</w:t>
      </w:r>
      <w:r>
        <w:rPr>
          <w:rtl w:val="true"/>
        </w:rPr>
        <w:t xml:space="preserve">, </w:t>
      </w:r>
      <w:r>
        <w:rPr>
          <w:rtl w:val="true"/>
        </w:rPr>
        <w:t>וגם אם נוכחותו לצד המפגעים היתה פסיבית</w:t>
      </w:r>
      <w:r>
        <w:rPr>
          <w:rtl w:val="true"/>
        </w:rPr>
        <w:t xml:space="preserve">, </w:t>
      </w:r>
      <w:r>
        <w:rPr>
          <w:rtl w:val="true"/>
        </w:rPr>
        <w:t>הרי שלא יכולה להיות מחלוקת</w:t>
      </w:r>
      <w:r>
        <w:rPr>
          <w:rtl w:val="true"/>
        </w:rPr>
        <w:t xml:space="preserve">, </w:t>
      </w:r>
      <w:r>
        <w:rPr>
          <w:rtl w:val="true"/>
        </w:rPr>
        <w:t>כי בנוכחותו סייע הנאשם לאותם מפגעים וכי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tl w:val="true"/>
        </w:rPr>
        <w:t xml:space="preserve">, </w:t>
      </w:r>
      <w:r>
        <w:rPr>
          <w:rtl w:val="true"/>
        </w:rPr>
        <w:t>נוכחותו הייתה בעלת חשיבות</w:t>
      </w:r>
      <w:r>
        <w:rPr>
          <w:rtl w:val="true"/>
        </w:rPr>
        <w:t xml:space="preserve">, </w:t>
      </w:r>
      <w:r>
        <w:rPr>
          <w:rtl w:val="true"/>
        </w:rPr>
        <w:t>שכן אחרת לא היו משכנעים אותו להצטרף לפעילותם המסוכנת</w:t>
      </w:r>
      <w:r>
        <w:rPr>
          <w:rtl w:val="true"/>
        </w:rPr>
        <w:t xml:space="preserve">. </w:t>
      </w:r>
      <w:r>
        <w:rPr>
          <w:rtl w:val="true"/>
        </w:rPr>
        <w:t>כן לא יכולה להיות מחלוקת</w:t>
      </w:r>
      <w:r>
        <w:rPr>
          <w:rtl w:val="true"/>
        </w:rPr>
        <w:t xml:space="preserve">, </w:t>
      </w:r>
      <w:r>
        <w:rPr>
          <w:rtl w:val="true"/>
        </w:rPr>
        <w:t>כי הנאשם סייע לאותו חליל</w:t>
      </w:r>
      <w:r>
        <w:rPr>
          <w:rtl w:val="true"/>
        </w:rPr>
        <w:t xml:space="preserve">, </w:t>
      </w:r>
      <w:r>
        <w:rPr>
          <w:rtl w:val="true"/>
        </w:rPr>
        <w:t>נשוא האישום השני</w:t>
      </w:r>
      <w:r>
        <w:rPr>
          <w:rtl w:val="true"/>
        </w:rPr>
        <w:t xml:space="preserve">, </w:t>
      </w:r>
      <w:r>
        <w:rPr>
          <w:rtl w:val="true"/>
        </w:rPr>
        <w:t>להביא לעזה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בליה</w:t>
      </w:r>
      <w:r>
        <w:rPr>
          <w:rtl w:val="true"/>
        </w:rPr>
        <w:t xml:space="preserve">, </w:t>
      </w:r>
      <w:r>
        <w:rPr>
          <w:rtl w:val="true"/>
        </w:rPr>
        <w:t>פצצות מרגמה ומרגמה</w:t>
      </w:r>
      <w:r>
        <w:rPr>
          <w:rtl w:val="true"/>
        </w:rPr>
        <w:t xml:space="preserve">, </w:t>
      </w:r>
      <w:r>
        <w:rPr>
          <w:rtl w:val="true"/>
        </w:rPr>
        <w:t>שהיה בהם כדי לפגוע</w:t>
      </w:r>
      <w:r>
        <w:rPr>
          <w:rtl w:val="true"/>
        </w:rPr>
        <w:t xml:space="preserve">, </w:t>
      </w:r>
      <w:r>
        <w:rPr>
          <w:rtl w:val="true"/>
        </w:rPr>
        <w:t>לו נעשה בהם שימוש</w:t>
      </w:r>
      <w:r>
        <w:rPr>
          <w:rtl w:val="true"/>
        </w:rPr>
        <w:t xml:space="preserve">, </w:t>
      </w:r>
      <w:r>
        <w:rPr>
          <w:rtl w:val="true"/>
        </w:rPr>
        <w:t>בתושבי המדינה ובחייליה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המטען נשוא האישום הראשון לא גרם לכל נזק</w:t>
      </w:r>
      <w:r>
        <w:rPr>
          <w:rtl w:val="true"/>
        </w:rPr>
        <w:t xml:space="preserve">, </w:t>
      </w:r>
      <w:r>
        <w:rPr>
          <w:rtl w:val="true"/>
        </w:rPr>
        <w:t>אך לא היה זה עקב חרטתם של הנאשם וחבריו</w:t>
      </w:r>
      <w:r>
        <w:rPr>
          <w:rtl w:val="true"/>
        </w:rPr>
        <w:t xml:space="preserve">, </w:t>
      </w:r>
      <w:r>
        <w:rPr>
          <w:rtl w:val="true"/>
        </w:rPr>
        <w:t>אלא כיוון שחיילי צה</w:t>
      </w:r>
      <w:r>
        <w:rPr>
          <w:rtl w:val="true"/>
        </w:rPr>
        <w:t>"</w:t>
      </w:r>
      <w:r>
        <w:rPr>
          <w:rtl w:val="true"/>
        </w:rPr>
        <w:t>ל לא עברו במקום בו המתינו להם הנאשם וחבורתו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הנסיון לרצוח את חיילי צה</w:t>
      </w:r>
      <w:r>
        <w:rPr>
          <w:rtl w:val="true"/>
        </w:rPr>
        <w:t>"</w:t>
      </w:r>
      <w:r>
        <w:rPr>
          <w:rtl w:val="true"/>
        </w:rPr>
        <w:t>ל התגבש בארוע נשוא האישום הראשון  לפעילות של ממש</w:t>
      </w:r>
      <w:r>
        <w:rPr>
          <w:rtl w:val="true"/>
        </w:rPr>
        <w:t xml:space="preserve">, </w:t>
      </w:r>
      <w:r>
        <w:rPr>
          <w:rtl w:val="true"/>
        </w:rPr>
        <w:t>לאחר שחברי החוליה</w:t>
      </w:r>
      <w:r>
        <w:rPr>
          <w:rtl w:val="true"/>
        </w:rPr>
        <w:t xml:space="preserve">, </w:t>
      </w:r>
      <w:r>
        <w:rPr>
          <w:rtl w:val="true"/>
        </w:rPr>
        <w:t>אליהם הצטרף הנאשם</w:t>
      </w:r>
      <w:r>
        <w:rPr>
          <w:rtl w:val="true"/>
        </w:rPr>
        <w:t xml:space="preserve">, </w:t>
      </w:r>
      <w:r>
        <w:rPr>
          <w:rtl w:val="true"/>
        </w:rPr>
        <w:t>הטמינו את המטען רב העוצמה והמתינו להגעתם של החיילים</w:t>
      </w:r>
      <w:r>
        <w:rPr>
          <w:rtl w:val="true"/>
        </w:rPr>
        <w:t xml:space="preserve">. </w:t>
      </w:r>
      <w:r>
        <w:rPr>
          <w:rtl w:val="true"/>
        </w:rPr>
        <w:t>בנס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הסתיים הארוע בלא פגיעה בחיילי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 קבעה</w:t>
      </w:r>
      <w:r>
        <w:rPr>
          <w:rtl w:val="true"/>
        </w:rPr>
        <w:t xml:space="preserve">, </w:t>
      </w:r>
      <w:r>
        <w:rPr>
          <w:rtl w:val="true"/>
        </w:rPr>
        <w:t>כי המאבק בטרור מחייב ענישה מחמירה כלפי כל מי שנוטל חלק בשרשרת הטרור</w:t>
      </w:r>
      <w:r>
        <w:rPr>
          <w:rtl w:val="true"/>
        </w:rPr>
        <w:t xml:space="preserve">. </w:t>
      </w:r>
      <w:r>
        <w:rPr>
          <w:rtl w:val="true"/>
        </w:rPr>
        <w:t xml:space="preserve">כל רמה מרמות הפעילות של ארגוני הטרור מחייבת מענה משפטי הולם </w:t>
      </w:r>
      <w:r>
        <w:rPr>
          <w:rtl w:val="true"/>
        </w:rPr>
        <w:t>(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 xml:space="preserve">לעניין זה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1255/07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ויסאם קדאס</w:t>
      </w:r>
      <w:r>
        <w:rPr>
          <w:rtl w:val="true"/>
        </w:rPr>
        <w:t xml:space="preserve">, 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12/06/08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יש לקחת בחשבון את העובדה שהנאשם היה צעיר בעת שביצע את העבירות וכי אלה בוצעו לפני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 ובטרם התחלת האינתיפאדה השניה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 כל האמור לעיל ולאחר ששקלנו את כל הנימוקים אנו גוזרים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מאסר בפועל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מיום המעצר – היינו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5/11/06</w:t>
      </w:r>
      <w:r>
        <w:rPr>
          <w:rtl w:val="true"/>
        </w:rPr>
        <w:t xml:space="preserve"> </w:t>
      </w:r>
      <w:r>
        <w:rPr>
          <w:rtl w:val="true"/>
        </w:rPr>
        <w:t>ועד היום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שהנאשם לא יעבור כל עבירה מסוג פשע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 היום יג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ח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ביוני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 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54678313-1002/07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bidiVisual w:val="true"/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07"/>
        <w:gridCol w:w="493"/>
        <w:gridCol w:w="2103"/>
        <w:gridCol w:w="530"/>
        <w:gridCol w:w="2261"/>
      </w:tblGrid>
      <w:tr>
        <w:trPr/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יפה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מרוז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eastAsia="Arial"/>
                <w:b/>
                <w:bCs/>
                <w:rtl w:val="true"/>
              </w:rPr>
              <w:t xml:space="preserve">     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ואגו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001002/07</w:t>
      </w:r>
      <w:r>
        <w:rPr>
          <w:rtl w:val="true"/>
        </w:rPr>
        <w:t xml:space="preserve">פח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טובה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/Users/liorb/Downloads/study2025-p2/m07001002-315.doc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1002/07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כפארנה עלאא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Arial" w:hAnsi="Arial" w:eastAsia="Times New Roman" w:cs="Arial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DocumentMap">
    <w:name w:val="Document Map"/>
    <w:basedOn w:val="Normal"/>
    <w:qFormat/>
    <w:pPr>
      <w:shd w:fill="000080" w:val="clear"/>
      <w:ind w:hanging="0" w:start="0" w:end="0"/>
      <w:jc w:val="both"/>
    </w:pPr>
    <w:rPr>
      <w:rFonts w:ascii="Tahoma" w:hAnsi="Tahoma" w:cs="Tahoma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2016-10-13T15:06:00Z</dcterms:created>
  <dc:creator> </dc:creator>
  <dc:description/>
  <cp:keywords/>
  <dc:language>en-IL</dc:language>
  <cp:lastModifiedBy>run</cp:lastModifiedBy>
  <dcterms:modified xsi:type="dcterms:W3CDTF">2016-10-13T15:06:00Z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כפארנה עלאא</vt:lpwstr>
  </property>
  <property fmtid="{D5CDD505-2E9C-101B-9397-08002B2CF9AE}" pid="4" name="CASENOTES1">
    <vt:lpwstr>ProcID=133;209&amp;PartA=1255&amp;PartC=07</vt:lpwstr>
  </property>
  <property fmtid="{D5CDD505-2E9C-101B-9397-08002B2CF9AE}" pid="5" name="CITY">
    <vt:lpwstr>ב"ש</vt:lpwstr>
  </property>
  <property fmtid="{D5CDD505-2E9C-101B-9397-08002B2CF9AE}" pid="6" name="DATE">
    <vt:lpwstr>20080630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יפה כ#ץ;ו. מרוז;א. ואגו</vt:lpwstr>
  </property>
  <property fmtid="{D5CDD505-2E9C-101B-9397-08002B2CF9AE}" pid="10" name="LAWLISTTMP1">
    <vt:lpwstr>70301/305.1;031;144.b</vt:lpwstr>
  </property>
  <property fmtid="{D5CDD505-2E9C-101B-9397-08002B2CF9AE}" pid="11" name="LAWYER">
    <vt:lpwstr>אלטמן וחלפון;ג'ברין רפיק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1002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390020080630</vt:lpwstr>
  </property>
  <property fmtid="{D5CDD505-2E9C-101B-9397-08002B2CF9AE}" pid="37" name="TYPE_N_DATE">
    <vt:lpwstr>39020080630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