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 המשפט</w:t>
      </w:r>
      <w:r>
        <w:rPr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b/>
                <w:bCs/>
                <w:sz w:val="24"/>
              </w:rPr>
              <w:t>001011/08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30/03/2009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rtl w:val="true"/>
              </w:rPr>
              <w:t>בעניין</w:t>
            </w:r>
            <w:r>
              <w:rPr>
                <w:rFonts w:cs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2" w:name="שם_א"/>
            <w:r>
              <w:rPr>
                <w:rFonts w:cs="Arial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7" w:name="בא_כוח_א"/>
            <w:r>
              <w:rPr>
                <w:rFonts w:cs="Arial"/>
                <w:rtl w:val="true"/>
              </w:rPr>
              <w:t>ע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מורן גז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8" w:name="שם_ב"/>
            <w:r>
              <w:rPr>
                <w:rFonts w:cs="Arial"/>
                <w:rtl w:val="true"/>
              </w:rPr>
              <w:t>סחלה מהנד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9" w:name="בא_כוח_ב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עלאדין עדנאן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0" w:name="סוג_מסמך"/>
      <w:r>
        <w:rPr>
          <w:u w:val="none"/>
          <w:rtl w:val="true"/>
        </w:rPr>
        <w:t>ג ז ר – ד י ן</w:t>
      </w:r>
      <w:bookmarkEnd w:id="10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השופטת 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: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שנערך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המקורי שהוגש כנגד הנאשם</w:t>
      </w:r>
      <w:r>
        <w:rPr>
          <w:rtl w:val="true"/>
        </w:rPr>
        <w:t xml:space="preserve">, </w:t>
      </w:r>
      <w:r>
        <w:rPr>
          <w:rtl w:val="true"/>
        </w:rPr>
        <w:t>הנאשם הודה בעובדות שבכתב האישום המתוקן והורשע בהתאם</w:t>
      </w:r>
      <w:r>
        <w:rPr>
          <w:rtl w:val="true"/>
        </w:rPr>
        <w:t>.</w:t>
      </w:r>
      <w:bookmarkStart w:id="11" w:name="LawTable"/>
      <w:bookmarkEnd w:id="11"/>
    </w:p>
    <w:p>
      <w:pPr>
        <w:pStyle w:val="BodyTextInden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BodyTextInden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BodyTextInden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sz w:val="24"/>
          </w:rPr>
          <w:t>1945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85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BodyTextInden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</w:rPr>
          <w:t>143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BodyTextInden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BodyTextIndent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Fonts w:eastAsia="Arial"/>
          <w:rtl w:val="true"/>
        </w:rPr>
        <w:t xml:space="preserve">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bookmarkStart w:id="14" w:name="PsakDin"/>
      <w:bookmarkStart w:id="15" w:name="ABSTRACT_START"/>
      <w:bookmarkEnd w:id="15"/>
      <w:r>
        <w:rPr>
          <w:rtl w:val="true"/>
        </w:rPr>
        <w:t>בהתאם לעובדות שבכתב האישום המתוקן בהן הודה הנאשם עולה</w:t>
      </w:r>
      <w:r>
        <w:rPr>
          <w:rtl w:val="true"/>
        </w:rPr>
        <w:t xml:space="preserve">, </w:t>
      </w:r>
      <w:r>
        <w:rPr>
          <w:rtl w:val="true"/>
        </w:rPr>
        <w:t xml:space="preserve">כי סמוך לחודש ינואר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הצטרף הנאשם 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ארגון שהוכרז כארגון טרוריסטי בתאריך </w:t>
      </w:r>
      <w:r>
        <w:rPr/>
        <w:t>22/6/89</w:t>
      </w:r>
      <w:r>
        <w:rPr>
          <w:rtl w:val="true"/>
        </w:rPr>
        <w:t xml:space="preserve"> </w:t>
      </w:r>
      <w:r>
        <w:rPr>
          <w:rtl w:val="true"/>
        </w:rPr>
        <w:t xml:space="preserve">על ידי ממשלת ישראל וכן הוכרז כהתאחדות בלתי מותרת בתאריך </w:t>
      </w:r>
      <w:r>
        <w:rPr/>
        <w:t>15/9/89</w:t>
      </w:r>
      <w:r>
        <w:rPr>
          <w:rtl w:val="true"/>
        </w:rPr>
        <w:t xml:space="preserve"> </w:t>
      </w:r>
      <w:r>
        <w:rPr>
          <w:rtl w:val="true"/>
        </w:rPr>
        <w:t>על ידי שר הבטחון</w:t>
      </w:r>
      <w:r>
        <w:rPr>
          <w:rtl w:val="true"/>
        </w:rPr>
        <w:t xml:space="preserve">. </w:t>
      </w:r>
      <w:r>
        <w:rPr>
          <w:rtl w:val="true"/>
        </w:rPr>
        <w:t>הנאשם הצטרף לאוסרת שבחמא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במסגד </w:t>
      </w:r>
      <w:r>
        <w:rPr>
          <w:rtl w:val="true"/>
        </w:rPr>
        <w:t>"</w:t>
      </w:r>
      <w:r>
        <w:rPr>
          <w:rtl w:val="true"/>
        </w:rPr>
        <w:t>אבו אל</w:t>
      </w:r>
      <w:r>
        <w:rPr>
          <w:rtl w:val="true"/>
        </w:rPr>
        <w:t>-</w:t>
      </w:r>
      <w:r>
        <w:rPr>
          <w:rtl w:val="true"/>
        </w:rPr>
        <w:t>חיר</w:t>
      </w:r>
      <w:r>
        <w:rPr>
          <w:rtl w:val="true"/>
        </w:rPr>
        <w:t xml:space="preserve">", </w:t>
      </w:r>
      <w:r>
        <w:rPr>
          <w:rtl w:val="true"/>
        </w:rPr>
        <w:t>שאחראי עליה היה פאיק רמאדן מחמד אלנאעוק</w:t>
      </w:r>
      <w:r>
        <w:rPr>
          <w:rtl w:val="true"/>
        </w:rPr>
        <w:t xml:space="preserve">, </w:t>
      </w:r>
      <w:r>
        <w:rPr>
          <w:rtl w:val="true"/>
        </w:rPr>
        <w:t>פעיל חמא</w:t>
      </w:r>
      <w:r>
        <w:rPr>
          <w:rtl w:val="true"/>
        </w:rPr>
        <w:t>"</w:t>
      </w:r>
      <w:r>
        <w:rPr>
          <w:rtl w:val="true"/>
        </w:rPr>
        <w:t>ס מג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. </w:t>
      </w:r>
      <w:bookmarkStart w:id="16" w:name="ABSTRACT_END"/>
      <w:bookmarkEnd w:id="14"/>
      <w:bookmarkEnd w:id="16"/>
      <w:r>
        <w:rPr>
          <w:rtl w:val="true"/>
        </w:rPr>
        <w:t>במסגרת האוסרה</w:t>
      </w:r>
      <w:r>
        <w:rPr>
          <w:rtl w:val="true"/>
        </w:rPr>
        <w:t xml:space="preserve">, </w:t>
      </w:r>
      <w:r>
        <w:rPr>
          <w:rtl w:val="true"/>
        </w:rPr>
        <w:t>השתתף הנאשם</w:t>
      </w:r>
      <w:r>
        <w:rPr>
          <w:rtl w:val="true"/>
        </w:rPr>
        <w:t xml:space="preserve">, </w:t>
      </w:r>
      <w:r>
        <w:rPr>
          <w:rtl w:val="true"/>
        </w:rPr>
        <w:t>לאורך תקופה של כחודשיים</w:t>
      </w:r>
      <w:r>
        <w:rPr>
          <w:rtl w:val="true"/>
        </w:rPr>
        <w:t xml:space="preserve">, </w:t>
      </w:r>
      <w:r>
        <w:rPr>
          <w:rtl w:val="true"/>
        </w:rPr>
        <w:t>בלימודי  דת וקוראן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סמוך לחודשים יולי – אוגוסט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פגש הנאשם בסמיח מחמד אלנאעוק</w:t>
      </w:r>
      <w:r>
        <w:rPr>
          <w:rtl w:val="true"/>
        </w:rPr>
        <w:t xml:space="preserve">, </w:t>
      </w:r>
      <w:r>
        <w:rPr>
          <w:rtl w:val="true"/>
        </w:rPr>
        <w:t>אשר הציע לנאשם להצטרף כחבר בגדודי עז א</w:t>
      </w:r>
      <w:r>
        <w:rPr>
          <w:rtl w:val="true"/>
        </w:rPr>
        <w:t>-</w:t>
      </w:r>
      <w:r>
        <w:rPr>
          <w:rtl w:val="true"/>
        </w:rPr>
        <w:t>דין אלקסאם</w:t>
      </w:r>
      <w:r>
        <w:rPr>
          <w:rtl w:val="true"/>
        </w:rPr>
        <w:t xml:space="preserve">, </w:t>
      </w:r>
      <w:r>
        <w:rPr>
          <w:rtl w:val="true"/>
        </w:rPr>
        <w:t>שהם פלג של החמא</w:t>
      </w:r>
      <w:r>
        <w:rPr>
          <w:rtl w:val="true"/>
        </w:rPr>
        <w:t>"</w:t>
      </w:r>
      <w:r>
        <w:rPr>
          <w:rtl w:val="true"/>
        </w:rPr>
        <w:t>ס ומהווים זרוע צבאית שלו</w:t>
      </w:r>
      <w:r>
        <w:rPr>
          <w:rtl w:val="true"/>
        </w:rPr>
        <w:t xml:space="preserve">. </w:t>
      </w:r>
      <w:r>
        <w:rPr>
          <w:rtl w:val="true"/>
        </w:rPr>
        <w:t>הנאשם הסכים</w:t>
      </w:r>
      <w:r>
        <w:rPr>
          <w:rtl w:val="true"/>
        </w:rPr>
        <w:t xml:space="preserve">, </w:t>
      </w:r>
      <w:r>
        <w:rPr>
          <w:rtl w:val="true"/>
        </w:rPr>
        <w:t>וכעשרה ימים לאחר מכן הודיע סמיח לנאשם</w:t>
      </w:r>
      <w:r>
        <w:rPr>
          <w:rtl w:val="true"/>
        </w:rPr>
        <w:t xml:space="preserve">, </w:t>
      </w:r>
      <w:r>
        <w:rPr>
          <w:rtl w:val="true"/>
        </w:rPr>
        <w:t xml:space="preserve">כי עליו להצטרף לשמירה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tl w:val="true"/>
        </w:rPr>
        <w:t xml:space="preserve">במוצב </w:t>
      </w:r>
      <w:r>
        <w:rPr>
          <w:rtl w:val="true"/>
        </w:rPr>
        <w:t>"</w:t>
      </w:r>
      <w:r>
        <w:rPr>
          <w:rtl w:val="true"/>
        </w:rPr>
        <w:t>זימו</w:t>
      </w:r>
      <w:r>
        <w:rPr>
          <w:rtl w:val="true"/>
        </w:rPr>
        <w:t xml:space="preserve">" </w:t>
      </w:r>
      <w:r>
        <w:rPr>
          <w:rtl w:val="true"/>
        </w:rPr>
        <w:t>באזור 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, </w:t>
      </w:r>
      <w:r>
        <w:rPr>
          <w:rtl w:val="true"/>
        </w:rPr>
        <w:t>נגד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משימה המתוכננת לעוד יומיים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יומיים לאחר מכן</w:t>
      </w:r>
      <w:r>
        <w:rPr>
          <w:rtl w:val="true"/>
        </w:rPr>
        <w:t xml:space="preserve">, </w:t>
      </w:r>
      <w:r>
        <w:rPr>
          <w:rtl w:val="true"/>
        </w:rPr>
        <w:t>התקשר סמיח שוב אל הנאשם ומסר לו</w:t>
      </w:r>
      <w:r>
        <w:rPr>
          <w:rtl w:val="true"/>
        </w:rPr>
        <w:t xml:space="preserve">, </w:t>
      </w:r>
      <w:r>
        <w:rPr>
          <w:rtl w:val="true"/>
        </w:rPr>
        <w:t>כי חבריו לשמירה ממתינים לו במוצב</w:t>
      </w:r>
      <w:r>
        <w:rPr>
          <w:rtl w:val="true"/>
        </w:rPr>
        <w:t xml:space="preserve">. </w:t>
      </w:r>
      <w:r>
        <w:rPr>
          <w:rtl w:val="true"/>
        </w:rPr>
        <w:t>הנאשם הגיע למוצב ופגש שם מספר פעילים של גדודי עז א</w:t>
      </w:r>
      <w:r>
        <w:rPr>
          <w:rtl w:val="true"/>
        </w:rPr>
        <w:t>-</w:t>
      </w:r>
      <w:r>
        <w:rPr>
          <w:rtl w:val="true"/>
        </w:rPr>
        <w:t>דין אלקסאם</w:t>
      </w:r>
      <w:r>
        <w:rPr>
          <w:rtl w:val="true"/>
        </w:rPr>
        <w:t xml:space="preserve">, </w:t>
      </w:r>
      <w:r>
        <w:rPr>
          <w:rtl w:val="true"/>
        </w:rPr>
        <w:t>כאשר ביניהם היה גם מסעוד עותמאן אלעאבד</w:t>
      </w:r>
      <w:r>
        <w:rPr>
          <w:rtl w:val="true"/>
        </w:rPr>
        <w:t xml:space="preserve">, </w:t>
      </w:r>
      <w:r>
        <w:rPr>
          <w:rtl w:val="true"/>
        </w:rPr>
        <w:t>שהיה אחראי על המוצב</w:t>
      </w:r>
      <w:r>
        <w:rPr>
          <w:rtl w:val="true"/>
        </w:rPr>
        <w:t xml:space="preserve">, </w:t>
      </w:r>
      <w:r>
        <w:rPr>
          <w:rtl w:val="true"/>
        </w:rPr>
        <w:t>וכן נאהד פרח</w:t>
      </w:r>
      <w:r>
        <w:rPr>
          <w:rtl w:val="true"/>
        </w:rPr>
        <w:t xml:space="preserve">, </w:t>
      </w:r>
      <w:r>
        <w:rPr>
          <w:rtl w:val="true"/>
        </w:rPr>
        <w:t>איעד עיד ו</w:t>
      </w:r>
      <w:r>
        <w:rPr>
          <w:rtl w:val="true"/>
        </w:rPr>
        <w:t>-</w:t>
      </w:r>
      <w:r>
        <w:rPr>
          <w:rtl w:val="true"/>
        </w:rPr>
        <w:t>מחמד עבדאלסלאם</w:t>
      </w:r>
      <w:r>
        <w:rPr>
          <w:rtl w:val="true"/>
        </w:rPr>
        <w:t xml:space="preserve">. </w:t>
      </w:r>
      <w:r>
        <w:rPr>
          <w:rtl w:val="true"/>
        </w:rPr>
        <w:t>הפעילים נשאו על גופם אפוד והיו חמושים כל אחד ברובה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מטול יאסין ושלושה רימוני יד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 לקח חלק בפעילות השמירות המתוארת לעיל</w:t>
      </w:r>
      <w:r>
        <w:rPr>
          <w:rtl w:val="true"/>
        </w:rPr>
        <w:t xml:space="preserve">, </w:t>
      </w:r>
      <w:r>
        <w:rPr>
          <w:rtl w:val="true"/>
        </w:rPr>
        <w:t>יום בשבוע</w:t>
      </w:r>
      <w:r>
        <w:rPr>
          <w:rtl w:val="true"/>
        </w:rPr>
        <w:t xml:space="preserve">, </w:t>
      </w:r>
      <w:r>
        <w:rPr>
          <w:rtl w:val="true"/>
        </w:rPr>
        <w:t>במשך כארבעה חודשים</w:t>
      </w:r>
      <w:r>
        <w:rPr>
          <w:rtl w:val="true"/>
        </w:rPr>
        <w:t xml:space="preserve">, </w:t>
      </w:r>
      <w:r>
        <w:rPr>
          <w:rtl w:val="true"/>
        </w:rPr>
        <w:t>כאשר במהלך השמירות</w:t>
      </w:r>
      <w:r>
        <w:rPr>
          <w:rtl w:val="true"/>
        </w:rPr>
        <w:t xml:space="preserve">, </w:t>
      </w:r>
      <w:r>
        <w:rPr>
          <w:rtl w:val="true"/>
        </w:rPr>
        <w:t>היה חמוש ברובה קלצ</w:t>
      </w:r>
      <w:r>
        <w:rPr>
          <w:rtl w:val="true"/>
        </w:rPr>
        <w:t>'</w:t>
      </w:r>
      <w:r>
        <w:rPr>
          <w:rtl w:val="true"/>
        </w:rPr>
        <w:t>ניקוב ובאמל</w:t>
      </w:r>
      <w:r>
        <w:rPr>
          <w:rtl w:val="true"/>
        </w:rPr>
        <w:t>"</w:t>
      </w:r>
      <w:r>
        <w:rPr>
          <w:rtl w:val="true"/>
        </w:rPr>
        <w:t>ח נוסף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היות ובמעשיו אלה הצטרף הנאשם כחבר להתאחדות בלתי מותרת</w:t>
      </w:r>
      <w:r>
        <w:rPr>
          <w:rtl w:val="true"/>
        </w:rPr>
        <w:t xml:space="preserve">, </w:t>
      </w:r>
      <w:r>
        <w:rPr>
          <w:rtl w:val="true"/>
        </w:rPr>
        <w:t>הוא פעל בה ונשא או הוביל נשק בלא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בעבירות של חברות ופעילות בהתאחדות בלתי מותרת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תקנות ההגנה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שעת חרום</w:t>
      </w:r>
      <w:r>
        <w:rPr>
          <w:rtl w:val="true"/>
        </w:rPr>
        <w:t xml:space="preserve">), </w:t>
      </w:r>
      <w:r>
        <w:rPr/>
        <w:t>1945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 xml:space="preserve">עבירות 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 האישום השני שבכתב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הודה הנאשם</w:t>
      </w:r>
      <w:r>
        <w:rPr>
          <w:rtl w:val="true"/>
        </w:rPr>
        <w:t xml:space="preserve">, </w:t>
      </w:r>
      <w:r>
        <w:rPr>
          <w:rtl w:val="true"/>
        </w:rPr>
        <w:t>כי כארבעה חודשים לאחר גיוסו לגדודי עז א</w:t>
      </w:r>
      <w:r>
        <w:rPr>
          <w:rtl w:val="true"/>
        </w:rPr>
        <w:t>-</w:t>
      </w:r>
      <w:r>
        <w:rPr>
          <w:rtl w:val="true"/>
        </w:rPr>
        <w:t xml:space="preserve">דין אלקסאם הוא עבר אימונים צבאיים מטעם גדודים אלה במשך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יום יחד עם 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פעילי גדודים נוספים</w:t>
      </w:r>
      <w:r>
        <w:rPr>
          <w:rtl w:val="true"/>
        </w:rPr>
        <w:t xml:space="preserve">. </w:t>
      </w:r>
      <w:r>
        <w:rPr>
          <w:rtl w:val="true"/>
        </w:rPr>
        <w:t>במסגרת האימון</w:t>
      </w:r>
      <w:r>
        <w:rPr>
          <w:rtl w:val="true"/>
        </w:rPr>
        <w:t xml:space="preserve">, </w:t>
      </w:r>
      <w:r>
        <w:rPr>
          <w:rtl w:val="true"/>
        </w:rPr>
        <w:t>עבר הנאשם הדרכה ואימונים בפירוק והרכבה של רובה קלצ</w:t>
      </w:r>
      <w:r>
        <w:rPr>
          <w:rtl w:val="true"/>
        </w:rPr>
        <w:t>'</w:t>
      </w:r>
      <w:r>
        <w:rPr>
          <w:rtl w:val="true"/>
        </w:rPr>
        <w:t>ניקוב וכן הפעלת אמל</w:t>
      </w:r>
      <w:r>
        <w:rPr>
          <w:rtl w:val="true"/>
        </w:rPr>
        <w:t>"</w:t>
      </w:r>
      <w:r>
        <w:rPr>
          <w:rtl w:val="true"/>
        </w:rPr>
        <w:t>ח מסוגים שונים</w:t>
      </w:r>
      <w:r>
        <w:rPr>
          <w:rtl w:val="true"/>
        </w:rPr>
        <w:t xml:space="preserve">, </w:t>
      </w:r>
      <w:r>
        <w:rPr>
          <w:rtl w:val="true"/>
        </w:rPr>
        <w:t>כולל מטעני חבלה וטילים</w:t>
      </w:r>
      <w:r>
        <w:rPr>
          <w:rtl w:val="true"/>
        </w:rPr>
        <w:t xml:space="preserve">. </w:t>
      </w:r>
      <w:r>
        <w:rPr>
          <w:rtl w:val="true"/>
        </w:rPr>
        <w:t>לאחר סיום האמון הצבאי</w:t>
      </w:r>
      <w:r>
        <w:rPr>
          <w:rtl w:val="true"/>
        </w:rPr>
        <w:t xml:space="preserve">, </w:t>
      </w:r>
      <w:r>
        <w:rPr>
          <w:rtl w:val="true"/>
        </w:rPr>
        <w:t>נשבע הנאשם אמונים לחמא</w:t>
      </w:r>
      <w:r>
        <w:rPr>
          <w:rtl w:val="true"/>
        </w:rPr>
        <w:t>"</w:t>
      </w:r>
      <w:r>
        <w:rPr>
          <w:rtl w:val="true"/>
        </w:rPr>
        <w:t xml:space="preserve">ס במסגד </w:t>
      </w:r>
      <w:r>
        <w:rPr>
          <w:rtl w:val="true"/>
        </w:rPr>
        <w:t>"</w:t>
      </w:r>
      <w:r>
        <w:rPr>
          <w:rtl w:val="true"/>
        </w:rPr>
        <w:t>אבו אל</w:t>
      </w:r>
      <w:r>
        <w:rPr>
          <w:rtl w:val="true"/>
        </w:rPr>
        <w:t>-</w:t>
      </w:r>
      <w:r>
        <w:rPr>
          <w:rtl w:val="true"/>
        </w:rPr>
        <w:t>חיר</w:t>
      </w:r>
      <w:r>
        <w:rPr>
          <w:rtl w:val="true"/>
        </w:rPr>
        <w:t xml:space="preserve">" </w:t>
      </w:r>
      <w:r>
        <w:rPr>
          <w:rtl w:val="true"/>
        </w:rPr>
        <w:t>לזוהיר באדר</w:t>
      </w:r>
      <w:r>
        <w:rPr>
          <w:rtl w:val="true"/>
        </w:rPr>
        <w:t xml:space="preserve">, </w:t>
      </w:r>
      <w:r>
        <w:rPr>
          <w:rtl w:val="true"/>
        </w:rPr>
        <w:t>פעיל 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היות ובמעשיו אלה עבר הנאשם אימונים צבאיים אסורים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בעבירה של אימונים צבאיים אסורים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עמדה התובעת המלומדה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גז</w:t>
      </w:r>
      <w:r>
        <w:rPr>
          <w:rtl w:val="true"/>
        </w:rPr>
        <w:t xml:space="preserve">, </w:t>
      </w:r>
      <w:r>
        <w:rPr>
          <w:rtl w:val="true"/>
        </w:rPr>
        <w:t>על החומרה שבמעשי 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מעשיו פגעו ללא ספק בבטחון המדינה עת נטל חלק בפעילות 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שהוא ארגון טרור</w:t>
      </w:r>
      <w:r>
        <w:rPr>
          <w:rtl w:val="true"/>
        </w:rPr>
        <w:t xml:space="preserve">, </w:t>
      </w:r>
      <w:r>
        <w:rPr>
          <w:rtl w:val="true"/>
        </w:rPr>
        <w:t>ששם לעצמו מטרה לפגוע במדינת ישראל ותושביה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ההנחה הינה</w:t>
      </w:r>
      <w:r>
        <w:rPr>
          <w:rtl w:val="true"/>
        </w:rPr>
        <w:t xml:space="preserve">, </w:t>
      </w:r>
      <w:r>
        <w:rPr>
          <w:rtl w:val="true"/>
        </w:rPr>
        <w:t>כי אדם הפועל במסגרת ארגון טרור</w:t>
      </w:r>
      <w:r>
        <w:rPr>
          <w:rtl w:val="true"/>
        </w:rPr>
        <w:t xml:space="preserve">, </w:t>
      </w:r>
      <w:r>
        <w:rPr>
          <w:rtl w:val="true"/>
        </w:rPr>
        <w:t>יש במעשיו תרומה לפעילות הארגון ולהשגת מטרותיו</w:t>
      </w:r>
      <w:r>
        <w:rPr>
          <w:rtl w:val="true"/>
        </w:rPr>
        <w:t xml:space="preserve">. </w:t>
      </w:r>
      <w:r>
        <w:rPr>
          <w:rtl w:val="true"/>
        </w:rPr>
        <w:t>המסוכנות לשלום הציבור ולבטחון המדינה נובעת מעצם הפעילות בארגון הטרור וכל מי שנוטל חלק בפעילות של ארגון שכזה</w:t>
      </w:r>
      <w:r>
        <w:rPr>
          <w:rtl w:val="true"/>
        </w:rPr>
        <w:t xml:space="preserve">, </w:t>
      </w:r>
      <w:r>
        <w:rPr>
          <w:rtl w:val="true"/>
        </w:rPr>
        <w:t>מעיד על מסוכנותו ויש להטיל עליו ענישה מחמירה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 התובעת לגזור על הנאשם עונש מאסר משמעותי ומאסר על תנאי והגישה פסיקה התואמת את רמת הענישה אותה ביקשה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עלאדין</w:t>
      </w:r>
      <w:r>
        <w:rPr>
          <w:rtl w:val="true"/>
        </w:rPr>
        <w:t xml:space="preserve">, </w:t>
      </w:r>
      <w:r>
        <w:rPr>
          <w:rtl w:val="true"/>
        </w:rPr>
        <w:t>הדגיש בטיעוניו לעונש את נסיבותיו האישיות של הנאשם וטען שבמקרה זה הנאשם לא פגע במדינה או בתושביה</w:t>
      </w:r>
      <w:r>
        <w:rPr>
          <w:rtl w:val="true"/>
        </w:rPr>
        <w:t xml:space="preserve">. </w:t>
      </w:r>
      <w:r>
        <w:rPr>
          <w:rtl w:val="true"/>
        </w:rPr>
        <w:t>הוא החל את לימודי הדת שלו</w:t>
      </w:r>
      <w:r>
        <w:rPr>
          <w:rtl w:val="true"/>
        </w:rPr>
        <w:t xml:space="preserve">, </w:t>
      </w: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>במסגרת האוסרה</w:t>
      </w:r>
      <w:r>
        <w:rPr>
          <w:rtl w:val="true"/>
        </w:rPr>
        <w:t xml:space="preserve">, </w:t>
      </w:r>
      <w:r>
        <w:rPr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שמשמשת גם כבסיס חברתי רחב מתוכו גוררים הארגונים את הפעילים שהם רוצים לגייס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האקטיביות או מידת גילוי היוזמה של הפעילים בתוך האוסרה מובילה לכדי שיבוצו של הפעיל במסגרת הולמת</w:t>
      </w:r>
      <w:r>
        <w:rPr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המסגרת לתוכה שובץ הנאשם היא מסגרת ריבאט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כשלדבריו מדובר בשמירה מניעתית ופסיבית למקרה וכוחות הבטחון יכנסו לתוך הרצועה</w:t>
      </w:r>
      <w:r>
        <w:rPr>
          <w:rtl w:val="true"/>
        </w:rPr>
        <w:t xml:space="preserve">. </w:t>
      </w:r>
      <w:r>
        <w:rPr>
          <w:rtl w:val="true"/>
        </w:rPr>
        <w:t>יש להקל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עם נאשם שכזה</w:t>
      </w:r>
      <w:r>
        <w:rPr>
          <w:rtl w:val="true"/>
        </w:rPr>
        <w:t xml:space="preserve">, </w:t>
      </w:r>
      <w:r>
        <w:rPr>
          <w:rtl w:val="true"/>
        </w:rPr>
        <w:t>שהרי לא התכוון לצאת לפעילות אקטיבית נגד ישראל או בישראל</w:t>
      </w:r>
      <w:r>
        <w:rPr>
          <w:rtl w:val="true"/>
        </w:rPr>
        <w:t xml:space="preserve">. </w:t>
      </w:r>
      <w:r>
        <w:rPr>
          <w:rtl w:val="true"/>
        </w:rPr>
        <w:t>אשר לאימונים הצבאיים</w:t>
      </w:r>
      <w:r>
        <w:rPr>
          <w:rtl w:val="true"/>
        </w:rPr>
        <w:t xml:space="preserve">, </w:t>
      </w: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>הרי שהם לא היו ברמת חומרה כזו המצדיקה ענישה מחמירה וביקש לאבחן מהפסיקה שהציגה התובעת</w:t>
      </w:r>
      <w:r>
        <w:rPr>
          <w:rtl w:val="true"/>
        </w:rPr>
        <w:t xml:space="preserve">. </w:t>
      </w:r>
      <w:r>
        <w:rPr>
          <w:rtl w:val="true"/>
        </w:rPr>
        <w:t>להבנתו</w:t>
      </w:r>
      <w:r>
        <w:rPr>
          <w:rtl w:val="true"/>
        </w:rPr>
        <w:t xml:space="preserve">, </w:t>
      </w:r>
      <w:r>
        <w:rPr>
          <w:rtl w:val="true"/>
        </w:rPr>
        <w:t xml:space="preserve">ניתן להסתפק במקרה זה בענישה שלא תעלה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שכן הנאשם הוא סטודנט אשר עד למעצרו למד</w:t>
      </w:r>
      <w:r>
        <w:rPr>
          <w:rtl w:val="true"/>
        </w:rPr>
        <w:t xml:space="preserve">, </w:t>
      </w:r>
      <w:r>
        <w:rPr>
          <w:rtl w:val="true"/>
        </w:rPr>
        <w:t>הוא מאורס ובכוונתו להתחתן עם שחרורו</w:t>
      </w:r>
      <w:r>
        <w:rPr>
          <w:rtl w:val="true"/>
        </w:rPr>
        <w:t xml:space="preserve">. </w:t>
      </w:r>
      <w:r>
        <w:rPr>
          <w:rtl w:val="true"/>
        </w:rPr>
        <w:t xml:space="preserve">משפחתו של הנאשם נפגעה באורח קשה במהלך מבצע </w:t>
      </w:r>
      <w:r>
        <w:rPr>
          <w:rtl w:val="true"/>
        </w:rPr>
        <w:t>"</w:t>
      </w:r>
      <w:r>
        <w:rPr>
          <w:rtl w:val="true"/>
        </w:rPr>
        <w:t>עופרת יצוקה</w:t>
      </w:r>
      <w:r>
        <w:rPr>
          <w:rtl w:val="true"/>
        </w:rPr>
        <w:t xml:space="preserve">" </w:t>
      </w:r>
      <w:r>
        <w:rPr>
          <w:rtl w:val="true"/>
        </w:rPr>
        <w:t>כאשר אביו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tl w:val="true"/>
        </w:rPr>
        <w:t xml:space="preserve">, </w:t>
      </w:r>
      <w:r>
        <w:rPr>
          <w:rtl w:val="true"/>
        </w:rPr>
        <w:t>דודו ובעלה של דודתו נהרגו במהלך פעילות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 הסנגור</w:t>
      </w:r>
      <w:r>
        <w:rPr>
          <w:rtl w:val="true"/>
        </w:rPr>
        <w:t xml:space="preserve">, </w:t>
      </w:r>
      <w:r>
        <w:rPr>
          <w:rtl w:val="true"/>
        </w:rPr>
        <w:t>כתובעת</w:t>
      </w:r>
      <w:r>
        <w:rPr>
          <w:rtl w:val="true"/>
        </w:rPr>
        <w:t xml:space="preserve">, </w:t>
      </w:r>
      <w:r>
        <w:rPr>
          <w:rtl w:val="true"/>
        </w:rPr>
        <w:t>צרף פסיקה כתמיכה בטיעוניו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Fonts w:eastAsia="Arial"/>
        </w:rPr>
      </w:pPr>
      <w:r>
        <w:rPr>
          <w:rFonts w:eastAsia="Arial"/>
          <w:rtl w:val="true"/>
        </w:rPr>
        <w:t xml:space="preserve">  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 פנה אף הוא לביהמ</w:t>
      </w:r>
      <w:r>
        <w:rPr>
          <w:rtl w:val="true"/>
        </w:rPr>
        <w:t>"</w:t>
      </w:r>
      <w:r>
        <w:rPr>
          <w:rtl w:val="true"/>
        </w:rPr>
        <w:t>ש וסיפר</w:t>
      </w:r>
      <w:r>
        <w:rPr>
          <w:rtl w:val="true"/>
        </w:rPr>
        <w:t xml:space="preserve">, </w:t>
      </w:r>
      <w:r>
        <w:rPr>
          <w:rtl w:val="true"/>
        </w:rPr>
        <w:t>כי חי עם משפחתו בסעודיה ומשם הוא ומשפחתו הגיעו לעזה לפני כשנתיים וחצי</w:t>
      </w:r>
      <w:r>
        <w:rPr>
          <w:rtl w:val="true"/>
        </w:rPr>
        <w:t xml:space="preserve">. </w:t>
      </w:r>
      <w:r>
        <w:rPr>
          <w:rtl w:val="true"/>
        </w:rPr>
        <w:t>הוא חזר וסיפר על הטרגדיה שקרתה במשפחתו והוסיף וציין ששניים מאחיו נמצאים גם הם</w:t>
      </w:r>
      <w:r>
        <w:rPr>
          <w:rtl w:val="true"/>
        </w:rPr>
        <w:t xml:space="preserve">, </w:t>
      </w:r>
      <w:r>
        <w:rPr>
          <w:rtl w:val="true"/>
        </w:rPr>
        <w:t>יחד איתו</w:t>
      </w:r>
      <w:r>
        <w:rPr>
          <w:rtl w:val="true"/>
        </w:rPr>
        <w:t xml:space="preserve">, </w:t>
      </w:r>
      <w:r>
        <w:rPr>
          <w:rtl w:val="true"/>
        </w:rPr>
        <w:t>בכלא הישראלי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 עשה שום פעולה נגד 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וכל הפעילות שלו נשוא כתב האישום נעשתה </w:t>
      </w:r>
      <w:r>
        <w:rPr>
          <w:rtl w:val="true"/>
        </w:rPr>
        <w:t>"</w:t>
      </w:r>
      <w:r>
        <w:rPr>
          <w:b/>
          <w:b/>
          <w:bCs/>
          <w:rtl w:val="true"/>
        </w:rPr>
        <w:t>רק בגלל הכסף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מעשי הנאשם חמורים</w:t>
      </w:r>
      <w:r>
        <w:rPr>
          <w:rtl w:val="true"/>
        </w:rPr>
        <w:t xml:space="preserve">, </w:t>
      </w:r>
      <w:r>
        <w:rPr>
          <w:rtl w:val="true"/>
        </w:rPr>
        <w:t>כאשר פעילותו כנגד מדינת ישראל הלכה והסלימה עם חלוף הזמן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הצטרף הנאשם ללימודים במסגרת האוסרת של 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ובהמשך הצטרף לזרוע הצבאית של 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הסכים במסגרת זו להשתתף בביצוע שמירות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tl w:val="true"/>
        </w:rPr>
        <w:t>כנגד כוחות צה</w:t>
      </w:r>
      <w:r>
        <w:rPr>
          <w:rtl w:val="true"/>
        </w:rPr>
        <w:t>"</w:t>
      </w:r>
      <w:r>
        <w:rPr>
          <w:rtl w:val="true"/>
        </w:rPr>
        <w:t>ל ולצורך כך לבשו הנאשם וחבריו אפודים והיו חמושים ברובי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ברימוני יד</w:t>
      </w:r>
      <w:r>
        <w:rPr>
          <w:rtl w:val="true"/>
        </w:rPr>
        <w:t xml:space="preserve">, </w:t>
      </w:r>
      <w:r>
        <w:rPr>
          <w:rtl w:val="true"/>
        </w:rPr>
        <w:t>במחסניות ובמטול יאסין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אף עבר הנאשם אימונים צבאיים</w:t>
      </w:r>
      <w:r>
        <w:rPr>
          <w:rtl w:val="true"/>
        </w:rPr>
        <w:t xml:space="preserve">, </w:t>
      </w:r>
      <w:r>
        <w:rPr>
          <w:rtl w:val="true"/>
        </w:rPr>
        <w:t>במסגרתם עבר הכשרה בפירוק והרכבת רובי קלצ</w:t>
      </w:r>
      <w:r>
        <w:rPr>
          <w:rtl w:val="true"/>
        </w:rPr>
        <w:t>'</w:t>
      </w:r>
      <w:r>
        <w:rPr>
          <w:rtl w:val="true"/>
        </w:rPr>
        <w:t>ניקוב והפעלת 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כאשר בסיום האמון הצבאי</w:t>
      </w:r>
      <w:r>
        <w:rPr>
          <w:rtl w:val="true"/>
        </w:rPr>
        <w:t xml:space="preserve">, </w:t>
      </w:r>
      <w:r>
        <w:rPr>
          <w:rtl w:val="true"/>
        </w:rPr>
        <w:t>נשבע אמונים 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חברות בארגון טרור לעולם חמורה היא</w:t>
      </w:r>
      <w:r>
        <w:rPr>
          <w:rtl w:val="true"/>
        </w:rPr>
        <w:t xml:space="preserve">, </w:t>
      </w:r>
      <w:r>
        <w:rPr>
          <w:rtl w:val="true"/>
        </w:rPr>
        <w:t>בין אם החבר בארגון נוקט בפעולת טרור כלשהי בעצמו ובין אם לאו</w:t>
      </w:r>
      <w:r>
        <w:rPr>
          <w:rtl w:val="true"/>
        </w:rPr>
        <w:t xml:space="preserve">. </w:t>
      </w:r>
      <w:r>
        <w:rPr>
          <w:rtl w:val="true"/>
        </w:rPr>
        <w:t>על רקע המציאות הבטחונית באזורנו</w:t>
      </w:r>
      <w:r>
        <w:rPr>
          <w:rtl w:val="true"/>
        </w:rPr>
        <w:t xml:space="preserve">, </w:t>
      </w:r>
      <w:r>
        <w:rPr>
          <w:rtl w:val="true"/>
        </w:rPr>
        <w:t>לא ניתן להשלים עם התחזקותם של ארגוני הטרור ולא ניתן להתייחס בסלחנות גם לא לחוליות מינוריות של הנוטלים חלק בשרשרת הטרור</w:t>
      </w:r>
      <w:r>
        <w:rPr>
          <w:rtl w:val="true"/>
        </w:rPr>
        <w:t xml:space="preserve">. </w:t>
      </w:r>
      <w:r>
        <w:rPr>
          <w:rtl w:val="true"/>
        </w:rPr>
        <w:t>על ביהמ</w:t>
      </w:r>
      <w:r>
        <w:rPr>
          <w:rtl w:val="true"/>
        </w:rPr>
        <w:t>"</w:t>
      </w:r>
      <w:r>
        <w:rPr>
          <w:rtl w:val="true"/>
        </w:rPr>
        <w:t>ש להעביר מסר חד משמעי וברור</w:t>
      </w:r>
      <w:r>
        <w:rPr>
          <w:rtl w:val="true"/>
        </w:rPr>
        <w:t xml:space="preserve">, </w:t>
      </w:r>
      <w:r>
        <w:rPr>
          <w:rtl w:val="true"/>
        </w:rPr>
        <w:t>כי כל מי שנוטל חלק בארגון טרור ונותן ידו לפעולותיו בכל דרך שהיא</w:t>
      </w:r>
      <w:r>
        <w:rPr>
          <w:rtl w:val="true"/>
        </w:rPr>
        <w:t xml:space="preserve">, </w:t>
      </w:r>
      <w:r>
        <w:rPr>
          <w:rtl w:val="true"/>
        </w:rPr>
        <w:t>צפוי לענישה מחמירה הן כמסר מרתיע לנאשם עצמו והן כמסר הרתעתי לציבור בכללותו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 לאבחן בין מי שהיה חבר בארגון טרור ונקט פעילות אקטיבית במסגרתו</w:t>
      </w:r>
      <w:r>
        <w:rPr>
          <w:rtl w:val="true"/>
        </w:rPr>
        <w:t xml:space="preserve">, </w:t>
      </w:r>
      <w:r>
        <w:rPr>
          <w:rtl w:val="true"/>
        </w:rPr>
        <w:t>לבין מי שהיה חבר גרידא בארגון בלא נקיטת פעולות נוספות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שבניגוד לנטען על ידי הסנגור</w:t>
      </w:r>
      <w:r>
        <w:rPr>
          <w:rtl w:val="true"/>
        </w:rPr>
        <w:t xml:space="preserve">, </w:t>
      </w:r>
      <w:r>
        <w:rPr>
          <w:rtl w:val="true"/>
        </w:rPr>
        <w:t>לא ניתן לומר</w:t>
      </w:r>
      <w:r>
        <w:rPr>
          <w:rtl w:val="true"/>
        </w:rPr>
        <w:t xml:space="preserve">, </w:t>
      </w:r>
      <w:r>
        <w:rPr>
          <w:rtl w:val="true"/>
        </w:rPr>
        <w:t>כי הנאשם שבענייננו הורשע אך ורק בגין חברותו בארגון ולא שביצע במסגרת זו פעולות כנגד מדינת ישראל</w:t>
      </w:r>
      <w:r>
        <w:rPr>
          <w:rtl w:val="true"/>
        </w:rPr>
        <w:t xml:space="preserve">.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השמירות החמושות של הנאשם אמנם נעשו בתוך תחומי עזה</w:t>
      </w:r>
      <w:r>
        <w:rPr>
          <w:rtl w:val="true"/>
        </w:rPr>
        <w:t xml:space="preserve">, </w:t>
      </w:r>
      <w:r>
        <w:rPr>
          <w:rtl w:val="true"/>
        </w:rPr>
        <w:t>אך הם נועדו להרחיק את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במידה ויתקרבו למקום</w:t>
      </w:r>
      <w:r>
        <w:rPr>
          <w:rtl w:val="true"/>
        </w:rPr>
        <w:t xml:space="preserve">. </w:t>
      </w:r>
      <w:r>
        <w:rPr>
          <w:rtl w:val="true"/>
        </w:rPr>
        <w:t>לא מדובר בשמירות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בגין מצב פוליטי או בטחוני שבתוך תחומי הרצועה</w:t>
      </w:r>
      <w:r>
        <w:rPr>
          <w:rtl w:val="true"/>
        </w:rPr>
        <w:t xml:space="preserve">, </w:t>
      </w:r>
      <w:r>
        <w:rPr>
          <w:rtl w:val="true"/>
        </w:rPr>
        <w:t>אלא בשמירות הקשורות באופן ישיר לחיילי צה</w:t>
      </w:r>
      <w:r>
        <w:rPr>
          <w:rtl w:val="true"/>
        </w:rPr>
        <w:t>"</w:t>
      </w:r>
      <w:r>
        <w:rPr>
          <w:rtl w:val="true"/>
        </w:rPr>
        <w:t>ל ואשר כוונו להרחיקם מהמקום</w:t>
      </w:r>
      <w:r>
        <w:rPr>
          <w:rtl w:val="true"/>
        </w:rPr>
        <w:t xml:space="preserve">, </w:t>
      </w:r>
      <w:r>
        <w:rPr>
          <w:rtl w:val="true"/>
        </w:rPr>
        <w:t>ואף לפגוע בהם</w:t>
      </w:r>
      <w:r>
        <w:rPr>
          <w:rtl w:val="true"/>
        </w:rPr>
        <w:t xml:space="preserve">, </w:t>
      </w:r>
      <w:r>
        <w:rPr>
          <w:rtl w:val="true"/>
        </w:rPr>
        <w:t>לכשיגיעו</w:t>
      </w:r>
      <w:r>
        <w:rPr>
          <w:rtl w:val="true"/>
        </w:rPr>
        <w:t xml:space="preserve">, </w:t>
      </w:r>
      <w:r>
        <w:rPr>
          <w:rtl w:val="true"/>
        </w:rPr>
        <w:t>ובהינתן אמצעי הלחימה הרבים והמגוונים שבהם הצטיידו</w:t>
      </w:r>
      <w:r>
        <w:rPr>
          <w:rtl w:val="true"/>
        </w:rPr>
        <w:t xml:space="preserve">, </w:t>
      </w:r>
      <w:r>
        <w:rPr>
          <w:rtl w:val="true"/>
        </w:rPr>
        <w:t>הוא וחבריו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 נשיאת הנשק בה הורשע הנאשם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יש בה משנה חומרה למעשי הנאשם והיה בה כדי לסכן את תושבי המדינה וחייליה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Fonts w:eastAsia="Arial"/>
        </w:rPr>
      </w:pPr>
      <w:r>
        <w:rPr>
          <w:rFonts w:eastAsia="Arial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 מי שמקבל על עצמו להיות חבר בארגון טרור</w:t>
      </w:r>
      <w:r>
        <w:rPr>
          <w:rtl w:val="true"/>
        </w:rPr>
        <w:t xml:space="preserve">, </w:t>
      </w:r>
      <w:r>
        <w:rPr>
          <w:rtl w:val="true"/>
        </w:rPr>
        <w:t>ששם לו מטרה לפגוע במדינת ישראל</w:t>
      </w:r>
      <w:r>
        <w:rPr>
          <w:rtl w:val="true"/>
        </w:rPr>
        <w:t xml:space="preserve">, </w:t>
      </w:r>
      <w:r>
        <w:rPr>
          <w:rtl w:val="true"/>
        </w:rPr>
        <w:t>לא יוכל לטעון אח</w:t>
      </w:r>
      <w:r>
        <w:rPr>
          <w:rtl w:val="true"/>
        </w:rPr>
        <w:t>"</w:t>
      </w:r>
      <w:r>
        <w:rPr>
          <w:rtl w:val="true"/>
        </w:rPr>
        <w:t>כ כי לא היה שותף למטרות אלה וכי מטרותיו בהצטרפותו לארגון היו שונות כגון טענת הנאשם בדבר רצונו להתפרנס בלבד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ניתן להתעלם מנסיבותיו הספציפיות של הנאשם ומפעילותו הספציפית נשוא כתב האישום</w:t>
      </w:r>
      <w:r>
        <w:rPr>
          <w:rtl w:val="true"/>
        </w:rPr>
        <w:t xml:space="preserve">. </w:t>
      </w:r>
      <w:r>
        <w:rPr>
          <w:rtl w:val="true"/>
        </w:rPr>
        <w:t>מדובר בצעיר שהצטרף לארגון טרור</w:t>
      </w:r>
      <w:r>
        <w:rPr>
          <w:rtl w:val="true"/>
        </w:rPr>
        <w:t xml:space="preserve">, </w:t>
      </w:r>
      <w:r>
        <w:rPr>
          <w:rtl w:val="true"/>
        </w:rPr>
        <w:t>אך לא ביצע פעולות טרור של ממש</w:t>
      </w:r>
      <w:r>
        <w:rPr>
          <w:rtl w:val="true"/>
        </w:rPr>
        <w:t xml:space="preserve">, </w:t>
      </w:r>
      <w:r>
        <w:rPr>
          <w:rtl w:val="true"/>
        </w:rPr>
        <w:t>הגם שכאמור</w:t>
      </w:r>
      <w:r>
        <w:rPr>
          <w:rtl w:val="true"/>
        </w:rPr>
        <w:t xml:space="preserve">, </w:t>
      </w:r>
      <w:r>
        <w:rPr>
          <w:rtl w:val="true"/>
        </w:rPr>
        <w:t>גם בפעולות אותן אכן ביצע הנאשם</w:t>
      </w:r>
      <w:r>
        <w:rPr>
          <w:rtl w:val="true"/>
        </w:rPr>
        <w:t xml:space="preserve">, </w:t>
      </w:r>
      <w:r>
        <w:rPr>
          <w:rtl w:val="true"/>
        </w:rPr>
        <w:t>היה כדי להעמיד את תושבי המדינה וחייליה בפני סכנה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 על כן אנו גוזרים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 החל מיום המעצר</w:t>
      </w:r>
      <w:r>
        <w:rPr>
          <w:rtl w:val="true"/>
        </w:rPr>
        <w:t xml:space="preserve">, </w:t>
      </w:r>
      <w:r>
        <w:rPr>
          <w:rtl w:val="true"/>
        </w:rPr>
        <w:t xml:space="preserve">היינו החל מיום </w:t>
      </w:r>
      <w:r>
        <w:rPr/>
        <w:t>19/1/08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שהנאשם לא יעבור כל עבירה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 היום 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 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ט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במרץ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 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54678313-1011/08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001011/08</w:t>
      </w:r>
      <w:r>
        <w:rPr>
          <w:rtl w:val="true"/>
        </w:rPr>
        <w:t xml:space="preserve">פח </w:t>
      </w:r>
      <w:r>
        <w:rPr/>
        <w:t>055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rFonts w:cs="David"/>
          <w:color w:val="000000"/>
          <w:rtl w:val="true"/>
        </w:rPr>
        <w:t>הודעה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למנויים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עריכה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ושינויים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במסמכי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פסיקה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חקיקה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ועוד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באתר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נבו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 xml:space="preserve">- </w:t>
      </w:r>
      <w:r>
        <w:rPr>
          <w:rFonts w:cs="David"/>
          <w:color w:val="000000"/>
          <w:rtl w:val="true"/>
        </w:rPr>
        <w:t>הקש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/Users/liorb/Downloads/study2025-p2/m08001011-295.doc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1011/08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סחלה מהנד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3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3729/85.1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3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2016-07-25T14:20:00Z</dcterms:created>
  <dc:creator> </dc:creator>
  <dc:description/>
  <cp:keywords/>
  <dc:language>en-IL</dc:language>
  <cp:lastModifiedBy>run</cp:lastModifiedBy>
  <dcterms:modified xsi:type="dcterms:W3CDTF">2016-07-25T14:20:00Z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סחלה מהנד</vt:lpwstr>
  </property>
  <property fmtid="{D5CDD505-2E9C-101B-9397-08002B2CF9AE}" pid="4" name="CITY">
    <vt:lpwstr>ב"ש</vt:lpwstr>
  </property>
  <property fmtid="{D5CDD505-2E9C-101B-9397-08002B2CF9AE}" pid="5" name="DATE">
    <vt:lpwstr>20090330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73729/085.1.a</vt:lpwstr>
  </property>
  <property fmtid="{D5CDD505-2E9C-101B-9397-08002B2CF9AE}" pid="10" name="LAWLISTTMP2">
    <vt:lpwstr>70301/144.b;143.b</vt:lpwstr>
  </property>
  <property fmtid="{D5CDD505-2E9C-101B-9397-08002B2CF9AE}" pid="11" name="LAWYER">
    <vt:lpwstr>מורן גז;עלאדין עדנאן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1011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m08001011 295 htm</vt:lpwstr>
  </property>
  <property fmtid="{D5CDD505-2E9C-101B-9397-08002B2CF9AE}" pid="36" name="TYPE">
    <vt:lpwstr>2</vt:lpwstr>
  </property>
  <property fmtid="{D5CDD505-2E9C-101B-9397-08002B2CF9AE}" pid="37" name="TYPE_ABS_DATE">
    <vt:lpwstr>390020090330</vt:lpwstr>
  </property>
  <property fmtid="{D5CDD505-2E9C-101B-9397-08002B2CF9AE}" pid="38" name="TYPE_N_DATE">
    <vt:lpwstr>39020090330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