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Cs w:val="22"/>
              </w:rPr>
              <w:t>001013/05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השופטת 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יפה כץ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</w:t>
            </w:r>
            <w:r>
              <w:rPr>
                <w:rFonts w:ascii="Arial" w:hAnsi="Arial" w:cs="Arial"/>
                <w:rtl w:val="true"/>
              </w:rPr>
              <w:t>השופטת 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מרוז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</w:t>
            </w:r>
            <w:r>
              <w:rPr>
                <w:rFonts w:ascii="Arial" w:hAnsi="Arial" w:cs="Arial"/>
                <w:rtl w:val="true"/>
              </w:rPr>
              <w:t>השופט א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ואגו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14/01/2007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Cs w:val="22"/>
        </w:rPr>
      </w:pPr>
      <w:r>
        <w:rPr>
          <w:rFonts w:cs="Arial" w:ascii="Arial" w:hAnsi="Arial"/>
          <w:b/>
          <w:bCs/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rFonts w:ascii="Arial" w:hAnsi="Arial" w:cs="Arial"/>
          <w:b/>
          <w:bCs/>
          <w:szCs w:val="20"/>
        </w:rPr>
      </w:pPr>
      <w:r>
        <w:rPr>
          <w:rFonts w:cs="Arial" w:ascii="Arial" w:hAnsi="Arial"/>
          <w:b/>
          <w:bCs/>
          <w:szCs w:val="20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  <w:szCs w:val="20"/>
        </w:rPr>
      </w:pPr>
      <w:r>
        <w:rPr>
          <w:rFonts w:cs="Arial" w:ascii="Arial" w:hAnsi="Arial"/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891"/>
        <w:gridCol w:w="283"/>
        <w:gridCol w:w="1646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2891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קישון</w:t>
            </w:r>
          </w:p>
        </w:tc>
        <w:tc>
          <w:tcPr>
            <w:tcW w:w="1929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אלעביד סאמי 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3174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ע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ליסטר</w:t>
            </w:r>
          </w:p>
        </w:tc>
        <w:tc>
          <w:tcPr>
            <w:tcW w:w="1646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15" w:name="LawTable"/>
      <w:bookmarkStart w:id="16" w:name="סוג_מסמך"/>
      <w:bookmarkStart w:id="17" w:name="LawTable"/>
      <w:bookmarkStart w:id="18" w:name="סוג_מסמך"/>
      <w:bookmarkEnd w:id="17"/>
      <w:bookmarkEnd w:id="1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19" w:name="LawTable_End"/>
      <w:bookmarkStart w:id="20" w:name="LawTable_End"/>
      <w:bookmarkEnd w:id="20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21" w:name="PsakDin"/>
      <w:bookmarkEnd w:id="21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bookmarkStart w:id="24" w:name="סוג_מסמך"/>
      <w:bookmarkEnd w:id="24"/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שנערך הסדר טיעון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המקורי שהוגש כנגד הנאשם והוא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בעובדותיו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עולה כי בחודש אפריל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 הנאשם קשר עם איברהים אבו סלאמה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תושב רצועת עזה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איברהים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לרכוש עבור איברהים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להסתירם ולמוכרם עבור איברהים לאחר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איברהים לנאשם והורה לו להיפגש עם אדם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שאותו אדם יעביר לו כסף עבור רכישת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ליד מושב ניר עקיבא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עם אדם שזהותו אינה ידועה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אותו אדם נתן לנאשם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דולר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ששלח לו איברהים עבור רכישת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קבלת הכסף יצר הנאשם קשר טלפוני עם איברהים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 מסר לו  מספרי טלפון  של סוחרי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מהם היה על הנאשם לנסות לרכוש נשק עבור איברהים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הצליח ליצור קשר עם אחד מאותם סוחרי נשק וקבע עמו פגישה ליד ערערה שבנגב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מה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ליד ערערה שבנגב עם שני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שהיו רעולי פנים ואשר זהותם 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ורכש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כלי הנשק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הוביל הנאשם לחורשת להב והסתירם 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כחודש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מאי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הורה איברהים לנאשם להעביר את כלי הנשק האמורים לקלקיליה ולמסור אותם שם לאדם בשם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 נבהין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העמיס את חמשת כלי הנשק והמחסניות על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רכב מסוג פוקסווגן פולו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והוביל אותם לקלקיליה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מסתייע בשני אנשים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שנסעו לפניו במכונית אחרת ווידאו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מחסומי צבא או משטרה בדרך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לקלקיליה ושם מסר את חמשת הרובים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 נבהין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שסוכם עם איברהים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קיבל תמורת מעשיו </w:t>
      </w:r>
      <w:r>
        <w:rPr>
          <w:rFonts w:cs="Arial" w:ascii="Arial" w:hAnsi="Arial"/>
        </w:rPr>
        <w:t>1900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דולר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 את כלי הנשק לקלקיליה ביודעו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קיימת אפשרות קרובה לוודאי שישתמשו בהם ללחימה נגד ישראל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בביצוע עבירות נשק –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סיוע לאוייב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סעיף </w:t>
      </w:r>
      <w:r>
        <w:rPr>
          <w:rFonts w:cs="Arial" w:ascii="Arial" w:hAnsi="Arial"/>
        </w:rPr>
        <w:t>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במועד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רכש אקדח והחזיק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שתי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החזיק הנאשם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קופסא ובה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במעשיו אלה החזיק נשק ותחמושת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הורשע בביצוע עבירות בנשק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 xml:space="preserve">החזקת נשק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עבירות בנשק – 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סייפא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לבקשת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תסקיר על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בן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ילדים בני שנה וחצי עד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התגורר הנאשם עם משפחתו בלקייה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בני משפחתו מנהלים אורח חיים נורמטיבי ואינם מעורבים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מצבם הכלכלי של בני משפחתו קשה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ואף למד מספר חודשים במכללת ספיר לתואר בחינוך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הפסיק את לימודיו לנוכח קשיי התמודדות עם מסגרת הלימודים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השתלב בקורס מד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הפסיק את הלימודים לאחר שנכשל בבחינות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בעבודות מזדמנות בחקלאות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מאז 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ברציפות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כנהג אוטובוס בהסעת ילדים לבתי ספר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Indent"/>
        <w:ind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שרות המבחן ציין בתסקירו</w:t>
      </w:r>
      <w:r>
        <w:rPr>
          <w:rtl w:val="true"/>
        </w:rPr>
        <w:t xml:space="preserve">, </w:t>
      </w:r>
      <w:r>
        <w:rPr>
          <w:rtl w:val="true"/>
        </w:rPr>
        <w:t>כי בשיחה שנערכה עם הנאשם</w:t>
      </w:r>
      <w:r>
        <w:rPr>
          <w:rtl w:val="true"/>
        </w:rPr>
        <w:t xml:space="preserve">, </w:t>
      </w:r>
      <w:r>
        <w:rPr>
          <w:rtl w:val="true"/>
        </w:rPr>
        <w:t>הוא התקשה לזהות אלמנטים בעייתיים בהתנהגותו</w:t>
      </w:r>
      <w:r>
        <w:rPr>
          <w:rtl w:val="true"/>
        </w:rPr>
        <w:t xml:space="preserve">, </w:t>
      </w:r>
      <w:r>
        <w:rPr>
          <w:rtl w:val="true"/>
        </w:rPr>
        <w:t>וכך ציין שירות המבחן</w:t>
      </w:r>
      <w:r>
        <w:rPr>
          <w:rtl w:val="true"/>
        </w:rPr>
        <w:t xml:space="preserve">: </w:t>
      </w:r>
    </w:p>
    <w:p>
      <w:pPr>
        <w:pStyle w:val="Heading5"/>
        <w:spacing w:lineRule="auto" w:line="240"/>
        <w:ind w:start="1440" w:end="1276"/>
        <w:jc w:val="both"/>
        <w:rPr/>
      </w:pPr>
      <w:r>
        <w:rPr>
          <w:rtl w:val="true"/>
        </w:rPr>
        <w:tab/>
        <w:t>"...</w:t>
      </w:r>
      <w:r>
        <w:rPr>
          <w:rtl w:val="true"/>
        </w:rPr>
        <w:t>בלטו אלמנטים מניפולטיביים וטשטוש מידע בנוגע לאורח חייו בתחומים השונים… בנוגע לעבירה נשוא 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סמי הודה בפנינו בביצועה ולקח אחריות על מעשיו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הביע חרטה אשר התרשמנו כי הינה מילולית בעיקרה</w:t>
      </w:r>
      <w:r>
        <w:rPr>
          <w:rtl w:val="true"/>
        </w:rPr>
        <w:t xml:space="preserve">. </w:t>
      </w:r>
      <w:r>
        <w:rPr>
          <w:rtl w:val="true"/>
        </w:rPr>
        <w:t>בהתייחסותו בלטה הפחתה בחומרת ומשמעות ביצוע העבירה</w:t>
      </w:r>
      <w:r>
        <w:rPr>
          <w:rtl w:val="true"/>
        </w:rPr>
        <w:t xml:space="preserve">. </w:t>
      </w:r>
      <w:r>
        <w:rPr>
          <w:rtl w:val="true"/>
        </w:rPr>
        <w:t>לגבי האישום הראשון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ביצע את העבירה על רקע מצב כלכלי קשה</w:t>
      </w:r>
      <w:r>
        <w:rPr>
          <w:rtl w:val="true"/>
        </w:rPr>
        <w:t xml:space="preserve">. </w:t>
      </w:r>
      <w:r>
        <w:rPr>
          <w:rtl w:val="true"/>
        </w:rPr>
        <w:t>לגבי האישום השני</w:t>
      </w:r>
      <w:r>
        <w:rPr>
          <w:rtl w:val="true"/>
        </w:rPr>
        <w:t xml:space="preserve">, </w:t>
      </w:r>
      <w:r>
        <w:rPr>
          <w:rtl w:val="true"/>
        </w:rPr>
        <w:t>טען כי החזיק את הנשק לצורך הגנה עצמית מפני גנבים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1276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התרשמנו כי מתקשה לבחון לעומק את השלכות מעשיו ומפחית ממשמעות העבירה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BodyTextIndent2"/>
        <w:spacing w:lineRule="auto" w:line="240"/>
        <w:ind w:start="1440" w:end="1276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לאור כל האמור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עמדותיו ולאור חומרת 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הרינו נמנעים מהמלצה טיפולית בענינו</w:t>
      </w:r>
      <w:r>
        <w:rPr>
          <w:b/>
          <w:bCs/>
          <w:rtl w:val="true"/>
        </w:rPr>
        <w:t xml:space="preserve">". </w:t>
      </w:r>
    </w:p>
    <w:p>
      <w:pPr>
        <w:pStyle w:val="BodyTextIndent2"/>
        <w:spacing w:lineRule="auto" w:line="240"/>
        <w:ind w:start="1440" w:end="127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 טיעוניו לעונש</w:t>
      </w:r>
      <w:r>
        <w:rPr>
          <w:rtl w:val="true"/>
        </w:rPr>
        <w:t xml:space="preserve">, </w:t>
      </w:r>
      <w:r>
        <w:rPr>
          <w:rtl w:val="true"/>
        </w:rPr>
        <w:t>עמד התובע 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אלטמן</w:t>
      </w:r>
      <w:r>
        <w:rPr>
          <w:rtl w:val="true"/>
        </w:rPr>
        <w:t xml:space="preserve">, </w:t>
      </w:r>
      <w:r>
        <w:rPr>
          <w:rtl w:val="true"/>
        </w:rPr>
        <w:t>על החומרה שבמעשי הנאשם</w:t>
      </w:r>
      <w:r>
        <w:rPr>
          <w:rtl w:val="true"/>
        </w:rPr>
        <w:t xml:space="preserve">. </w:t>
      </w:r>
      <w:r>
        <w:rPr>
          <w:rtl w:val="true"/>
        </w:rPr>
        <w:t>התובע הדגיש</w:t>
      </w:r>
      <w:r>
        <w:rPr>
          <w:rtl w:val="true"/>
        </w:rPr>
        <w:t xml:space="preserve">, </w:t>
      </w:r>
      <w:r>
        <w:rPr>
          <w:rtl w:val="true"/>
        </w:rPr>
        <w:t>כי הנאשם רכש נשק והביא אותו בעצמו לקלקיליה</w:t>
      </w:r>
      <w:r>
        <w:rPr>
          <w:rtl w:val="true"/>
        </w:rPr>
        <w:t xml:space="preserve">, </w:t>
      </w:r>
      <w:r>
        <w:rPr>
          <w:rtl w:val="true"/>
        </w:rPr>
        <w:t>ביודעו שקיימת אפשרות קרובה לודאי שבנשק הזה ישתמשו לצורך לחימה במדינת ישראל</w:t>
      </w:r>
      <w:r>
        <w:rPr>
          <w:rtl w:val="true"/>
        </w:rPr>
        <w:t xml:space="preserve">. </w:t>
      </w:r>
      <w:r>
        <w:rPr>
          <w:rtl w:val="true"/>
        </w:rPr>
        <w:t>כאשר מדובר באזרח ישראלי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שביצע עבירה כה חמורה מתוך בצע כסף</w:t>
      </w:r>
      <w:r>
        <w:rPr>
          <w:rtl w:val="true"/>
        </w:rPr>
        <w:t xml:space="preserve">, </w:t>
      </w:r>
      <w:r>
        <w:rPr>
          <w:rtl w:val="true"/>
        </w:rPr>
        <w:t>יש לעובדה זו חומרה מיוחדת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 הוסיף וטען</w:t>
      </w:r>
      <w:r>
        <w:rPr>
          <w:rtl w:val="true"/>
        </w:rPr>
        <w:t xml:space="preserve">, </w:t>
      </w:r>
      <w:r>
        <w:rPr>
          <w:rtl w:val="true"/>
        </w:rPr>
        <w:t>כי לאור האישום השני בו הורשע הנאשם</w:t>
      </w:r>
      <w:r>
        <w:rPr>
          <w:rtl w:val="true"/>
        </w:rPr>
        <w:t xml:space="preserve">, </w:t>
      </w:r>
      <w:r>
        <w:rPr>
          <w:rtl w:val="true"/>
        </w:rPr>
        <w:t>לא יכול לטעון</w:t>
      </w:r>
      <w:r>
        <w:rPr>
          <w:rtl w:val="true"/>
        </w:rPr>
        <w:t xml:space="preserve">, </w:t>
      </w:r>
      <w:r>
        <w:rPr>
          <w:rtl w:val="true"/>
        </w:rPr>
        <w:t>כי התפתה לעבירה חד פעמית הקשורה בנשק</w:t>
      </w:r>
      <w:r>
        <w:rPr>
          <w:rtl w:val="true"/>
        </w:rPr>
        <w:t xml:space="preserve">, </w:t>
      </w:r>
      <w:r>
        <w:rPr>
          <w:rtl w:val="true"/>
        </w:rPr>
        <w:t>אלא ניתן ללמוד עליו שהוא סוחר בנשק ומחזיק בעצמו נשק ועל כן</w:t>
      </w:r>
      <w:r>
        <w:rPr>
          <w:rtl w:val="true"/>
        </w:rPr>
        <w:t xml:space="preserve">, </w:t>
      </w:r>
      <w:r>
        <w:rPr>
          <w:rtl w:val="true"/>
        </w:rPr>
        <w:t>קמה מסוכנות רבה ממנו לציבור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 צרף לטיעוניו</w:t>
      </w:r>
      <w:r>
        <w:rPr>
          <w:rtl w:val="true"/>
        </w:rPr>
        <w:t xml:space="preserve">, </w:t>
      </w:r>
      <w:r>
        <w:rPr>
          <w:rtl w:val="true"/>
        </w:rPr>
        <w:t>פסיקה ענפה של ביהמ</w:t>
      </w:r>
      <w:r>
        <w:rPr>
          <w:rtl w:val="true"/>
        </w:rPr>
        <w:t>"</w:t>
      </w:r>
      <w:r>
        <w:rPr>
          <w:rtl w:val="true"/>
        </w:rPr>
        <w:t>ש העליון ושל בימ</w:t>
      </w:r>
      <w:r>
        <w:rPr>
          <w:rtl w:val="true"/>
        </w:rPr>
        <w:t>"</w:t>
      </w:r>
      <w:r>
        <w:rPr>
          <w:rtl w:val="true"/>
        </w:rPr>
        <w:t>ש זה</w:t>
      </w:r>
      <w:r>
        <w:rPr>
          <w:rtl w:val="true"/>
        </w:rPr>
        <w:t xml:space="preserve">, </w:t>
      </w:r>
      <w:r>
        <w:rPr>
          <w:rtl w:val="true"/>
        </w:rPr>
        <w:t>במותבים שונים</w:t>
      </w:r>
      <w:r>
        <w:rPr>
          <w:rtl w:val="true"/>
        </w:rPr>
        <w:t xml:space="preserve">, </w:t>
      </w:r>
      <w:r>
        <w:rPr>
          <w:rtl w:val="true"/>
        </w:rPr>
        <w:t>וביקש לגזור על הנאשם – אשר הורשע בין היתר בעבירה שהעונש המכסימלי לצידה הוא מאסר עולם – עונש מאסר ארוך וממושך</w:t>
      </w:r>
      <w:r>
        <w:rPr>
          <w:rtl w:val="true"/>
        </w:rPr>
        <w:t xml:space="preserve">, </w:t>
      </w:r>
      <w:r>
        <w:rPr>
          <w:rtl w:val="true"/>
        </w:rPr>
        <w:t>במדרג העליון של הפסיקה שהגיש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ביקש הסניגור המלומד</w:t>
      </w:r>
      <w:r>
        <w:rPr>
          <w:rtl w:val="true"/>
        </w:rPr>
        <w:t xml:space="preserve">, </w:t>
      </w:r>
      <w:r>
        <w:rPr>
          <w:rtl w:val="true"/>
        </w:rPr>
        <w:t>להקל בעונשו של הנאשם</w:t>
      </w:r>
      <w:r>
        <w:rPr>
          <w:rtl w:val="true"/>
        </w:rPr>
        <w:t xml:space="preserve">. </w:t>
      </w:r>
      <w:r>
        <w:rPr>
          <w:rtl w:val="true"/>
        </w:rPr>
        <w:t>לטיעוניו צרף הסנגור פלט מחשב</w:t>
      </w:r>
      <w:r>
        <w:rPr>
          <w:rtl w:val="true"/>
        </w:rPr>
        <w:t xml:space="preserve">, </w:t>
      </w:r>
      <w:r>
        <w:rPr>
          <w:rtl w:val="true"/>
        </w:rPr>
        <w:t>המתיחס לרשיון שהיה לנאשם להחזיק כלי יריה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 הותר לנאשם להחזיק בנשק מהסוג אותו החזיק בפועל</w:t>
      </w:r>
      <w:r>
        <w:rPr>
          <w:rtl w:val="true"/>
        </w:rPr>
        <w:t xml:space="preserve">, </w:t>
      </w:r>
      <w:r>
        <w:rPr>
          <w:rtl w:val="true"/>
        </w:rPr>
        <w:t xml:space="preserve">אך עדיין היה לו רשיון להחזקת נשק כלשהו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).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 הוסיף וטען</w:t>
      </w:r>
      <w:r>
        <w:rPr>
          <w:rtl w:val="true"/>
        </w:rPr>
        <w:t xml:space="preserve">, </w:t>
      </w:r>
      <w:r>
        <w:rPr>
          <w:rtl w:val="true"/>
        </w:rPr>
        <w:t>כי בנשק שהחזיק הנאשם</w:t>
      </w:r>
      <w:r>
        <w:rPr>
          <w:rtl w:val="true"/>
        </w:rPr>
        <w:t xml:space="preserve">, </w:t>
      </w:r>
      <w:r>
        <w:rPr>
          <w:rtl w:val="true"/>
        </w:rPr>
        <w:t>נשוא האישום השני</w:t>
      </w:r>
      <w:r>
        <w:rPr>
          <w:rtl w:val="true"/>
        </w:rPr>
        <w:t xml:space="preserve">, </w:t>
      </w:r>
      <w:r>
        <w:rPr>
          <w:rtl w:val="true"/>
        </w:rPr>
        <w:t>לא נעשה שום מעשה פלילי ואביו של הנאשם הביא אותו לתחנת המשטרה מיד לכשנתבקש לכך</w:t>
      </w:r>
      <w:r>
        <w:rPr>
          <w:rtl w:val="true"/>
        </w:rPr>
        <w:t xml:space="preserve">. </w:t>
      </w:r>
      <w:r>
        <w:rPr>
          <w:rtl w:val="true"/>
        </w:rPr>
        <w:t>נשק זה הוחזק</w:t>
      </w:r>
      <w:r>
        <w:rPr>
          <w:rtl w:val="true"/>
        </w:rPr>
        <w:t xml:space="preserve">, </w:t>
      </w:r>
      <w:r>
        <w:rPr>
          <w:rtl w:val="true"/>
        </w:rPr>
        <w:t>לדברי הסניגור</w:t>
      </w:r>
      <w:r>
        <w:rPr>
          <w:rtl w:val="true"/>
        </w:rPr>
        <w:t xml:space="preserve">, </w:t>
      </w:r>
      <w:r>
        <w:rPr>
          <w:rtl w:val="true"/>
        </w:rPr>
        <w:t>לצורכי הגנה עצמית</w:t>
      </w:r>
      <w:r>
        <w:rPr>
          <w:rtl w:val="true"/>
        </w:rPr>
        <w:t xml:space="preserve">, </w:t>
      </w:r>
      <w:r>
        <w:rPr>
          <w:rtl w:val="true"/>
        </w:rPr>
        <w:t>בשל עבודתו של הנאשם כנהג הסעות</w:t>
      </w:r>
      <w:r>
        <w:rPr>
          <w:rtl w:val="true"/>
        </w:rPr>
        <w:t xml:space="preserve">. </w:t>
      </w:r>
      <w:r>
        <w:rPr>
          <w:rtl w:val="true"/>
        </w:rPr>
        <w:t>כבר כאן ניתן לשאול</w:t>
      </w:r>
      <w:r>
        <w:rPr>
          <w:rtl w:val="true"/>
        </w:rPr>
        <w:t xml:space="preserve">, </w:t>
      </w:r>
      <w:r>
        <w:rPr>
          <w:rtl w:val="true"/>
        </w:rPr>
        <w:t xml:space="preserve">מה לנהג המסיע ילדים לבתי ספר ולהחזקת נשק </w:t>
      </w:r>
      <w:r>
        <w:rPr>
          <w:rtl w:val="true"/>
        </w:rPr>
        <w:t>"</w:t>
      </w:r>
      <w:r>
        <w:rPr>
          <w:rtl w:val="true"/>
        </w:rPr>
        <w:t>להגנה עצמית</w:t>
      </w:r>
      <w:r>
        <w:rPr>
          <w:rtl w:val="true"/>
        </w:rPr>
        <w:t xml:space="preserve">"?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יש לזכור</w:t>
      </w:r>
      <w:r>
        <w:rPr>
          <w:rtl w:val="true"/>
        </w:rPr>
        <w:t xml:space="preserve">, </w:t>
      </w:r>
      <w:r>
        <w:rPr>
          <w:rtl w:val="true"/>
        </w:rPr>
        <w:t>כי הנאשם טען בפני שירות המבחן</w:t>
      </w:r>
      <w:r>
        <w:rPr>
          <w:rtl w:val="true"/>
        </w:rPr>
        <w:t xml:space="preserve">, </w:t>
      </w:r>
      <w:r>
        <w:rPr>
          <w:rtl w:val="true"/>
        </w:rPr>
        <w:t>שהנשק הנ</w:t>
      </w:r>
      <w:r>
        <w:rPr>
          <w:rtl w:val="true"/>
        </w:rPr>
        <w:t>"</w:t>
      </w:r>
      <w:r>
        <w:rPr>
          <w:rtl w:val="true"/>
        </w:rPr>
        <w:t>ל הוחזק על ידו מפחד הגנבים</w:t>
      </w:r>
      <w:r>
        <w:rPr>
          <w:rtl w:val="true"/>
        </w:rPr>
        <w:t>...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לעבירה נשוא האישום הראשון</w:t>
      </w:r>
      <w:r>
        <w:rPr>
          <w:rtl w:val="true"/>
        </w:rPr>
        <w:t xml:space="preserve">, </w:t>
      </w:r>
      <w:r>
        <w:rPr>
          <w:rtl w:val="true"/>
        </w:rPr>
        <w:t>טען הסניגור</w:t>
      </w:r>
      <w:r>
        <w:rPr>
          <w:rtl w:val="true"/>
        </w:rPr>
        <w:t xml:space="preserve">, </w:t>
      </w:r>
      <w:r>
        <w:rPr>
          <w:rtl w:val="true"/>
        </w:rPr>
        <w:t>כי מדובר בעבירה שבוצעה לפני שנתיים וחצי</w:t>
      </w:r>
      <w:r>
        <w:rPr>
          <w:rtl w:val="true"/>
        </w:rPr>
        <w:t xml:space="preserve">, </w:t>
      </w:r>
      <w:r>
        <w:rPr>
          <w:rtl w:val="true"/>
        </w:rPr>
        <w:t>ארוע בודד שלא נעשה על רקע אידיאולוגי אלא בשל מצוקה כלכלית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 הסניגור המלומד</w:t>
      </w:r>
      <w:r>
        <w:rPr>
          <w:rtl w:val="true"/>
        </w:rPr>
        <w:t xml:space="preserve">, </w:t>
      </w:r>
      <w:r>
        <w:rPr>
          <w:rtl w:val="true"/>
        </w:rPr>
        <w:t>הגיש פסיקה וביקש לאבחן את המקרה שבפנינו מהפסיקה המחמירה שהגיש התובע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בענייננו מדובר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כלי נשק ולכן</w:t>
      </w:r>
      <w:r>
        <w:rPr>
          <w:rtl w:val="true"/>
        </w:rPr>
        <w:t xml:space="preserve">, </w:t>
      </w:r>
      <w:r>
        <w:rPr>
          <w:rtl w:val="true"/>
        </w:rPr>
        <w:t>הענישה צריכה להיות ברף התחתון של פסקי הדין העוסקים בסחר בנשק</w:t>
      </w:r>
      <w:r>
        <w:rPr>
          <w:rtl w:val="true"/>
        </w:rPr>
        <w:t xml:space="preserve">. </w:t>
      </w:r>
      <w:r>
        <w:rPr>
          <w:rtl w:val="true"/>
        </w:rPr>
        <w:t>זאת גם נוכח העובדה</w:t>
      </w:r>
      <w:r>
        <w:rPr>
          <w:rtl w:val="true"/>
        </w:rPr>
        <w:t xml:space="preserve">, </w:t>
      </w:r>
      <w:r>
        <w:rPr>
          <w:rtl w:val="true"/>
        </w:rPr>
        <w:t>שהנאשם הודה בסופו של הליך וחסך זמן שיפוטי</w:t>
      </w:r>
      <w:r>
        <w:rPr>
          <w:rtl w:val="true"/>
        </w:rPr>
        <w:t xml:space="preserve">, </w:t>
      </w:r>
      <w:r>
        <w:rPr>
          <w:rtl w:val="true"/>
        </w:rPr>
        <w:t>כאשר ההוכחות שכן נשמעו לא יכולות להיזקף לחובתו</w:t>
      </w:r>
      <w:r>
        <w:rPr>
          <w:rtl w:val="true"/>
        </w:rPr>
        <w:t xml:space="preserve">, </w:t>
      </w:r>
      <w:r>
        <w:rPr>
          <w:rtl w:val="true"/>
        </w:rPr>
        <w:t>שהרי בסופו של יום תוקן כתב האישום המקורי וצומצם רבות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הסניגור הדגיש</w:t>
      </w:r>
      <w:r>
        <w:rPr>
          <w:rtl w:val="true"/>
        </w:rPr>
        <w:t xml:space="preserve">, </w:t>
      </w:r>
      <w:r>
        <w:rPr>
          <w:rtl w:val="true"/>
        </w:rPr>
        <w:t>את הכתם שהטיל הנאשם במשפחתו כולה</w:t>
      </w:r>
      <w:r>
        <w:rPr>
          <w:rtl w:val="true"/>
        </w:rPr>
        <w:t xml:space="preserve">, </w:t>
      </w:r>
      <w:r>
        <w:rPr>
          <w:rtl w:val="true"/>
        </w:rPr>
        <w:t>משפחה נורמטיבית שאיננה מעורבת בפלילים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 הנאשם מסווג כאסיר בטחוני ולכן איננו יוצא לחופשות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הדגיש הסנגור</w:t>
      </w:r>
      <w:r>
        <w:rPr>
          <w:rtl w:val="true"/>
        </w:rPr>
        <w:t xml:space="preserve">, </w:t>
      </w:r>
      <w:r>
        <w:rPr>
          <w:rtl w:val="true"/>
        </w:rPr>
        <w:t>כי הנאשם אמנם הורשע בעבירה של סיוע לאוייב</w:t>
      </w:r>
      <w:r>
        <w:rPr>
          <w:rtl w:val="true"/>
        </w:rPr>
        <w:t xml:space="preserve">, </w:t>
      </w:r>
      <w:r>
        <w:rPr>
          <w:rtl w:val="true"/>
        </w:rPr>
        <w:t>אך בעבירה זו לא דובר על ידיעה של ממש או על חתירה לתוצאה של סיוע לאוייב</w:t>
      </w:r>
      <w:r>
        <w:rPr>
          <w:rtl w:val="true"/>
        </w:rPr>
        <w:t xml:space="preserve">, </w:t>
      </w:r>
      <w:r>
        <w:rPr>
          <w:rtl w:val="true"/>
        </w:rPr>
        <w:t xml:space="preserve">אלא על קיומה של אפשרות קרובה לודאי </w:t>
      </w:r>
      <w:r>
        <w:rPr>
          <w:rtl w:val="true"/>
        </w:rPr>
        <w:t>"</w:t>
      </w:r>
      <w:r>
        <w:rPr>
          <w:rtl w:val="true"/>
        </w:rPr>
        <w:t>בלבד</w:t>
      </w:r>
      <w:r>
        <w:rPr>
          <w:rtl w:val="true"/>
        </w:rPr>
        <w:t xml:space="preserve">", </w:t>
      </w:r>
      <w:r>
        <w:rPr>
          <w:rtl w:val="true"/>
        </w:rPr>
        <w:t>ברמה המשפטית</w:t>
      </w:r>
      <w:r>
        <w:rPr>
          <w:rtl w:val="true"/>
        </w:rPr>
        <w:t xml:space="preserve">, </w:t>
      </w:r>
      <w:r>
        <w:rPr>
          <w:rtl w:val="true"/>
        </w:rPr>
        <w:t>של אדם אשר חזקה שהוא יודע את המשמעות של מעשיו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 הסניגור לאמץ את רף הענישה הנמוך יותר ולא למצות עם הנאשם את הדין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עצמו ביקש שלא להוסיף מעבר לדברי בא כוחו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עבירות בנשק והעבירה של סיוע לאוייב בהן הורשע הנאשם</w:t>
      </w:r>
      <w:r>
        <w:rPr>
          <w:rtl w:val="true"/>
        </w:rPr>
        <w:t xml:space="preserve">, </w:t>
      </w:r>
      <w:r>
        <w:rPr>
          <w:rtl w:val="true"/>
        </w:rPr>
        <w:t>הן עבירות חמורות ביותר</w:t>
      </w:r>
      <w:r>
        <w:rPr>
          <w:rtl w:val="true"/>
        </w:rPr>
        <w:t xml:space="preserve">, </w:t>
      </w:r>
      <w:r>
        <w:rPr>
          <w:rtl w:val="true"/>
        </w:rPr>
        <w:t>ולכן על העונש המוטל בגינן להיות חמור אף הוא</w:t>
      </w:r>
      <w:r>
        <w:rPr>
          <w:rtl w:val="true"/>
        </w:rPr>
        <w:t xml:space="preserve">, </w:t>
      </w:r>
      <w:r>
        <w:rPr>
          <w:rtl w:val="true"/>
        </w:rPr>
        <w:t xml:space="preserve">ובכך לשקף רמה גבוהה של </w:t>
      </w:r>
      <w:r>
        <w:rPr>
          <w:sz w:val="22"/>
          <w:sz w:val="22"/>
          <w:szCs w:val="22"/>
          <w:rtl w:val="true"/>
        </w:rPr>
        <w:t>הרתעה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>וכך קבע ביהמ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ש העליון בעניין דומה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מפי כב</w:t>
      </w:r>
      <w:r>
        <w:rPr>
          <w:sz w:val="22"/>
          <w:szCs w:val="22"/>
          <w:rtl w:val="true"/>
        </w:rPr>
        <w:t xml:space="preserve">' </w:t>
      </w:r>
      <w:r>
        <w:rPr>
          <w:sz w:val="22"/>
          <w:sz w:val="22"/>
          <w:szCs w:val="22"/>
          <w:rtl w:val="true"/>
        </w:rPr>
        <w:t>הנשיא ברק</w:t>
      </w:r>
      <w:r>
        <w:rPr>
          <w:sz w:val="22"/>
          <w:szCs w:val="22"/>
          <w:rtl w:val="true"/>
        </w:rPr>
        <w:t xml:space="preserve">: </w:t>
      </w:r>
    </w:p>
    <w:p>
      <w:pPr>
        <w:pStyle w:val="BodyTextIndent2"/>
        <w:spacing w:lineRule="auto" w:line="240"/>
        <w:ind w:start="1440" w:end="1276"/>
        <w:jc w:val="both"/>
        <w:rPr/>
      </w:pPr>
      <w:r>
        <w:rPr>
          <w:sz w:val="22"/>
          <w:szCs w:val="22"/>
          <w:rtl w:val="true"/>
        </w:rPr>
        <w:tab/>
        <w:t>"</w:t>
      </w:r>
      <w:r>
        <w:rPr>
          <w:b/>
          <w:b/>
          <w:bCs/>
          <w:sz w:val="22"/>
          <w:sz w:val="22"/>
          <w:szCs w:val="22"/>
          <w:rtl w:val="true"/>
        </w:rPr>
        <w:t>הדברים נכונים ביתר שאת לעת הזו… החשש המיידי והוודאי שנשק זה יביא לשפיכות דמים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מצריכים ענישה מחמירה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היום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במצב בו נמצאת מדינת ישראל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טמונה בעבירות של סחר בנשק ויבוא נשק לארץ סכנת חיים של ממש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ונראה כי סכנה זו רק מחמירה והולכת… מניעת הברחות אלה יש בה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בברור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 xml:space="preserve">כדי לסכל עשרות ואף מאות פיגועים בעתיד ותחסוך שפיכות דמים בקרב הישראלים והפלשתינים… מדובר בכלי נשק אשר הסכנה המוחשית הקרובה לוודאות </w:t>
      </w:r>
      <w:r>
        <w:rPr>
          <w:b/>
          <w:bCs/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אם לא וודאות לחלוטין</w:t>
      </w:r>
      <w:r>
        <w:rPr>
          <w:b/>
          <w:bCs/>
          <w:sz w:val="22"/>
          <w:szCs w:val="22"/>
          <w:rtl w:val="true"/>
        </w:rPr>
        <w:t xml:space="preserve">) </w:t>
      </w:r>
      <w:r>
        <w:rPr>
          <w:b/>
          <w:b/>
          <w:bCs/>
          <w:sz w:val="22"/>
          <w:sz w:val="22"/>
          <w:szCs w:val="22"/>
          <w:rtl w:val="true"/>
        </w:rPr>
        <w:t>הטמונה בהן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כי יעדם הוא לידי גורמים עויינים שישתמשו בהם לביצוע הרג וטרור נגד אזרחי המדינה ותושביה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היא ניבטת וגלויה בעליל… ענישה ממשית של עבריינים אלו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עשויה לעצור את קיומו של נתיב הברחות זה</w:t>
      </w:r>
      <w:r>
        <w:rPr>
          <w:b/>
          <w:bCs/>
          <w:sz w:val="22"/>
          <w:szCs w:val="22"/>
          <w:rtl w:val="true"/>
        </w:rPr>
        <w:t>"</w:t>
      </w:r>
      <w:r>
        <w:rPr>
          <w:rtl w:val="true"/>
        </w:rPr>
        <w:t xml:space="preserve">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ר</w:t>
      </w:r>
      <w:r>
        <w:rPr>
          <w:szCs w:val="20"/>
          <w:rtl w:val="true"/>
        </w:rPr>
        <w:t xml:space="preserve">' </w:t>
      </w:r>
      <w:hyperlink r:id="rId5">
        <w:r>
          <w:rPr>
            <w:rStyle w:val="Hyperlink"/>
            <w:szCs w:val="20"/>
            <w:rtl w:val="true"/>
          </w:rPr>
          <w:t>ע</w:t>
        </w:r>
        <w:r>
          <w:rPr>
            <w:rStyle w:val="Hyperlink"/>
            <w:szCs w:val="20"/>
            <w:rtl w:val="true"/>
          </w:rPr>
          <w:t>"</w:t>
        </w:r>
        <w:r>
          <w:rPr>
            <w:rStyle w:val="Hyperlink"/>
            <w:szCs w:val="20"/>
            <w:rtl w:val="true"/>
          </w:rPr>
          <w:t xml:space="preserve">פ </w:t>
        </w:r>
        <w:r>
          <w:rPr>
            <w:rStyle w:val="Hyperlink"/>
            <w:szCs w:val="20"/>
          </w:rPr>
          <w:t>11475/04</w:t>
        </w:r>
      </w:hyperlink>
      <w:r>
        <w:rPr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מדינת ישראל נ</w:t>
      </w:r>
      <w:r>
        <w:rPr>
          <w:b/>
          <w:bCs/>
          <w:szCs w:val="20"/>
          <w:rtl w:val="true"/>
        </w:rPr>
        <w:t xml:space="preserve">' </w:t>
      </w:r>
      <w:r>
        <w:rPr>
          <w:b/>
          <w:b/>
          <w:bCs/>
          <w:szCs w:val="20"/>
          <w:rtl w:val="true"/>
        </w:rPr>
        <w:t>סוארכה</w:t>
      </w:r>
      <w:r>
        <w:rPr>
          <w:szCs w:val="20"/>
          <w:rtl w:val="true"/>
        </w:rPr>
        <w:t xml:space="preserve">, </w:t>
      </w:r>
      <w:r>
        <w:rPr>
          <w:szCs w:val="20"/>
          <w:rtl w:val="true"/>
        </w:rPr>
        <w:t xml:space="preserve">פסק דין מיום </w:t>
      </w:r>
      <w:r>
        <w:rPr>
          <w:szCs w:val="20"/>
        </w:rPr>
        <w:t>7/11/05</w:t>
      </w:r>
      <w:r>
        <w:rPr>
          <w:szCs w:val="20"/>
          <w:rtl w:val="true"/>
        </w:rPr>
        <w:t xml:space="preserve">, </w:t>
      </w:r>
      <w:r>
        <w:rPr>
          <w:szCs w:val="20"/>
          <w:rtl w:val="true"/>
        </w:rPr>
        <w:t>להלן</w:t>
      </w:r>
      <w:r>
        <w:rPr>
          <w:szCs w:val="20"/>
          <w:rtl w:val="true"/>
        </w:rPr>
        <w:t>: "</w:t>
      </w:r>
      <w:r>
        <w:rPr>
          <w:szCs w:val="20"/>
          <w:rtl w:val="true"/>
        </w:rPr>
        <w:t>פרשת סוארכה</w:t>
      </w:r>
      <w:r>
        <w:rPr>
          <w:szCs w:val="20"/>
          <w:rtl w:val="true"/>
        </w:rPr>
        <w:t>").</w:t>
      </w:r>
      <w:r>
        <w:rPr>
          <w:rtl w:val="true"/>
        </w:rPr>
        <w:t xml:space="preserve">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 לזכור</w:t>
      </w:r>
      <w:r>
        <w:rPr>
          <w:rtl w:val="true"/>
        </w:rPr>
        <w:t xml:space="preserve">, </w:t>
      </w:r>
      <w:r>
        <w:rPr>
          <w:rtl w:val="true"/>
        </w:rPr>
        <w:t>כי לא עלה בידי הרשויות לעצור את הנאשם בטרם הביא את הנשק ליעדו</w:t>
      </w:r>
      <w:r>
        <w:rPr>
          <w:rtl w:val="true"/>
        </w:rPr>
        <w:t xml:space="preserve">. </w:t>
      </w:r>
      <w:r>
        <w:rPr>
          <w:rtl w:val="true"/>
        </w:rPr>
        <w:t xml:space="preserve">הנאשם הצליח להבריח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רובי קלצ</w:t>
      </w:r>
      <w:r>
        <w:rPr>
          <w:rtl w:val="true"/>
        </w:rPr>
        <w:t>'</w:t>
      </w:r>
      <w:r>
        <w:rPr>
          <w:rtl w:val="true"/>
        </w:rPr>
        <w:t>ניקוב ומחסניות לידי גורמים עויינים בקלקיליה הכל תוך ידיעה שקרוב לודאי נשק זה ישתמשו בו כדי לפגוע ולחבל באזרחי מדינת ישראל</w:t>
      </w:r>
      <w:r>
        <w:rPr>
          <w:rtl w:val="true"/>
        </w:rPr>
        <w:t xml:space="preserve">. </w:t>
      </w:r>
      <w:r>
        <w:rPr>
          <w:rtl w:val="true"/>
        </w:rPr>
        <w:t>לא מדובר באפשרות תאורטית</w:t>
      </w:r>
      <w:r>
        <w:rPr>
          <w:rtl w:val="true"/>
        </w:rPr>
        <w:t xml:space="preserve">, </w:t>
      </w:r>
      <w:r>
        <w:rPr>
          <w:rtl w:val="true"/>
        </w:rPr>
        <w:t xml:space="preserve">כפי שמדובר היה </w:t>
      </w:r>
      <w:r>
        <w:rPr>
          <w:b/>
          <w:b/>
          <w:bCs/>
          <w:rtl w:val="true"/>
        </w:rPr>
        <w:t>בפרשת סוארכה</w:t>
      </w:r>
      <w:r>
        <w:rPr>
          <w:rtl w:val="true"/>
        </w:rPr>
        <w:t xml:space="preserve"> המוזכרת לעיל</w:t>
      </w:r>
      <w:r>
        <w:rPr>
          <w:rtl w:val="true"/>
        </w:rPr>
        <w:t xml:space="preserve">, </w:t>
      </w:r>
      <w:r>
        <w:rPr>
          <w:rtl w:val="true"/>
        </w:rPr>
        <w:t>כאשר הנשק נתפס בטרם הועבר לשטחי הרשות הפלשתינאית</w:t>
      </w:r>
      <w:r>
        <w:rPr>
          <w:rtl w:val="true"/>
        </w:rPr>
        <w:t xml:space="preserve">. </w:t>
      </w:r>
      <w:r>
        <w:rPr>
          <w:rtl w:val="true"/>
        </w:rPr>
        <w:t>במקרה שבפנינו</w:t>
      </w:r>
      <w:r>
        <w:rPr>
          <w:rtl w:val="true"/>
        </w:rPr>
        <w:t xml:space="preserve">, </w:t>
      </w:r>
      <w:r>
        <w:rPr>
          <w:rtl w:val="true"/>
        </w:rPr>
        <w:t>הנשק אכן הועבר לידי ידיים עויינות</w:t>
      </w:r>
      <w:r>
        <w:rPr>
          <w:rtl w:val="true"/>
        </w:rPr>
        <w:t xml:space="preserve">, </w:t>
      </w:r>
      <w:r>
        <w:rPr>
          <w:rtl w:val="true"/>
        </w:rPr>
        <w:t>ולכן הענישה צריכה להיות מחמירה</w:t>
      </w:r>
      <w:r>
        <w:rPr>
          <w:rtl w:val="true"/>
        </w:rPr>
        <w:t xml:space="preserve">, </w:t>
      </w:r>
      <w:r>
        <w:rPr>
          <w:rtl w:val="true"/>
        </w:rPr>
        <w:t xml:space="preserve">גם אם מדובר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רובים כפי שציין הסניגור המלומד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לשם השוואה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4043/05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בנייאת </w:t>
      </w:r>
      <w:r>
        <w:rPr>
          <w:rtl w:val="true"/>
        </w:rPr>
        <w:t>והערעורים הקשורים לערעור זה</w:t>
      </w:r>
      <w:r>
        <w:rPr>
          <w:rtl w:val="true"/>
        </w:rPr>
        <w:t xml:space="preserve">, </w:t>
      </w:r>
      <w:r>
        <w:rPr>
          <w:rtl w:val="true"/>
        </w:rPr>
        <w:t>פסק דינו של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גרוניס מיום </w:t>
      </w:r>
      <w:r>
        <w:rPr/>
        <w:t>10/8/06</w:t>
      </w:r>
      <w:r>
        <w:rPr>
          <w:rtl w:val="true"/>
        </w:rPr>
        <w:t xml:space="preserve">).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הנאשם לא היה בלדר בלבד</w:t>
      </w:r>
      <w:r>
        <w:rPr>
          <w:rtl w:val="true"/>
        </w:rPr>
        <w:t xml:space="preserve">, </w:t>
      </w:r>
      <w:r>
        <w:rPr>
          <w:rtl w:val="true"/>
        </w:rPr>
        <w:t>אלא היה חלק מקשירת הקשר לרכוש את כלי הנשק ולהבריח אותו אל תחומי הרשות הפלשתינאית</w:t>
      </w:r>
      <w:r>
        <w:rPr>
          <w:rtl w:val="true"/>
        </w:rPr>
        <w:t xml:space="preserve">. </w:t>
      </w:r>
      <w:r>
        <w:rPr>
          <w:rtl w:val="true"/>
        </w:rPr>
        <w:t>הוא זה שביצע את הרכישה והוא זה שהעביר את הנשק לידיו של אדם ברשות הפלשתינאית</w:t>
      </w:r>
      <w:r>
        <w:rPr>
          <w:rtl w:val="true"/>
        </w:rPr>
        <w:t xml:space="preserve">, </w:t>
      </w:r>
      <w:r>
        <w:rPr>
          <w:rtl w:val="true"/>
        </w:rPr>
        <w:t>תוך זהירות מירבית ותחכום</w:t>
      </w:r>
      <w:r>
        <w:rPr>
          <w:rtl w:val="true"/>
        </w:rPr>
        <w:t xml:space="preserve">, </w:t>
      </w:r>
      <w:r>
        <w:rPr>
          <w:rtl w:val="true"/>
        </w:rPr>
        <w:t>כאשר שניים מחבריו נוסעים לפניו ומוודאים</w:t>
      </w:r>
      <w:r>
        <w:rPr>
          <w:rtl w:val="true"/>
        </w:rPr>
        <w:t xml:space="preserve">, </w:t>
      </w:r>
      <w:r>
        <w:rPr>
          <w:rtl w:val="true"/>
        </w:rPr>
        <w:t>שאין מחסומים בכבישים</w:t>
      </w:r>
      <w:r>
        <w:rPr>
          <w:rtl w:val="true"/>
        </w:rPr>
        <w:t xml:space="preserve">. 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 xml:space="preserve">גם אם מטרתו של הנאשם היתה בצע כסף </w:t>
      </w:r>
      <w:r>
        <w:rPr>
          <w:rtl w:val="true"/>
        </w:rPr>
        <w:t>"</w:t>
      </w:r>
      <w:r>
        <w:rPr>
          <w:rtl w:val="true"/>
        </w:rPr>
        <w:t>בלבד</w:t>
      </w:r>
      <w:r>
        <w:rPr>
          <w:rtl w:val="true"/>
        </w:rPr>
        <w:t xml:space="preserve">", </w:t>
      </w:r>
      <w:r>
        <w:rPr>
          <w:rtl w:val="true"/>
        </w:rPr>
        <w:t>כטענת הסנגור</w:t>
      </w:r>
      <w:r>
        <w:rPr>
          <w:rtl w:val="true"/>
        </w:rPr>
        <w:t xml:space="preserve">, </w:t>
      </w:r>
      <w:r>
        <w:rPr>
          <w:rtl w:val="true"/>
        </w:rPr>
        <w:t>וגם אם העבירות לא בוצעו על רקע אידיאולוגי</w:t>
      </w:r>
      <w:r>
        <w:rPr>
          <w:rtl w:val="true"/>
        </w:rPr>
        <w:t xml:space="preserve">, </w:t>
      </w:r>
      <w:r>
        <w:rPr>
          <w:rtl w:val="true"/>
        </w:rPr>
        <w:t>הרי שמעשיו  מחייבים ענישה מחמירה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בפרשת סוארכה</w:t>
      </w:r>
      <w:r>
        <w:rPr>
          <w:rtl w:val="true"/>
        </w:rPr>
        <w:t xml:space="preserve">, </w:t>
      </w:r>
      <w:r>
        <w:rPr>
          <w:rtl w:val="true"/>
        </w:rPr>
        <w:t>ציין כב</w:t>
      </w:r>
      <w:r>
        <w:rPr>
          <w:rtl w:val="true"/>
        </w:rPr>
        <w:t xml:space="preserve">' </w:t>
      </w:r>
      <w:r>
        <w:rPr>
          <w:rtl w:val="true"/>
        </w:rPr>
        <w:t>הנשיא ברק בעניין זה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BodyTextIndent2"/>
        <w:spacing w:lineRule="auto" w:line="240"/>
        <w:ind w:start="1440" w:end="1276"/>
        <w:jc w:val="both"/>
        <w:rPr/>
      </w:pPr>
      <w:r>
        <w:rPr>
          <w:rtl w:val="true"/>
        </w:rPr>
        <w:tab/>
      </w:r>
      <w:r>
        <w:rPr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אמנם מניעיהם של המשיבים לא היו אידיאולוגיים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 xml:space="preserve">מעשיהם נעשו לשם השגת רווח כספי…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אולם</w:t>
      </w:r>
      <w:r>
        <w:rPr>
          <w:szCs w:val="20"/>
          <w:rtl w:val="true"/>
        </w:rPr>
        <w:t>)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מעשיהם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יהיו מניעיהם אשר יהיו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מחייבים ענישה מחמירה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יש להטיל בגינם רמת ענישה אשר יהא בה כדי להרתיע את המשיבים ושכמותם ממעשים דומים</w:t>
      </w:r>
      <w:r>
        <w:rPr>
          <w:b/>
          <w:bCs/>
          <w:sz w:val="22"/>
          <w:szCs w:val="22"/>
          <w:rtl w:val="true"/>
        </w:rPr>
        <w:t>"</w:t>
      </w:r>
      <w:r>
        <w:rPr>
          <w:sz w:val="22"/>
          <w:szCs w:val="22"/>
          <w:rtl w:val="true"/>
        </w:rPr>
        <w:t xml:space="preserve">. </w:t>
      </w:r>
    </w:p>
    <w:p>
      <w:pPr>
        <w:pStyle w:val="BodyTextIndent2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משמדובר בנאשם שהוא אזרח ישראלי</w:t>
      </w:r>
      <w:r>
        <w:rPr>
          <w:rtl w:val="true"/>
        </w:rPr>
        <w:t xml:space="preserve">, </w:t>
      </w:r>
      <w:r>
        <w:rPr>
          <w:rtl w:val="true"/>
        </w:rPr>
        <w:t>שקשר קשר לסייע לאוייב ואף עשה כן בפועל – יש להחמיר עמו אף מעבר לענישה שהיינו מטילים על מי שאינם אזרחי המדינה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</w:p>
    <w:p>
      <w:pPr>
        <w:pStyle w:val="BodyTextIndent2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ולאור המציאות הבטחונית בה מצוייה היום מדינת ישראל</w:t>
      </w:r>
      <w:r>
        <w:rPr>
          <w:rtl w:val="true"/>
        </w:rPr>
        <w:t xml:space="preserve">, </w:t>
      </w:r>
      <w:r>
        <w:rPr>
          <w:rtl w:val="true"/>
        </w:rPr>
        <w:t>מוטלת חובה על בתי המשפט להעניש בחומרה את אלה המורשעים בעבירה של סחר בנשק וסיוע לאוייב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אנו גוזרים על הנאשם עונש מאסר לריצוי בפועל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 ימי המעצר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ניתן היום ז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בחשון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תשס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ז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29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לאוקטובר </w:t>
      </w:r>
      <w:r>
        <w:rPr>
          <w:rFonts w:cs="Arial" w:ascii="Arial" w:hAnsi="Arial"/>
          <w:b/>
          <w:bCs/>
          <w:color w:val="000000"/>
        </w:rPr>
        <w:t>2006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במעמד הצדדים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54678313-1013/05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2"/>
          <w:szCs w:val="2"/>
        </w:rPr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5467831354678313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color w:val="000000"/>
          <w:szCs w:val="20"/>
        </w:rPr>
      </w:pPr>
      <w:r>
        <w:rPr>
          <w:rFonts w:cs="Arial" w:ascii="Arial" w:hAnsi="Arial"/>
          <w:szCs w:val="20"/>
        </w:rPr>
        <w:t>001013/05</w:t>
      </w:r>
      <w:r>
        <w:rPr>
          <w:rFonts w:ascii="Arial" w:hAnsi="Arial" w:cs="Arial"/>
          <w:szCs w:val="20"/>
          <w:rtl w:val="true"/>
        </w:rPr>
        <w:t xml:space="preserve">פח </w:t>
      </w:r>
      <w:r>
        <w:rPr>
          <w:rFonts w:cs="Arial" w:ascii="Arial" w:hAnsi="Arial"/>
          <w:szCs w:val="20"/>
        </w:rPr>
        <w:t>055</w:t>
      </w:r>
      <w:r>
        <w:rPr>
          <w:rFonts w:cs="Arial" w:ascii="Arial" w:hAnsi="Arial"/>
          <w:szCs w:val="20"/>
          <w:rtl w:val="true"/>
        </w:rPr>
        <w:t xml:space="preserve"> </w:t>
      </w:r>
      <w:r>
        <w:rPr>
          <w:rFonts w:ascii="Arial" w:hAnsi="Arial" w:cs="Arial"/>
          <w:szCs w:val="20"/>
          <w:rtl w:val="true"/>
        </w:rPr>
        <w:t>טובה</w:t>
      </w:r>
    </w:p>
    <w:p>
      <w:pPr>
        <w:pStyle w:val="Normal"/>
        <w:ind w:end="0"/>
        <w:jc w:val="start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  <w:rtl w:val="true"/>
        </w:rPr>
        <w:t>נוסח מסמך זה כפוף לשינויי ניסוח 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/Users/liorb/Downloads/study2025-p2/m05001013-371.doc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1013/05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אלעביד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rFonts w:ascii="Arial" w:hAnsi="Arial" w:cs="Arial"/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>
      <w:rFonts w:ascii="Arial" w:hAnsi="Arial" w:cs="Arial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6180844" TargetMode="External"/><Relationship Id="rId6" Type="http://schemas.openxmlformats.org/officeDocument/2006/relationships/hyperlink" Target="http://www.nevo.co.il/case/5735726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2016-03-23T10:53:00Z</dcterms:created>
  <dc:creator> </dc:creator>
  <dc:description/>
  <cp:keywords/>
  <dc:language>en-IL</dc:language>
  <cp:lastModifiedBy>hofit</cp:lastModifiedBy>
  <dcterms:modified xsi:type="dcterms:W3CDTF">2016-03-23T10:53:00Z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אלעביד סאמי</vt:lpwstr>
  </property>
  <property fmtid="{D5CDD505-2E9C-101B-9397-08002B2CF9AE}" pid="4" name="CASESLISTTMP1">
    <vt:lpwstr>6180844;5735726</vt:lpwstr>
  </property>
  <property fmtid="{D5CDD505-2E9C-101B-9397-08002B2CF9AE}" pid="5" name="CITY">
    <vt:lpwstr>ב"ש</vt:lpwstr>
  </property>
  <property fmtid="{D5CDD505-2E9C-101B-9397-08002B2CF9AE}" pid="6" name="DATE">
    <vt:lpwstr>20070114</vt:lpwstr>
  </property>
  <property fmtid="{D5CDD505-2E9C-101B-9397-08002B2CF9AE}" pid="7" name="DELEMATA">
    <vt:lpwstr/>
  </property>
  <property fmtid="{D5CDD505-2E9C-101B-9397-08002B2CF9AE}" pid="8" name="JUDGE">
    <vt:lpwstr>ר. יפה כץ;ו. מרוז;א.ואגו</vt:lpwstr>
  </property>
  <property fmtid="{D5CDD505-2E9C-101B-9397-08002B2CF9AE}" pid="9" name="LAWLISTTMP1">
    <vt:lpwstr>70301:2</vt:lpwstr>
  </property>
  <property fmtid="{D5CDD505-2E9C-101B-9397-08002B2CF9AE}" pid="10" name="LAWYER">
    <vt:lpwstr>י. קישון;ע. ליסטר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1013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