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סוג_מסמך"/>
      <w:bookmarkEnd w:id="0"/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4"/>
        <w:gridCol w:w="4602"/>
        <w:gridCol w:w="1838"/>
        <w:gridCol w:w="1318"/>
      </w:tblGrid>
      <w:tr>
        <w:trPr>
          <w:trHeight w:val="195" w:hRule="atLeast"/>
          <w:cantSplit w:val="true"/>
        </w:trPr>
        <w:tc>
          <w:tcPr>
            <w:tcW w:w="536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31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001013/07</w:t>
            </w:r>
          </w:p>
        </w:tc>
      </w:tr>
      <w:tr>
        <w:trPr>
          <w:trHeight w:val="195" w:hRule="atLeast"/>
          <w:cantSplit w:val="true"/>
        </w:trPr>
        <w:tc>
          <w:tcPr>
            <w:tcW w:w="536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31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מרוז 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שופטת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שופט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  <w:tc>
          <w:tcPr>
            <w:tcW w:w="1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10/05/2007</w:t>
            </w:r>
          </w:p>
        </w:tc>
      </w:tr>
    </w:tbl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458"/>
        <w:gridCol w:w="142"/>
        <w:gridCol w:w="12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360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אברהם</w:t>
            </w:r>
          </w:p>
        </w:tc>
        <w:tc>
          <w:tcPr>
            <w:tcW w:w="1220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עתאמנה איסמעיל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</w:t>
            </w:r>
            <w:r>
              <w:rPr>
                <w:rFonts w:cs="Arial" w:ascii="Arial" w:hAnsi="Arial"/>
              </w:rPr>
              <w:t>/5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3458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אברין</w:t>
            </w:r>
          </w:p>
        </w:tc>
        <w:tc>
          <w:tcPr>
            <w:tcW w:w="1362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11" w:name="LawTable"/>
      <w:bookmarkStart w:id="12" w:name="LawTable"/>
      <w:bookmarkEnd w:id="1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1945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85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85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5" w:name="סוג_מסמך"/>
      <w:bookmarkStart w:id="16" w:name="PsakDin"/>
      <w:bookmarkEnd w:id="15"/>
      <w:bookmarkEnd w:id="16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bookmarkStart w:id="17" w:name="PsakDin"/>
      <w:bookmarkEnd w:id="17"/>
      <w:r>
        <w:rPr>
          <w:rFonts w:ascii="Arial" w:hAnsi="Arial" w:cs="Arial"/>
          <w:b/>
          <w:b/>
          <w:bCs/>
          <w:u w:val="single"/>
          <w:rtl w:val="true"/>
        </w:rPr>
        <w:t>השופטת 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 הסדר טיעון תוקן כתב האישום המקורי שהוגש כנגד הנאשם והוא הודה  והורשע בהתאם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bookmarkStart w:id="18" w:name="ABSTRACT_START"/>
      <w:bookmarkEnd w:id="18"/>
      <w:r>
        <w:rPr>
          <w:rFonts w:ascii="Arial" w:hAnsi="Arial" w:cs="Arial"/>
          <w:rtl w:val="true"/>
        </w:rPr>
        <w:t>מכתב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בין השנים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חבר בארגון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אקצא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הארגון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אשר הוכרז בתאריך </w:t>
      </w:r>
      <w:r>
        <w:rPr>
          <w:rFonts w:cs="Arial" w:ascii="Arial" w:hAnsi="Arial"/>
        </w:rPr>
        <w:t>28/11/02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שר הבטחון כהתאחדות בלתי מותרת</w:t>
      </w:r>
      <w:r>
        <w:rPr>
          <w:rFonts w:cs="Arial" w:ascii="Arial" w:hAnsi="Arial"/>
          <w:rtl w:val="true"/>
        </w:rPr>
        <w:t xml:space="preserve">. </w:t>
      </w:r>
      <w:bookmarkStart w:id="19" w:name="ABSTRACT_END"/>
      <w:bookmarkEnd w:id="19"/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בארגון פעל הנאשם יחד עם פעילים נוספים ואף השתתף בביקור שערכו פעילי הארגון אצל מוחמד דחלאן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חבר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שיש בו כדי לפגוע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הורשע בעבירה של חברות בהתאחדות בלתי מותרת לפי תקנה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לתקנות ההגנה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חרום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השני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במועד כלשהו במהלך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פעילותו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סיכם עם חאתם אלאשקר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פעיל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בפלג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הנקרא עטאף עבייאת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ישמור עליו באמצעות מקלע שיספק לו חאתם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חאתם סיפק לנאשם מקלע והנאשם החזיק אותו אצלו ואף שמר על חאתם ברצועת עזה כשהוא נושא עמו את המקלע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במעשיו אלה נתן הנאשם שרות להתאחדות בלתי מותרת והחזיק ונשא נשק לשם כך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בעבירות של מתן שרות להתאחדות בלתי מותרת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לתקנות ההגנה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חרום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ריישא 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אברהם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הסכנה שהעמיד הנאשם במעשיו את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להקל ראש או לזלזל בעבירות שעבר הנאשם מאחר והוא קיבל על עצמו את האידיאולוגיה של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אידיאולוגיה שכוללת תסיסה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 טרור ופגיעה באזרחי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השתייכותו של הנאשם לארגון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נשאה אופי אידיאולוגי בלבד אלא גם אופי מעשי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שימש כחיייל לכל דבר ועניין בארגון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דברים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הפסיקה שהגישה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התובעת להטיל על הנאשם עונש מאסר בפועל משמעותי ומרתיע וכן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לסייע במניעת התגייסות תושבי עזה לארגוני הטרור השונים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על הנסיבות המיוחדות שהביאו את הנאשם לעבור את העבירות נשוא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חיפש עבודה 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במודיעין המסכל של הרשות הפלשתינאית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שהיתה אז ברשות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וכתנאי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 להתגייס לגדודי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שהצטרפותו לארגון לא נבעה מרצונו לפגוע בבטחון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מרצונו להתקבל לעבודה בבטחון המסכל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ציין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הפעולות הספציפיות המיוחסות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פעולות שעבר כחבר בארגון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בהן כשלעצמן כל ממש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הפעולה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הביקור אצל חבר פרלמנט והשר לענייני פנים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דחלאן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איננה פעילות של ממש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ולא ביטאה כוונה טרוריסטית כלשהי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צריך להבין מהביקור אצל דחלאן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היה במשרה הגבוהה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שכחלק מפגישת היכרות עם המתגייסים החדשים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דחלאן גם 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באותה תקופה ועד עצם היום הזה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מנהלת מדינת ישראל משא ומתן עם אותו דחלאן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לפעילות השניה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נשוא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נתן הנאשם שרות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שמר על אותו חאתם מפני פעילי 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הסניגור שגם בפעילות זו לא סיכן הנאשם את אזרחי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היה בעניינים הקשורים בסכסוכים הפנימיים בין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פעילות שולית ברשת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שאינה קשורה כלל לבטחון מדינת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אמנם הסניגור הסכים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חוליה בשרשרת של 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אבל תפקידו היה מינורי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ביצע ולא שידל אחרים לבצע פעילות אלימה כנגד מדינת ישראל וחברותו בארגון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היתה לתקופה קצרה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הקטנה בת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תנאי חייו קשים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אינה עובדת ואין מי שיפרנס את משפחתם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ללא עבר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בטחוני ולא פלילי והמעידה נשוא כתב האישום היא המעידה היחידה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בהזדמנות הראשונה לאחר 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שיתף פעולה עם חוקריו ובסופו של יום לא גרם כל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לאדם ולא לרכוש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הסניגור הגיש פסיקה ענפה וביקש על 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למצות את הדין עם הנאשם ולהסתפק בענישה מידתית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גם הנאשם עצמו פנה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והסביר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אותו חאתם עליו שמר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בן דודו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חאתם עבד במשטרה 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מלווה אותו לעבודתו במשך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הוסיף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מעולם לא הזיק לאף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 לישראלי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גם להתחשב במצבו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נורה בעבר בחזהו במהלך פעילותו בבטחון המסכל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סיפר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טופל בגין פצע היריה בבית החולים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אסף הרופא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במהלך השנה שעברה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אגב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מדבריו אלה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בשנה שעברה היה עדיין חבר בבטחון המסכל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מצטער מאוד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עשה מעולם דבר נגד מדינת ישראל וביקש להתחשב במצבו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חברות בארגון טרור לעולם חמורה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החבר בארגון הטרור לא נקט בפעולת טרור כלשהי בעצמו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המציאות הבטחונית באזורנו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להשלים עם התחזקותם של ארגוני הטרור ולא ניתן להתייחס בסלחנות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 לחוליות מינוריות של הנוטלים חלק בשרשרת הטרור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להעביר מסר חד משמעי וברור לכל מי שנוטל חלק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צפוי לענישה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כמסר הרתעתי לנאשם עצמו והן כמסר הרתעתי לציבור בכללותו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עבירה של חברות בהתאחדות בלתי מותרת ומתן שירות להתאחדות שכזו נמדדת בשני מדדים של חומרה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החברות בארגון ונקיטת פעולות אקטיביות במסגרתו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והשני – חברות גרידא בארגון בלא נקיטת פעולות נוספות </w:t>
      </w:r>
      <w:r>
        <w:rPr>
          <w:rFonts w:ascii="Arial" w:hAnsi="Arial" w:cs="Arial"/>
          <w:sz w:val="24"/>
          <w:sz w:val="24"/>
          <w:rtl w:val="true"/>
        </w:rPr>
        <w:t xml:space="preserve">במסגרתו </w:t>
      </w:r>
      <w:r>
        <w:rPr>
          <w:rFonts w:cs="Arial" w:ascii="Arial" w:hAnsi="Arial"/>
          <w:szCs w:val="20"/>
          <w:rtl w:val="true"/>
        </w:rPr>
        <w:t>(</w:t>
      </w:r>
      <w:r>
        <w:rPr>
          <w:rFonts w:ascii="Arial" w:hAnsi="Arial" w:cs="Arial"/>
          <w:szCs w:val="20"/>
          <w:rtl w:val="true"/>
        </w:rPr>
        <w:t>ר</w:t>
      </w:r>
      <w:r>
        <w:rPr>
          <w:rFonts w:cs="Arial" w:ascii="Arial" w:hAnsi="Arial"/>
          <w:szCs w:val="20"/>
          <w:rtl w:val="true"/>
        </w:rPr>
        <w:t xml:space="preserve">' </w:t>
      </w:r>
      <w:r>
        <w:rPr>
          <w:rFonts w:ascii="Arial" w:hAnsi="Arial" w:cs="Arial"/>
          <w:szCs w:val="20"/>
          <w:rtl w:val="true"/>
        </w:rPr>
        <w:t xml:space="preserve">לענין זה </w:t>
      </w:r>
      <w:hyperlink r:id="rId11">
        <w:r>
          <w:rPr>
            <w:rStyle w:val="Hyperlink"/>
            <w:rFonts w:ascii="Arial" w:hAnsi="Arial" w:cs="Arial"/>
            <w:szCs w:val="20"/>
            <w:rtl w:val="true"/>
          </w:rPr>
          <w:t>תפ</w:t>
        </w:r>
        <w:r>
          <w:rPr>
            <w:rStyle w:val="Hyperlink"/>
            <w:rFonts w:cs="Arial" w:ascii="Arial" w:hAnsi="Arial"/>
            <w:szCs w:val="20"/>
            <w:rtl w:val="true"/>
          </w:rPr>
          <w:t>"</w:t>
        </w:r>
        <w:r>
          <w:rPr>
            <w:rStyle w:val="Hyperlink"/>
            <w:rFonts w:ascii="Arial" w:hAnsi="Arial" w:cs="Arial"/>
            <w:szCs w:val="20"/>
            <w:rtl w:val="true"/>
          </w:rPr>
          <w:t xml:space="preserve">ח </w:t>
        </w:r>
        <w:r>
          <w:rPr>
            <w:rStyle w:val="Hyperlink"/>
            <w:rFonts w:cs="Arial" w:ascii="Arial" w:hAnsi="Arial"/>
            <w:szCs w:val="20"/>
          </w:rPr>
          <w:t>1163/06</w:t>
        </w:r>
      </w:hyperlink>
      <w:r>
        <w:rPr>
          <w:rFonts w:cs="Arial" w:ascii="Arial" w:hAnsi="Arial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Cs w:val="20"/>
          <w:rtl w:val="true"/>
        </w:rPr>
        <w:t>מדינת ישראל נ</w:t>
      </w:r>
      <w:r>
        <w:rPr>
          <w:rFonts w:cs="Arial" w:ascii="Arial" w:hAnsi="Arial"/>
          <w:b/>
          <w:bCs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Cs w:val="20"/>
          <w:rtl w:val="true"/>
        </w:rPr>
        <w:t>כפרנה</w:t>
      </w:r>
      <w:r>
        <w:rPr>
          <w:rFonts w:cs="Arial" w:ascii="Arial" w:hAnsi="Arial"/>
          <w:szCs w:val="20"/>
          <w:rtl w:val="true"/>
        </w:rPr>
        <w:t xml:space="preserve">, </w:t>
      </w:r>
      <w:r>
        <w:rPr>
          <w:rFonts w:ascii="Arial" w:hAnsi="Arial" w:cs="Arial"/>
          <w:szCs w:val="20"/>
          <w:rtl w:val="true"/>
        </w:rPr>
        <w:t xml:space="preserve">מיום </w:t>
      </w:r>
      <w:r>
        <w:rPr>
          <w:rFonts w:cs="Arial" w:ascii="Arial" w:hAnsi="Arial"/>
          <w:szCs w:val="20"/>
        </w:rPr>
        <w:t>27/2/07</w:t>
      </w:r>
      <w:r>
        <w:rPr>
          <w:rFonts w:cs="Arial" w:ascii="Arial" w:hAnsi="Arial"/>
          <w:szCs w:val="20"/>
          <w:rtl w:val="true"/>
        </w:rPr>
        <w:t xml:space="preserve"> </w:t>
      </w:r>
      <w:r>
        <w:rPr>
          <w:rFonts w:ascii="Arial" w:hAnsi="Arial" w:cs="Arial"/>
          <w:szCs w:val="20"/>
          <w:rtl w:val="true"/>
        </w:rPr>
        <w:t>וכן ר</w:t>
      </w:r>
      <w:r>
        <w:rPr>
          <w:rFonts w:cs="Arial" w:ascii="Arial" w:hAnsi="Arial"/>
          <w:szCs w:val="20"/>
          <w:rtl w:val="true"/>
        </w:rPr>
        <w:t xml:space="preserve">' </w:t>
      </w:r>
      <w:hyperlink r:id="rId12">
        <w:r>
          <w:rPr>
            <w:rStyle w:val="Hyperlink"/>
            <w:rFonts w:ascii="Arial" w:hAnsi="Arial" w:cs="Arial"/>
            <w:b/>
            <w:b/>
            <w:bCs/>
            <w:szCs w:val="20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szCs w:val="20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szCs w:val="20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szCs w:val="20"/>
            <w:rtl w:val="true"/>
          </w:rPr>
          <w:t>. (</w:t>
        </w:r>
        <w:r>
          <w:rPr>
            <w:rStyle w:val="Hyperlink"/>
            <w:rFonts w:ascii="Arial" w:hAnsi="Arial" w:cs="Arial"/>
            <w:b/>
            <w:b/>
            <w:bCs/>
            <w:szCs w:val="20"/>
            <w:rtl w:val="true"/>
          </w:rPr>
          <w:t>ירושלים</w:t>
        </w:r>
        <w:r>
          <w:rPr>
            <w:rStyle w:val="Hyperlink"/>
            <w:rFonts w:cs="Arial" w:ascii="Arial" w:hAnsi="Arial"/>
            <w:b/>
            <w:bCs/>
            <w:szCs w:val="20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szCs w:val="20"/>
          </w:rPr>
          <w:t>1221/01</w:t>
        </w:r>
      </w:hyperlink>
      <w:r>
        <w:rPr>
          <w:rFonts w:cs="Arial" w:ascii="Arial" w:hAnsi="Arial"/>
          <w:b/>
          <w:bCs/>
          <w:szCs w:val="20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Cs w:val="20"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szCs w:val="20"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szCs w:val="20"/>
          <w:u w:val="single"/>
          <w:rtl w:val="true"/>
        </w:rPr>
        <w:t>עומר עוויס</w:t>
      </w:r>
      <w:r>
        <w:rPr>
          <w:rFonts w:cs="Arial" w:ascii="Arial" w:hAnsi="Arial"/>
          <w:szCs w:val="20"/>
          <w:rtl w:val="true"/>
        </w:rPr>
        <w:t xml:space="preserve">, </w:t>
      </w:r>
      <w:r>
        <w:rPr>
          <w:rFonts w:ascii="Arial" w:hAnsi="Arial" w:cs="Arial"/>
          <w:szCs w:val="20"/>
          <w:rtl w:val="true"/>
        </w:rPr>
        <w:t>תק</w:t>
      </w:r>
      <w:r>
        <w:rPr>
          <w:rFonts w:cs="Arial" w:ascii="Arial" w:hAnsi="Arial"/>
          <w:szCs w:val="20"/>
          <w:rtl w:val="true"/>
        </w:rPr>
        <w:t>'-</w:t>
      </w:r>
      <w:r>
        <w:rPr>
          <w:rFonts w:ascii="Arial" w:hAnsi="Arial" w:cs="Arial"/>
          <w:szCs w:val="20"/>
          <w:rtl w:val="true"/>
        </w:rPr>
        <w:t>מח</w:t>
      </w:r>
      <w:r>
        <w:rPr>
          <w:rFonts w:cs="Arial" w:ascii="Arial" w:hAnsi="Arial"/>
          <w:szCs w:val="20"/>
          <w:rtl w:val="true"/>
        </w:rPr>
        <w:t xml:space="preserve">' </w:t>
      </w:r>
      <w:r>
        <w:rPr>
          <w:rFonts w:cs="Arial" w:ascii="Arial" w:hAnsi="Arial"/>
          <w:szCs w:val="20"/>
        </w:rPr>
        <w:t>2002</w:t>
      </w:r>
      <w:r>
        <w:rPr>
          <w:rFonts w:cs="Arial" w:ascii="Arial" w:hAnsi="Arial"/>
          <w:szCs w:val="20"/>
          <w:rtl w:val="true"/>
        </w:rPr>
        <w:t>(</w:t>
      </w:r>
      <w:r>
        <w:rPr>
          <w:rFonts w:cs="Arial" w:ascii="Arial" w:hAnsi="Arial"/>
          <w:szCs w:val="20"/>
        </w:rPr>
        <w:t>1</w:t>
      </w:r>
      <w:r>
        <w:rPr>
          <w:rFonts w:cs="Arial" w:ascii="Arial" w:hAnsi="Arial"/>
          <w:szCs w:val="20"/>
          <w:rtl w:val="true"/>
        </w:rPr>
        <w:t>)</w:t>
      </w:r>
      <w:r>
        <w:rPr>
          <w:rFonts w:cs="Arial" w:ascii="Arial" w:hAnsi="Arial"/>
          <w:szCs w:val="20"/>
        </w:rPr>
        <w:t>10937</w:t>
      </w:r>
      <w:r>
        <w:rPr>
          <w:rFonts w:cs="Arial" w:ascii="Arial" w:hAnsi="Arial"/>
          <w:szCs w:val="20"/>
          <w:rtl w:val="true"/>
        </w:rPr>
        <w:t xml:space="preserve"> </w:t>
      </w:r>
      <w:r>
        <w:rPr>
          <w:rFonts w:ascii="Arial" w:hAnsi="Arial" w:cs="Arial"/>
          <w:szCs w:val="20"/>
          <w:rtl w:val="true"/>
        </w:rPr>
        <w:t>מפי כב</w:t>
      </w:r>
      <w:r>
        <w:rPr>
          <w:rFonts w:cs="Arial" w:ascii="Arial" w:hAnsi="Arial"/>
          <w:szCs w:val="20"/>
          <w:rtl w:val="true"/>
        </w:rPr>
        <w:t xml:space="preserve">' </w:t>
      </w:r>
      <w:r>
        <w:rPr>
          <w:rFonts w:ascii="Arial" w:hAnsi="Arial" w:cs="Arial"/>
          <w:szCs w:val="20"/>
          <w:rtl w:val="true"/>
        </w:rPr>
        <w:t>השופט גל</w:t>
      </w:r>
      <w:r>
        <w:rPr>
          <w:rFonts w:cs="Arial" w:ascii="Arial" w:hAnsi="Arial"/>
          <w:szCs w:val="20"/>
          <w:rtl w:val="true"/>
        </w:rPr>
        <w:t>).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בענייננו ניתן 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הורשע בעיקרו בעצם חברותו בהתאחדות הבלתי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שהפעולות שביצע במסגרת האישום השני לא בוצעו כנגד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המעשים נשוא האישום השני ואם בעצם חברותו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כדי להעצים ולהאדיר את 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לתת לו תמיכה ולעודד את פעילותו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עצם הצטרפותו של אדם לארגון טרור מאפשר את הפעילות של הארגון על כל רבדיה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פעילותם של קיצוניים בין החברים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אלה שפוגעים ישירות במדינת ישראל ותושביה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החברות בארגון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התמצתה בעצם החברות או בשמירה על אחד מחבריה מפני ארגוני טרור יריבים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תמיכה בארגון ופגיעה בבטחון מדינת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מובן מאליו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לעניין העונש עלינו לשקול גם את מהות והיקף הפעילות של אותו חבר בארגון הטרור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לומר כי במעשיו של הנאשם פגע ישירות באזרחי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שכל מי שקיבל על עצמו להיות חבר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ששם לו למטרה לפגוע במדינת ישראל ולא יוכל לטעון אחרת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 בארגון טרור לא יוכל לומר שלא התכוון להיות שותף למטרותיו של הארגון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הודאתו של הנאשם בעובדות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 ונסיבותיו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העובדה שעזב את ארגון הטרור מיוזמתו כבר לפני שנים ושיתף פעולה עם גורמי החקירה – אין מקום למצות עמו את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אנו גוזרים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החל מיום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דהיינו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6/11/06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ניתן היום כב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באייר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תשס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ז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10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במאי </w:t>
      </w:r>
      <w:r>
        <w:rPr>
          <w:rFonts w:cs="Arial" w:ascii="Arial" w:hAnsi="Arial"/>
          <w:b/>
          <w:bCs/>
          <w:color w:val="000000"/>
        </w:rPr>
        <w:t>2007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rtl w:val="true"/>
        </w:rPr>
        <w:t>במעמד הצדדים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54678313-1013/07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2"/>
          <w:szCs w:val="2"/>
        </w:rPr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5467831354678313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001013/07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טובה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/Users/liorb/Downloads/study2025-p2/m07001013-375.doc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1013/07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עתאמנה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איסמעיל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rFonts w:ascii="Arial" w:hAnsi="Arial" w:cs="Arial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3729/85.1.a" TargetMode="External"/><Relationship Id="rId8" Type="http://schemas.openxmlformats.org/officeDocument/2006/relationships/hyperlink" Target="http://www.nevo.co.il/law/73729/85.1.c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485349" TargetMode="External"/><Relationship Id="rId12" Type="http://schemas.openxmlformats.org/officeDocument/2006/relationships/hyperlink" Target="http://www.nevo.co.il/case/7743685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2016-10-05T13:09:00Z</dcterms:created>
  <dc:creator> </dc:creator>
  <dc:description/>
  <cp:keywords/>
  <dc:language>en-IL</dc:language>
  <cp:lastModifiedBy>hofit</cp:lastModifiedBy>
  <dcterms:modified xsi:type="dcterms:W3CDTF">2016-10-05T13:09:00Z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עתאמנה איסמעיל</vt:lpwstr>
  </property>
  <property fmtid="{D5CDD505-2E9C-101B-9397-08002B2CF9AE}" pid="4" name="CASESLISTTMP1">
    <vt:lpwstr>485349;7743685</vt:lpwstr>
  </property>
  <property fmtid="{D5CDD505-2E9C-101B-9397-08002B2CF9AE}" pid="5" name="CITY">
    <vt:lpwstr>ב"ש</vt:lpwstr>
  </property>
  <property fmtid="{D5CDD505-2E9C-101B-9397-08002B2CF9AE}" pid="6" name="DATE">
    <vt:lpwstr>20070510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יפה כ#ץ;ו. מרוז;א. ואגו</vt:lpwstr>
  </property>
  <property fmtid="{D5CDD505-2E9C-101B-9397-08002B2CF9AE}" pid="10" name="LAWLISTTMP1">
    <vt:lpwstr>73729/085.1.a;085.1.c</vt:lpwstr>
  </property>
  <property fmtid="{D5CDD505-2E9C-101B-9397-08002B2CF9AE}" pid="11" name="LAWLISTTMP2">
    <vt:lpwstr>70301/144.b</vt:lpwstr>
  </property>
  <property fmtid="{D5CDD505-2E9C-101B-9397-08002B2CF9AE}" pid="12" name="LAWYER">
    <vt:lpwstr>א. אברהם;א. ג'אברין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1013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