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start="288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961"/>
        <w:gridCol w:w="851"/>
        <w:gridCol w:w="1809"/>
      </w:tblGrid>
      <w:tr>
        <w:trPr>
          <w:trHeight w:val="195" w:hRule="atLeast"/>
        </w:trPr>
        <w:tc>
          <w:tcPr>
            <w:tcW w:w="586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001019/09</w:t>
            </w:r>
          </w:p>
        </w:tc>
      </w:tr>
      <w:tr>
        <w:trPr>
          <w:trHeight w:val="621" w:hRule="atLeast"/>
        </w:trPr>
        <w:tc>
          <w:tcPr>
            <w:tcW w:w="586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אזולאי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זלוצ</w:t>
            </w:r>
            <w:r>
              <w:rPr>
                <w:b/>
                <w:bCs/>
                <w:sz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ובר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צפת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30/09/2009</w:t>
            </w:r>
          </w:p>
        </w:tc>
      </w:tr>
    </w:tbl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1843"/>
        <w:gridCol w:w="3063"/>
        <w:gridCol w:w="2409"/>
      </w:tblGrid>
      <w:tr>
        <w:trPr/>
        <w:tc>
          <w:tcPr>
            <w:tcW w:w="1276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1843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8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  <w:p>
            <w:pPr>
              <w:pStyle w:val="Style8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bookmarkStart w:id="4" w:name="שם_ב"/>
            <w:r>
              <w:rPr>
                <w:sz w:val="24"/>
                <w:sz w:val="24"/>
                <w:rtl w:val="true"/>
              </w:rPr>
              <w:t>עבד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רבו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ראגי</w:t>
            </w:r>
            <w:bookmarkEnd w:id="4"/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843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bookmarkStart w:id="5" w:name="כינוי_ב"/>
            <w:bookmarkEnd w:id="5"/>
            <w:r>
              <w:rPr>
                <w:sz w:val="24"/>
                <w:sz w:val="24"/>
                <w:rtl w:val="true"/>
              </w:rPr>
              <w:t>נאשם</w:t>
            </w:r>
          </w:p>
        </w:tc>
      </w:tr>
    </w:tbl>
    <w:p>
      <w:pPr>
        <w:pStyle w:val="Style8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bookmarkStart w:id="6" w:name="FirstLawyer"/>
            <w:bookmarkEnd w:id="6"/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מרום</w:t>
            </w:r>
          </w:p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נביל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דכואר</w:t>
            </w:r>
          </w:p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מתורגמן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ביהמ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איאד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אלזיאדנה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05-04-2011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9198/09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ראג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י עבד רבו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רובינשטיין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דנציגר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עדי שגב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מוחמד 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 xml:space="preserve">בארין </w:t>
      </w:r>
    </w:p>
    <w:p>
      <w:pPr>
        <w:pStyle w:val="Normal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1945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0" w:leader="none"/>
        </w:tabs>
        <w:ind w:end="0"/>
        <w:jc w:val="center"/>
        <w:rPr>
          <w:b/>
          <w:bCs/>
          <w:sz w:val="32"/>
          <w:szCs w:val="32"/>
          <w:u w:val="single"/>
        </w:rPr>
      </w:pPr>
      <w:bookmarkStart w:id="11" w:name="PsakDin"/>
      <w:bookmarkEnd w:id="1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tabs>
          <w:tab w:val="clear" w:pos="720"/>
          <w:tab w:val="left" w:pos="250" w:leader="none"/>
        </w:tabs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numPr>
          <w:ilvl w:val="0"/>
          <w:numId w:val="2"/>
        </w:numPr>
        <w:ind w:hanging="360" w:start="1160" w:end="0"/>
        <w:jc w:val="both"/>
        <w:rPr/>
      </w:pPr>
      <w:bookmarkStart w:id="14" w:name="ABSTRACT_START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ההגנה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חירום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/>
        <w:t>194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התקנות</w:t>
      </w:r>
      <w:r>
        <w:rPr>
          <w:rtl w:val="true"/>
        </w:rPr>
        <w:t xml:space="preserve">"),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</w:t>
        </w:r>
      </w:hyperlink>
      <w:r>
        <w:rPr>
          <w:rtl w:val="true"/>
        </w:rPr>
        <w:t xml:space="preserve"> (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שלישית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bookmarkStart w:id="15" w:name="ABSTRACT_END"/>
      <w:bookmarkEnd w:id="15"/>
      <w:r>
        <w:rPr>
          <w:rtl w:val="true"/>
        </w:rPr>
        <w:t xml:space="preserve"> </w:t>
      </w:r>
    </w:p>
    <w:p>
      <w:pPr>
        <w:pStyle w:val="Normal"/>
        <w:tabs>
          <w:tab w:val="clear" w:pos="720"/>
          <w:tab w:val="left" w:pos="250" w:leader="none"/>
        </w:tabs>
        <w:ind w:firstLine="120" w:start="80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50" w:leader="none"/>
        </w:tabs>
        <w:ind w:start="80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116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start="80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")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מחמד</w:t>
      </w:r>
      <w:r>
        <w:rPr>
          <w:rtl w:val="true"/>
        </w:rPr>
        <w:t xml:space="preserve">").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לאוסרה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לאוסרה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Normal"/>
        <w:ind w:start="800" w:end="0"/>
        <w:jc w:val="both"/>
        <w:rPr/>
      </w:pPr>
      <w:r>
        <w:rPr>
          <w:rtl w:val="true"/>
        </w:rPr>
        <w:br/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לאוסרה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במחמד</w:t>
      </w:r>
      <w:r>
        <w:rPr>
          <w:rtl w:val="true"/>
        </w:rPr>
        <w:t xml:space="preserve">, </w:t>
      </w:r>
      <w:r>
        <w:rPr>
          <w:rtl w:val="true"/>
        </w:rPr>
        <w:t>באחמד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חמאדה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עלאא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צאלח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נבהאן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המשתתפים</w:t>
      </w:r>
      <w:r>
        <w:rPr>
          <w:rtl w:val="true"/>
        </w:rPr>
        <w:t>").</w:t>
      </w:r>
    </w:p>
    <w:p>
      <w:pPr>
        <w:pStyle w:val="Normal"/>
        <w:ind w:start="80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  <w:br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ind w:start="80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.  </w:t>
      </w:r>
    </w:p>
    <w:p>
      <w:pPr>
        <w:pStyle w:val="Normal"/>
        <w:ind w:start="800" w:end="0"/>
        <w:jc w:val="both"/>
        <w:rPr/>
      </w:pPr>
      <w:r>
        <w:rPr>
          <w:rtl w:val="true"/>
        </w:rPr>
        <w:br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tl w:val="true"/>
        </w:rPr>
        <w:t xml:space="preserve">,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איאד</w:t>
      </w:r>
      <w:r>
        <w:rPr>
          <w:rtl w:val="true"/>
        </w:rPr>
        <w:t xml:space="preserve">")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בארגון</w:t>
      </w:r>
      <w:r>
        <w:rPr>
          <w:rtl w:val="true"/>
        </w:rPr>
        <w:t xml:space="preserve">,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tl w:val="true"/>
        </w:rPr>
        <w:t xml:space="preserve">. </w:t>
      </w:r>
      <w:r>
        <w:rPr>
          <w:rtl w:val="true"/>
        </w:rPr>
        <w:t>האימון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האימון</w:t>
      </w:r>
      <w:r>
        <w:rPr>
          <w:rtl w:val="true"/>
        </w:rPr>
        <w:t xml:space="preserve">, </w:t>
      </w:r>
      <w:r>
        <w:rPr>
          <w:rtl w:val="true"/>
        </w:rPr>
        <w:t>קוצר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tl w:val="true"/>
        </w:rPr>
        <w:t xml:space="preserve">. </w:t>
      </w:r>
    </w:p>
    <w:p>
      <w:pPr>
        <w:pStyle w:val="Normal"/>
        <w:ind w:start="80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).</w:t>
      </w:r>
    </w:p>
    <w:p>
      <w:pPr>
        <w:pStyle w:val="Normal"/>
        <w:ind w:start="80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tl w:val="true"/>
        </w:rPr>
        <w:t xml:space="preserve">, 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עבדאללה</w:t>
      </w:r>
      <w:r>
        <w:rPr>
          <w:rtl w:val="true"/>
        </w:rPr>
        <w:t xml:space="preserve">")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באימונים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800" w:end="0"/>
        <w:jc w:val="both"/>
        <w:rPr/>
      </w:pPr>
      <w:r>
        <w:rPr>
          <w:rtl w:val="true"/>
        </w:rPr>
        <w:t>האימונים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האימון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אלדין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Normal"/>
        <w:ind w:start="80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. </w:t>
      </w:r>
    </w:p>
    <w:p>
      <w:pPr>
        <w:pStyle w:val="Normal"/>
        <w:ind w:start="800" w:end="0"/>
        <w:jc w:val="both"/>
        <w:rPr/>
      </w:pPr>
      <w:r>
        <w:rPr>
          <w:rtl w:val="true"/>
        </w:rPr>
        <w:br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,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אלקאשף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:" </w:t>
      </w:r>
      <w:r>
        <w:rPr>
          <w:rtl w:val="true"/>
        </w:rPr>
        <w:t>האזור</w:t>
      </w:r>
      <w:r>
        <w:rPr>
          <w:rtl w:val="true"/>
        </w:rPr>
        <w:t xml:space="preserve">") </w:t>
      </w:r>
      <w:r>
        <w:rPr>
          <w:rtl w:val="true"/>
        </w:rPr>
        <w:t>ולדווח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למחמד</w:t>
      </w:r>
      <w:r>
        <w:rPr>
          <w:rtl w:val="true"/>
        </w:rPr>
        <w:t>.</w:t>
        <w:br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למחמד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הפעילים</w:t>
      </w:r>
      <w:r>
        <w:rPr>
          <w:rtl w:val="true"/>
        </w:rPr>
        <w:t xml:space="preserve">").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 </w:t>
      </w:r>
    </w:p>
    <w:p>
      <w:pPr>
        <w:pStyle w:val="Normal"/>
        <w:ind w:start="80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tl w:val="true"/>
        </w:rPr>
        <w:t>.</w:t>
      </w:r>
    </w:p>
    <w:p>
      <w:pPr>
        <w:pStyle w:val="Normal"/>
        <w:ind w:start="800" w:end="0"/>
        <w:jc w:val="both"/>
        <w:rPr/>
      </w:pPr>
      <w:r>
        <w:rPr>
          <w:rtl w:val="true"/>
        </w:rPr>
        <w:br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המקום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</w:t>
      </w:r>
      <w:r>
        <w:rPr>
          <w:rtl w:val="true"/>
        </w:rPr>
        <w:t xml:space="preserve">. </w:t>
      </w:r>
      <w:r>
        <w:rPr>
          <w:rtl w:val="true"/>
        </w:rPr>
        <w:t>פי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התיק</w:t>
      </w:r>
      <w:r>
        <w:rPr>
          <w:rtl w:val="true"/>
        </w:rPr>
        <w:t xml:space="preserve">") </w:t>
      </w:r>
      <w:r>
        <w:rPr>
          <w:rtl w:val="true"/>
        </w:rPr>
        <w:t>ולהעבירו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). </w:t>
      </w:r>
    </w:p>
    <w:p>
      <w:pPr>
        <w:pStyle w:val="Normal"/>
        <w:ind w:start="80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360" w:start="796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בכתב</w:t>
      </w:r>
      <w:r>
        <w:rPr>
          <w:rtl w:val="true"/>
        </w:rPr>
        <w:t xml:space="preserve">, 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שאפפו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ind w:start="7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start="7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>.</w:t>
        <w:br/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start="7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364" w:start="796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השמירות</w:t>
      </w:r>
      <w:r>
        <w:rPr>
          <w:rtl w:val="true"/>
        </w:rPr>
        <w:t xml:space="preserve">. </w:t>
        <w:br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  <w:br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ובאחד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           </w:t>
      </w:r>
      <w:hyperlink r:id="rId16">
        <w:r>
          <w:rPr>
            <w:rStyle w:val="Hyperlink"/>
            <w:rtl w:val="true"/>
          </w:rPr>
          <w:t>פח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1093/08</w:t>
        </w:r>
      </w:hyperlink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start="81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.  </w:t>
      </w:r>
    </w:p>
    <w:p>
      <w:pPr>
        <w:pStyle w:val="Normal"/>
        <w:ind w:start="81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80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ובחייליה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פצצות</w:t>
      </w:r>
    </w:p>
    <w:p>
      <w:pPr>
        <w:pStyle w:val="Normal"/>
        <w:ind w:hanging="14" w:start="796" w:end="0"/>
        <w:jc w:val="both"/>
        <w:rPr/>
      </w:pPr>
      <w:r>
        <w:rPr>
          <w:rtl w:val="true"/>
        </w:rPr>
        <w:t>אר</w:t>
      </w:r>
      <w:r>
        <w:rPr>
          <w:rtl w:val="true"/>
        </w:rPr>
        <w:t xml:space="preserve">.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ind w:hanging="14" w:start="796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המכנה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Normal"/>
        <w:ind w:hanging="14" w:start="796" w:end="0"/>
        <w:jc w:val="both"/>
        <w:rPr/>
      </w:pPr>
      <w:r>
        <w:rPr>
          <w:rtl w:val="true"/>
        </w:rPr>
        <w:br/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>.</w:t>
      </w:r>
    </w:p>
    <w:p>
      <w:pPr>
        <w:pStyle w:val="Normal"/>
        <w:ind w:firstLine="360" w:start="422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spacing w:lineRule="auto" w:line="240"/>
        <w:ind w:start="72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סבורני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וכלפי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הנידונה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לנקוט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הגישה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המחמירה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לאמור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הרואה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המרבי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נקודת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המוצא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וממנו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מפחיתים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נסיבות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המקרה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נסיבותיו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האישיות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העבריין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תדירותה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נדירותה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הרתעת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בכוח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ועוצמת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הסלידה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ושאט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הנפש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החברה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בבואנו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משקלם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היחסי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לייחס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משקל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כבד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במיוחד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להרתעה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ולעוצמת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הסלידה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החברה</w:t>
      </w:r>
      <w:r>
        <w:rPr>
          <w:b/>
          <w:bCs/>
          <w:sz w:val="24"/>
          <w:rtl w:val="true"/>
        </w:rPr>
        <w:t>."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Fonts w:cs="Times New Roman"/>
          <w:sz w:val="22"/>
          <w:szCs w:val="22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9338/01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נאצר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עווידה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529</w:t>
      </w:r>
      <w:r>
        <w:rPr>
          <w:rtl w:val="true"/>
        </w:rPr>
        <w:t>)</w:t>
      </w:r>
    </w:p>
    <w:p>
      <w:pPr>
        <w:pStyle w:val="Normal"/>
        <w:ind w:hanging="14" w:start="796" w:end="0"/>
        <w:jc w:val="both"/>
        <w:rPr/>
      </w:pPr>
      <w:r>
        <w:rPr>
          <w:rtl w:val="true"/>
        </w:rPr>
        <w:br/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hanging="14" w:start="796" w:end="0"/>
        <w:jc w:val="both"/>
        <w:rPr/>
      </w:pPr>
      <w:r>
        <w:rPr>
          <w:rFonts w:cs="Times New Roman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br/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tl w:val="true"/>
        </w:rPr>
        <w:t xml:space="preserve">.  </w:t>
        <w:br/>
      </w:r>
    </w:p>
    <w:p>
      <w:pPr>
        <w:pStyle w:val="Normal"/>
        <w:numPr>
          <w:ilvl w:val="0"/>
          <w:numId w:val="4"/>
        </w:numPr>
        <w:ind w:hanging="360" w:start="80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 </w:t>
      </w:r>
    </w:p>
    <w:p>
      <w:pPr>
        <w:pStyle w:val="Normal"/>
        <w:ind w:start="4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80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- </w:t>
      </w:r>
      <w:r>
        <w:rPr/>
        <w:t>12.1.2009</w:t>
      </w:r>
      <w:r>
        <w:rPr>
          <w:rtl w:val="true"/>
        </w:rPr>
        <w:t>.</w:t>
      </w:r>
    </w:p>
    <w:p>
      <w:pPr>
        <w:pStyle w:val="Normal"/>
        <w:ind w:start="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start="440" w:end="0"/>
        <w:jc w:val="both"/>
        <w:rPr/>
      </w:pPr>
      <w:r>
        <w:rPr>
          <w:rtl w:val="true"/>
        </w:rPr>
      </w:r>
    </w:p>
    <w:p>
      <w:pPr>
        <w:pStyle w:val="Normal"/>
        <w:ind w:start="44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16" w:name="Decision1"/>
      <w:bookmarkStart w:id="17" w:name="Decision1"/>
      <w:bookmarkEnd w:id="17"/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בתשרי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 </w:t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cs="Arial" w:ascii="Arial" w:hAnsi="Arial"/>
          <w:rtl w:val="true"/>
        </w:rPr>
        <w:t xml:space="preserve"> ______________</w:t>
        <w:tab/>
        <w:tab/>
        <w:t xml:space="preserve">  __</w:t>
      </w:r>
      <w:r>
        <w:rPr>
          <w:rFonts w:cs="Arial" w:ascii="Arial" w:hAnsi="Arial"/>
          <w:b/>
          <w:bCs/>
          <w:rtl w:val="true"/>
        </w:rPr>
        <w:t>___________</w:t>
        <w:tab/>
        <w:tab/>
        <w:t xml:space="preserve">  _____________</w:t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אזולאי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זלוצ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ובר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  <w:t xml:space="preserve">   </w:t>
      </w:r>
      <w:r>
        <w:rPr>
          <w:rFonts w:ascii="Arial" w:hAnsi="Arial" w:cs="Arial"/>
          <w:b/>
          <w:b/>
          <w:bCs/>
          <w:rtl w:val="true"/>
        </w:rPr>
        <w:t>צ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ascii="Arial" w:hAnsi="Arial" w:cs="Arial"/>
          <w:b/>
          <w:b/>
          <w:bCs/>
          <w:rtl w:val="true"/>
        </w:rPr>
        <w:t>צפת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שופטת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ב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rFonts w:cs="David" w:ascii="David" w:hAnsi="David"/>
          <w:color w:val="000000"/>
          <w:sz w:val="22"/>
          <w:szCs w:val="22"/>
        </w:rPr>
        <w:t>54678313-1019/09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               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נשיא</w:t>
      </w:r>
    </w:p>
    <w:p>
      <w:pPr>
        <w:pStyle w:val="Normal"/>
        <w:ind w:start="440"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start="440" w:end="0"/>
        <w:jc w:val="start"/>
        <w:rPr/>
      </w:pPr>
      <w:r>
        <w:rPr>
          <w:rtl w:val="true"/>
        </w:rPr>
      </w:r>
    </w:p>
    <w:p>
      <w:pPr>
        <w:pStyle w:val="Normal"/>
        <w:ind w:start="440"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8"/>
      <w:footerReference w:type="default" r:id="rId19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/Users/liorb/Downloads/study2025-p2/m09001019-223.doc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1019/09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רבו ראגי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160"/>
        </w:tabs>
        <w:ind w:start="1160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4720"/>
        </w:tabs>
        <w:ind w:start="4720" w:hanging="360"/>
      </w:pPr>
    </w:lvl>
  </w:abstractNum>
  <w:abstractNum w:abstractNumId="4">
    <w:lvl w:ilvl="0">
      <w:start w:val="5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sz w:val="30"/>
      <w:szCs w:val="3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rFonts w:cs="Aharoni"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81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147314" TargetMode="External"/><Relationship Id="rId3" Type="http://schemas.openxmlformats.org/officeDocument/2006/relationships/hyperlink" Target="http://www.nevo.co.il/law/73729" TargetMode="External"/><Relationship Id="rId4" Type="http://schemas.openxmlformats.org/officeDocument/2006/relationships/hyperlink" Target="http://www.nevo.co.il/law/73729/85.1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11" TargetMode="External"/><Relationship Id="rId7" Type="http://schemas.openxmlformats.org/officeDocument/2006/relationships/hyperlink" Target="http://www.nevo.co.il/law/70301/143.b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3729/85.1.a" TargetMode="External"/><Relationship Id="rId10" Type="http://schemas.openxmlformats.org/officeDocument/2006/relationships/hyperlink" Target="http://www.nevo.co.il/law/73729" TargetMode="External"/><Relationship Id="rId11" Type="http://schemas.openxmlformats.org/officeDocument/2006/relationships/hyperlink" Target="http://www.nevo.co.il/law/70301/143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1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case/651155" TargetMode="External"/><Relationship Id="rId17" Type="http://schemas.openxmlformats.org/officeDocument/2006/relationships/hyperlink" Target="http://www.nevo.co.il/case/6150756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2016-08-10T15:30:00Z</dcterms:created>
  <dc:creator> </dc:creator>
  <dc:description/>
  <cp:keywords/>
  <dc:language>en-IL</dc:language>
  <cp:lastModifiedBy>run</cp:lastModifiedBy>
  <cp:lastPrinted>2009-09-30T13:34:00Z</cp:lastPrinted>
  <dcterms:modified xsi:type="dcterms:W3CDTF">2016-08-10T15:30:00Z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רבו ראגי</vt:lpwstr>
  </property>
  <property fmtid="{D5CDD505-2E9C-101B-9397-08002B2CF9AE}" pid="4" name="CASESLISTTMP1">
    <vt:lpwstr>6147314;651155;6150756</vt:lpwstr>
  </property>
  <property fmtid="{D5CDD505-2E9C-101B-9397-08002B2CF9AE}" pid="5" name="CITY">
    <vt:lpwstr>ב"ש</vt:lpwstr>
  </property>
  <property fmtid="{D5CDD505-2E9C-101B-9397-08002B2CF9AE}" pid="6" name="DATE">
    <vt:lpwstr>20090930</vt:lpwstr>
  </property>
  <property fmtid="{D5CDD505-2E9C-101B-9397-08002B2CF9AE}" pid="7" name="DELEMATA">
    <vt:lpwstr>http://elyon2.court.gov.il/scripts9/mgrqispi93.dll?Appname=eScourt&amp;Prgname=GetFileDetails&amp;Arguments=-N2009-009198-0</vt:lpwstr>
  </property>
  <property fmtid="{D5CDD505-2E9C-101B-9397-08002B2CF9AE}" pid="8" name="ISABSTRACT">
    <vt:lpwstr>Y</vt:lpwstr>
  </property>
  <property fmtid="{D5CDD505-2E9C-101B-9397-08002B2CF9AE}" pid="9" name="JUDGE">
    <vt:lpwstr>ב. אזולאי;נ. זלוצ'ובר;צ. צפת</vt:lpwstr>
  </property>
  <property fmtid="{D5CDD505-2E9C-101B-9397-08002B2CF9AE}" pid="10" name="LAWLISTTMP1">
    <vt:lpwstr>73729/085.1.a</vt:lpwstr>
  </property>
  <property fmtid="{D5CDD505-2E9C-101B-9397-08002B2CF9AE}" pid="11" name="LAWLISTTMP2">
    <vt:lpwstr>70301/143.b;144.b:2;111</vt:lpwstr>
  </property>
  <property fmtid="{D5CDD505-2E9C-101B-9397-08002B2CF9AE}" pid="12" name="LAWYER">
    <vt:lpwstr>נביל דכואר;מרום</vt:lpwstr>
  </property>
  <property fmtid="{D5CDD505-2E9C-101B-9397-08002B2CF9AE}" pid="13" name="LINKK1">
    <vt:lpwstr>http://www.nevo.co.il/Psika_word/elyon/09091980-t01.doc;לפסק-דין בעליון (05-04-2011)#עפ 9198/09 ראג'י עבד רבו נ' מדינת ישראל#שופטים: א' רובינשטיין, ס' ג'ובראן, י' דנציגר#עו''ד: עדי שגב, מוחמד ג'בארין</vt:lpwstr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1019</vt:lpwstr>
  </property>
  <property fmtid="{D5CDD505-2E9C-101B-9397-08002B2CF9AE}" pid="34" name="PROCYEAR">
    <vt:lpwstr>09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390020090930</vt:lpwstr>
  </property>
  <property fmtid="{D5CDD505-2E9C-101B-9397-08002B2CF9AE}" pid="38" name="TYPE_N_DATE">
    <vt:lpwstr>39020090930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