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001051/06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27/12/2007</w:t>
            </w:r>
          </w:p>
        </w:tc>
      </w:tr>
    </w:tbl>
    <w:p>
      <w:pPr>
        <w:pStyle w:val="Style10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458"/>
        <w:gridCol w:w="709"/>
        <w:gridCol w:w="65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4167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מרום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65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ומעה בן אברהים עזאם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xxxxxxxxx</w:t>
            </w:r>
          </w:p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</w:t>
            </w: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קעואר</w:t>
            </w:r>
          </w:p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ריזק בן אחמד שעבאן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xxxxxxxxx</w:t>
            </w:r>
          </w:p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</w:t>
            </w: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לאה צמל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3458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362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star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18-06-2009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3944/08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רזק מחמד אחמד שעאבן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פרוקצ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נאור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דנציגר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פטל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צמל </w:t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26-10-2009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</w:rPr>
        <w:t>1051/06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ג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ומעה בן אברהים עזאם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יפה כ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#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ץ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מרוז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.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ואגו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גז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עלאדין</w:t>
      </w:r>
      <w:bookmarkStart w:id="11" w:name="LawTable"/>
      <w:bookmarkEnd w:id="11"/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5</w:t>
        </w:r>
      </w:hyperlink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eastAsia="FrankRuehl" w:cs="FrankRuehl" w:ascii="FrankRuehl" w:hAnsi="FrankRuehl"/>
          <w:b w:val="false"/>
          <w:bCs w:val="false"/>
          <w:sz w:val="24"/>
          <w:rtl w:val="true"/>
        </w:rPr>
        <w:t xml:space="preserve"> </w:t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ind w:end="0"/>
        <w:jc w:val="start"/>
        <w:rPr>
          <w:rFonts w:ascii="Arial" w:hAnsi="Arial" w:cs="Arial"/>
          <w:b w:val="false"/>
          <w:bCs w:val="false"/>
          <w:sz w:val="24"/>
        </w:rPr>
      </w:pPr>
      <w:r>
        <w:rPr>
          <w:rFonts w:cs="Arial" w:ascii="Arial" w:hAnsi="Arial"/>
          <w:b w:val="false"/>
          <w:bCs w:val="false"/>
          <w:sz w:val="24"/>
          <w:rtl w:val="true"/>
        </w:rPr>
      </w:r>
    </w:p>
    <w:p>
      <w:pPr>
        <w:pStyle w:val="Style10"/>
        <w:ind w:end="0"/>
        <w:jc w:val="star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0"/>
        <w:ind w:end="0"/>
        <w:jc w:val="star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bookmarkStart w:id="14" w:name="PsakDin"/>
      <w:bookmarkStart w:id="15" w:name="סוג_מסמך"/>
      <w:bookmarkEnd w:id="14"/>
      <w:bookmarkEnd w:id="15"/>
      <w:r>
        <w:rPr>
          <w:rFonts w:ascii="Arial" w:hAnsi="Arial" w:cs="Arial"/>
          <w:u w:val="none"/>
          <w:rtl w:val="true"/>
        </w:rPr>
        <w:t>גזר דין בעניינו של הנאשם מס</w:t>
      </w:r>
      <w:r>
        <w:rPr>
          <w:rFonts w:cs="Arial" w:ascii="Arial" w:hAnsi="Arial"/>
          <w:u w:val="none"/>
          <w:rtl w:val="true"/>
        </w:rPr>
        <w:t xml:space="preserve">' </w:t>
      </w:r>
      <w:r>
        <w:rPr>
          <w:rFonts w:cs="Arial" w:ascii="Arial" w:hAnsi="Arial"/>
          <w:u w:val="none"/>
        </w:rPr>
        <w:t>2</w:t>
      </w:r>
    </w:p>
    <w:p>
      <w:pPr>
        <w:pStyle w:val="Normal"/>
        <w:ind w:end="0"/>
        <w:jc w:val="both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18" w:name="סוג_מסמך"/>
      <w:bookmarkEnd w:id="18"/>
      <w:r>
        <w:rPr>
          <w:rFonts w:ascii="Arial" w:hAnsi="Arial" w:cs="Arial"/>
          <w:b/>
          <w:b/>
          <w:bCs/>
          <w:u w:val="single"/>
          <w:rtl w:val="true"/>
        </w:rPr>
        <w:t>כב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 הופרדו הדיונים בעניינם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 כתב אישום מתוקן בעניינו של הנאשם מספר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bookmarkStart w:id="19" w:name="ABSTRACT_START"/>
      <w:bookmarkEnd w:id="19"/>
      <w:r>
        <w:rPr>
          <w:rFonts w:ascii="Arial" w:hAnsi="Arial" w:cs="Arial"/>
          <w:rtl w:val="true"/>
        </w:rPr>
        <w:t>מהאמור בכתב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 פברואר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איימן מנצור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איימן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אל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ומעה עזאם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הוא 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עזאם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ושאל אותו אם יש לו הכרות עם פעילי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ארגון אשר הוכרז ביום </w:t>
      </w:r>
      <w:r>
        <w:rPr>
          <w:rFonts w:cs="Arial" w:ascii="Arial" w:hAnsi="Arial"/>
        </w:rPr>
        <w:t>22/6/89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ממשלת ישראל כארגון טרוריסטי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בגדה המערבית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עזאם השיב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יש הכרות שכזאת והפגיש את הנאשם עם איימן</w:t>
      </w:r>
      <w:bookmarkStart w:id="20" w:name="ABSTRACT_END"/>
      <w:bookmarkEnd w:id="20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שיחות בין איימן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השלושה קשר ביניהם לפיו הנאשם ועזאם יעזבו את רצועת עזה ויצאו לגדה המערבית על מנת לשכור שם דירה ועל מנת ליצור קשר עם פעילי ארגון המוכרים לנאשם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הנאשם ועזאם אמורים לקבל בדירה שישכרו שני אנשים מטעמו של איימן – שני אנשים שישלחו מטעמו ואשר תפקידם לבצע פעילות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היה אמור לעזוב  את הדירה עם הגעת שני האנשים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ערכו עזאם ואיימן אמון צבאי לנאשם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כלשהו שאינו ידוע במדוייק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מרץ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הפגיש איימן את עזאם עם שניים מבכירי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מהבכירים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הסביר לעזאם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עליו לקלוט בחור בשם ראפת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יכיר לו מקומות שונים וכבישים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משימתו בגדה המערבית תהיה לקלוט פעילי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ישלח לפעילות צבאית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הודיע אותו פעיל בארגון לעזאם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ישלח אליו מומחה לחומרי 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בין המשימות שעליו יהיה לבצע תהיה משימה של חטיפת חיילים לצורך מו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לשחרור אסירים וכי ישלח אליו אנשים לביצוע משימות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 הארגון גם הודיע לעזאם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בנוסף יהיה עליו לבצע פעולות צבאיות נגד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כתגמול לפעולות שתבצע ישראל 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עזאם הסכים למלא אחר הנחיותיו של פעיל הארגון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 קשר הנאשם קשר לבצע פשע שהוא מציאת דירה לצורכי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בעבירה של קשירת קשר לפשע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הקשר המצויין לעיל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מרץ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לו עזאם לבוא אליו על מנת שיעבור אימונים בנשק לצורך ביצוע המשימה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איימן  ועזאם עם הנאשם ברצועת עזה ונסעו במכונית הנהוגה על ידי 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הם מובילים רובה מסוג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עזאם ואיימן ערכו לנאשם אמון צבאי שכלל ירי בכלי הנשק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 האימון הצבאי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אסף עזאם את הנאשם והסיעו ברכבו למקום בשם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אבל שעף שברצועת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ברכב הובילו השניים שני רימוני יד ואקדח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ערך עזאם לנאשם אימון בזריקת רימונים ואף ערך לו מטווח עם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אלה ביצע הנאשם אימונים צבאיים וזאת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ותחמושת והשתתף בפעילות 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בעבירות של אימונים צבאיים אסורים 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   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תחמושת</w:t>
      </w:r>
      <w:r>
        <w:rPr>
          <w:rFonts w:cs="Arial" w:ascii="Arial" w:hAnsi="Arial"/>
          <w:rtl w:val="true"/>
        </w:rPr>
        <w:t xml:space="preserve">) –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סייפא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במסגרת האישום השלישי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הקשר המצויין לעיל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4/4/06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נפגש עם עזאם ועם איימן לפני יציאתם לגדה המערבית דרך ישראל כדי לפעול למען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איימן מסר לנאשם ולעאזם דף ובו רשומות אותיות בשפה הערבית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אות מסומנת על ידי אות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מנת שיוכלו להעביר הודעות </w:t>
      </w:r>
      <w:r>
        <w:rPr>
          <w:rFonts w:cs="Arial" w:ascii="Arial" w:hAnsi="Arial"/>
        </w:rPr>
        <w:t>SMS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מוצפנות באמצעות מכשירי הפלאפון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מסר איימן לכל אחד מהשניים רימון יד ואקדח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6/4/06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פעיל הארגון נאסר לעזאם ולנאשם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 והסיע אותם לרפיח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נושאים עמם את שני הרימונים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האקדחים וכתב הקוד שקיבלו מאיימן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ברפיח נפגשו השניים עם אדם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שהובילם לבית ממנו הובילה מנהרה לצד המצרי של הגבול שבין מצריים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עברו דרך המנהרה את גבול מצריים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רצועת עזה ונכנסו למצריים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נפגשו השניים עם תושב מצריים בשם אסמעיל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הסביר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בישראל יקבל את פניהם אדם בשם ראפת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שהייה מסויימת בסיני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ועזאם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בעזרת אדם נוסף בשם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לגבול ישראל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מצריים כשהם נושאים את האקדחים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הרימונים וכתב הקוד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13/4/06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חצו הנאשם ועזאם את גבול ישראל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מצריים ונכנסו לישראל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עמם את האקדחים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הרימונים וכתב הקוד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בישראל שהו השניים כשעה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שנעצרו על ידי כוחות הבטחון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הנאשם עבירת פשע של נשיאת נשק בהיותו מסתנן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בעבירה של ביצוע 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 ידי מסתנן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עבירות ושיפוט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הראשונה משנת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עבירה של 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בגינה נדון לחודשיים מאסר בפועל ולמאסר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ההרשעה השניה של הנאשם הינה משנת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עבירה של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בגינה 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ההרשעה האחרונה של הנאשם הינה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עבירות של החזקת כלי או חפץ המסוגל לגרום מוות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תעמולה הפוגעת בשלום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בגינה נדון הנאשם למאסר בפועל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שנים ול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הודיעה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המאסר על תנאי איננו חל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החומרה הרבה שבמעשי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הנאשם כל אשר לאיל ידו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אילו הקשר אשר קשר עם האחרים היה יוצא מן הכוח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עלול היה להמיט אסון על המדינה ולפגוע במישרין בשלומם של 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תושיית כוחות הבטחון מנעה את ביצוע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שאלה עצרו את הנאשם ועזאם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נושאים על גופם אקדחים ורימונים וכאשר הם בדרכם להכין את התשתית לביצוע פעולות טרור בישראל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הוסיפה 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פעל לשם קידומו והצלחתו של הקשר אשר קשר עם האחרים ואף עבר אימונים צבאיים על מנת שיהיה כשיר לבצע את הקשר ולפגוע במדינת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חוליה אחת מבין חוליות רבות של אותו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היו מעורבים בו מספר רב של אנשים שעשו יד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לזרוע הרס וחורבן בישראל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במספר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העבירה אשר בצידה נקבע העונש החמור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עבירת נשיאת הנשק בהיות הנאשם מסתנן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שנקבע בצידה עונש של מאסר עולם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לצד עבירת נשיאת הנשק שלא כחוק עונש מכסימלי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המחוקק בעצמו הביע עמדה ביחס לחומרת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ציינה פסיקה ענפה אשר ביקשה ללמוד ממנה על הענישה המחמירה שהטילו בתי המשפט על מבצעי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דוגמת העבירות שביצע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בסיום 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על הנאשם עונש מאסר ארוך וממושך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שיהיה בו כדי להרתיע את הנאשם ולהרתיע את האחרים מביצוע עבירות כאלה וכן עונש של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זה המקרה בו יש להחמיר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היה תפקיד משני ושולי בקשר אשר קשר עם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למדה בעיקר מן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היה אמור לעזוב את הדירה עם הגעת האנשים שהתעתדו לבצע את פעילות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רק אמור למצוא את הדירה עבור אנשי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 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הסנגורית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שהנאשם נעצר מיד עם כניסתו לתחומי מדינת ישראל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העמיד את תושבי המדינה בפני סכנה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את הודאתו בעובדות ואת החסכון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של הנאשם אין בו כדי להשפיע על שיקולי הענישה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בגינן נדון 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לגרסתה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ישנות ואינן צריכות לבוא בין שיקולי הענישה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עוד הדגישה הסנגורית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העבירה העיקרית שבה הורשע היא עבירת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לצידה הטיל המחוקק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יתר העבירות נבלעות בעבירה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הסנגורית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יליד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מזה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ואב לשני ילדים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הסנגורית המציאה אסופת פסיקה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ממנה ביקשה ללמוד על ענישה מתונה בהרבה מן הענישה שביקשה התובעת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בעצמו 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כבר נשוי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עלה בידו לשבת עם ילדיו עדיין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איבד את הראיה בעין אחת בהיותו בכלא והביע תקווה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יוכל לצאת מוקדם ככל האפשר מן המאסר על מנת שיוכל לטפל בעין שלו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הבטיח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זאת תהיה הפעם האחרונה שבה יבצע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שאיבד את אמו במהלך מאסרו האחרון וטען שאינו רוצה לאבד גם את אביו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ביצע מעשים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בהם כדי להעמיד את מדינת ישראל בפני סכנה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קשר קשר עם שניים אחרים ובמסגרת קשר זה ביצע פעולות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אילו היו יוצאות מהכוח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יכול להעמיד את תושבי המדינה ואזרחיה בפני סכנה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נפגש עם פעילי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המוכרים לו והתעתד לסייע בידם לשכור דירה בגדה המערבית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דירה ממנה אמורים היו לצאת פעילים אחרים של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לבצע פיגועים במדינת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גם עבר אימונים צבאיים כדי שיוכל לממש את הקשר ואף נשא על גופו רימון ואקדח וכתב קוד על מנת שיוכל להתכתב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SMS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פעילי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להוציא את הקשר אל הפועל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כתב האישום פרט את כל פעילות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אנשי החמאס ביקשו לבצע בעקבות אותו קשר שקשר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פעולות אשר אמורות היו לצאת מהדירה שהנאשם אמור היה לשכור בגדה המערבית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פעולות אלה כללו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קליטת פעילי ארגון ושילוחם לפעילות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קליטת מומחים לחומרי 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חטיפת חיילים לצורך משא ומתן לשחרור אסירים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קליטת אנשים אשר היו אמורים לבצע את חטיפת החיילים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פעולות צבאיות נגד ישראל כתגמול לפעולות שתבצע ישראל ברצועת עזה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אמור לאפשר את הפעולות האמורות על ידי מציאת דירה שתשמש כמרכז ומקום התארגנות לפעילות טרור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הסתפק בקשירת קשר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אף עבר אימונים צבאיים אסורים ונשא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כדי שיוכל לממש את הקשר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בחודש אפריל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אף חצה הנאשם דרך מנהרה את גבול מצריים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רצועת עזה ונכנס למצריים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משם הסתנן יחד עם עזאם למדינת ישראל בתאריך </w:t>
      </w:r>
      <w:r>
        <w:rPr>
          <w:rFonts w:cs="Arial" w:ascii="Arial" w:hAnsi="Arial"/>
        </w:rPr>
        <w:t>13/4/06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 הם נושאים על גופם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רימונים וכתב קוד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תפיסתם של הנאשם ושותפו על ידי כוחות הבטחון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מנעה מימוש הקשר שקשר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ניתן לשער בנקל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יכלו ארגוני הטרור לעשות אלמלא נעצרו הנאשם ושותפו על ידי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במדינה הנלחמת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כמעשה של יום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ארגוני הטרור הרצחניים לא ניתן לעבור לסדר היום על מעשים מסוג אלה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קבעה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כדי לגמול לאנשים דוגמת הנאשם מחד וכדי להרתיע את הרבים 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בעונשיהם של החוטאים בתחום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מצווים אנו במקרה שבפנינו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היה חלק חיוני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חשוב ופעיל בשרשרת הטרור ואין נפקא מינה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לשם כך היה חבר בארגון הטרור או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תמך בארגון וסייע לפעיליו לממש את פעולותיהם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פעל בנחישות כדי שמטרת ארגון הטרור – פגיעה בישראליים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תצא אל הפועל ורק ערנותם ודריכותם של כוחות הבטחון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מנעה את המשך פעולותיו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ידוע על נזק שנגרם כתוצאה ממעשי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לייחס לכך משקל קטן לקולא בין מכלול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לא חזר בו מרצונו ממימוש פעולותיו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נעצר על ידי כוחות הבטחון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חומרה מיוחדת יש לראות בעובדה שהנאשם הסתנן לתחומי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נושא על גופו נשק דוגמת אקדח ורימון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קבע המחוקק עונש של מאסר עולם לצד 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יש במעשים כגון אלה כדי לגלם חומרה יתרה כלפי תושבי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פסקו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להעלות את רף הענישה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חומרתן המיוחדת וזאת גם כאשר אין כל 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המסתנן התכוון לבצע פיגוע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במקרה בו המסתנן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התכוון לעשות כל שלאיל ידו כדי לסייע לארגון טרור לפגוע באזרחי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החומרה היתרה עולה מתוך ההסתננות 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הקשיים הקיימים בהגנה על הגבול שבין ישראל למצריים וריבוי מעשי ההסתננות דרכו עקב זאת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לכל הנימוקים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להוסיף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הרשעות קודמות בעלות אופי בטחוני –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העבירה האחרונה בגינה נדון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לוותה במאסר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רואים אנו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מדובר במעידה חד פעמית אלא בהתנהגות ממושכת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לא למד את לקחו מענישתו בעבר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 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שנה החל מיום המעצר – </w:t>
      </w:r>
      <w:r>
        <w:rPr>
          <w:rFonts w:cs="Arial" w:ascii="Arial" w:hAnsi="Arial"/>
        </w:rPr>
        <w:t>13/4/06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שהנאשם לא יעבור כל עבירה מסוג פשע או את העבירות בגינן נדון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יד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בטבת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ח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23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בדצמבר </w:t>
      </w:r>
      <w:r>
        <w:rPr>
          <w:rFonts w:cs="Arial" w:ascii="Arial" w:hAnsi="Arial"/>
          <w:b/>
          <w:bCs/>
          <w:color w:val="000000"/>
        </w:rPr>
        <w:t>2007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במעמד הצדדים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54678313-1051/06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Heading4"/>
              <w:ind w:end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 w:val="20"/>
                <w:rtl w:val="true"/>
              </w:rPr>
              <w:t>ו</w:t>
            </w:r>
            <w:r>
              <w:rPr>
                <w:rFonts w:cs="Arial" w:ascii="Arial" w:hAnsi="Arial"/>
                <w:sz w:val="20"/>
                <w:rtl w:val="true"/>
              </w:rPr>
              <w:t xml:space="preserve">. </w:t>
            </w:r>
            <w:r>
              <w:rPr>
                <w:rFonts w:ascii="Arial" w:hAnsi="Arial" w:cs="Arial"/>
                <w:sz w:val="20"/>
                <w:sz w:val="20"/>
                <w:rtl w:val="true"/>
              </w:rPr>
              <w:t>מרוז</w:t>
            </w:r>
            <w:r>
              <w:rPr>
                <w:rFonts w:cs="Arial" w:ascii="Arial" w:hAnsi="Arial"/>
                <w:sz w:val="20"/>
                <w:rtl w:val="true"/>
              </w:rPr>
              <w:t xml:space="preserve">, </w:t>
            </w:r>
            <w:r>
              <w:rPr>
                <w:rFonts w:ascii="Arial" w:hAnsi="Arial" w:cs="Arial"/>
                <w:sz w:val="20"/>
                <w:sz w:val="20"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cs="Arial" w:ascii="Arial" w:hAnsi="Arial"/>
        </w:rPr>
        <w:t>001051/06</w:t>
      </w:r>
      <w:r>
        <w:rPr>
          <w:rFonts w:ascii="Arial" w:hAnsi="Arial" w:cs="Arial"/>
          <w:rtl w:val="true"/>
        </w:rPr>
        <w:t xml:space="preserve">פח </w:t>
      </w:r>
      <w:r>
        <w:rPr>
          <w:rFonts w:cs="Arial" w:ascii="Arial" w:hAnsi="Arial"/>
        </w:rPr>
        <w:t>055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טובה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/Users/liorb/Downloads/study2025-p2/m06001051-359.doc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ומעה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728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3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law/72510/5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3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2510/5" TargetMode="External"/><Relationship Id="rId16" Type="http://schemas.openxmlformats.org/officeDocument/2006/relationships/hyperlink" Target="http://www.nevo.co.il/law/72510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2016-09-21T14:21:00Z</dcterms:created>
  <dc:creator>Shahar Goldstein</dc:creator>
  <dc:description/>
  <cp:keywords/>
  <dc:language>en-IL</dc:language>
  <cp:lastModifiedBy>orit</cp:lastModifiedBy>
  <dcterms:modified xsi:type="dcterms:W3CDTF">2016-09-21T14:21:00Z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ג'ומעה בן אברהים עזאם;ריזק בן אחמד שעבאן</vt:lpwstr>
  </property>
  <property fmtid="{D5CDD505-2E9C-101B-9397-08002B2CF9AE}" pid="4" name="CASESLISTTMP1">
    <vt:lpwstr>5872863</vt:lpwstr>
  </property>
  <property fmtid="{D5CDD505-2E9C-101B-9397-08002B2CF9AE}" pid="5" name="CITY">
    <vt:lpwstr>ב"ש</vt:lpwstr>
  </property>
  <property fmtid="{D5CDD505-2E9C-101B-9397-08002B2CF9AE}" pid="6" name="DATE">
    <vt:lpwstr>20071227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70301/499.a.1;143.b;144.b:2</vt:lpwstr>
  </property>
  <property fmtid="{D5CDD505-2E9C-101B-9397-08002B2CF9AE}" pid="11" name="LAWLISTTMP2">
    <vt:lpwstr>72510/005</vt:lpwstr>
  </property>
  <property fmtid="{D5CDD505-2E9C-101B-9397-08002B2CF9AE}" pid="12" name="LAWYER">
    <vt:lpwstr>מרום;קעואר;לאה צמל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http://www.nevo.co.il/Psika_word/elyon/08039440-w01.doc;לפסק-דין בעליון (18-06-2009)#עפ 3944/08 רזק מחמד אחמד שעאבן נ' מדינת ישראל#שופטים: א' פרוקצ'יה, מ' נאור, י' דנציגר#עו''ד: א' פטל, ל' צמל</vt:lpwstr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>http://www.nevo.co.il/Psika_word/mechozi/m06001051-a.doc;לפסק-דין במחוזי (26-10-2009)#תפח 1051/06 מדינת ישראל נ' ג'ומעה בן אברהים עזאם#שופטים: יפה כ#ץ, ו. מרוז, א. ואגו#עו''ד: גז, עלאדין</vt:lpwstr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תפח</vt:lpwstr>
  </property>
  <property fmtid="{D5CDD505-2E9C-101B-9397-08002B2CF9AE}" pid="36" name="PROCNUM">
    <vt:lpwstr>1051</vt:lpwstr>
  </property>
  <property fmtid="{D5CDD505-2E9C-101B-9397-08002B2CF9AE}" pid="37" name="PROCYEAR">
    <vt:lpwstr>06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m06001051 359 htm</vt:lpwstr>
  </property>
  <property fmtid="{D5CDD505-2E9C-101B-9397-08002B2CF9AE}" pid="40" name="TYPE">
    <vt:lpwstr>2</vt:lpwstr>
  </property>
  <property fmtid="{D5CDD505-2E9C-101B-9397-08002B2CF9AE}" pid="41" name="TYPE_ABS_DATE">
    <vt:lpwstr>390020071227</vt:lpwstr>
  </property>
  <property fmtid="{D5CDD505-2E9C-101B-9397-08002B2CF9AE}" pid="42" name="TYPE_N_DATE">
    <vt:lpwstr>39020071227</vt:lpwstr>
  </property>
  <property fmtid="{D5CDD505-2E9C-101B-9397-08002B2CF9AE}" pid="43" name="VOLUME">
    <vt:lpwstr/>
  </property>
  <property fmtid="{D5CDD505-2E9C-101B-9397-08002B2CF9AE}" pid="44" name="WORDNUMPAGES">
    <vt:lpwstr>8</vt:lpwstr>
  </property>
</Properties>
</file>