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Fonts w:ascii="Arial" w:hAnsi="Arial" w:cs="Arial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680"/>
        <w:gridCol w:w="2235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>בית משפט מחוזי באר 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 xml:space="preserve">פח </w:t>
            </w:r>
            <w:r>
              <w:rPr>
                <w:rFonts w:cs="Arial" w:ascii="Arial" w:hAnsi="Arial"/>
                <w:szCs w:val="22"/>
              </w:rPr>
              <w:t>001103/07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>בפני</w:t>
            </w:r>
            <w:r>
              <w:rPr>
                <w:rFonts w:cs="Arial" w:ascii="Arial" w:hAnsi="Arial"/>
                <w:szCs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>השופט ב</w:t>
            </w:r>
            <w:r>
              <w:rPr>
                <w:rFonts w:cs="Arial" w:ascii="Arial" w:hAnsi="Arial"/>
                <w:szCs w:val="22"/>
                <w:rtl w:val="true"/>
              </w:rPr>
              <w:t xml:space="preserve">. </w:t>
            </w:r>
            <w:r>
              <w:rPr>
                <w:rFonts w:ascii="Arial" w:hAnsi="Arial" w:cs="Arial"/>
                <w:szCs w:val="22"/>
                <w:rtl w:val="true"/>
              </w:rPr>
              <w:t>אזולאי</w:t>
            </w:r>
            <w:r>
              <w:rPr>
                <w:rFonts w:cs="Arial" w:ascii="Arial" w:hAnsi="Arial"/>
                <w:szCs w:val="22"/>
                <w:rtl w:val="true"/>
              </w:rPr>
              <w:t>-</w:t>
            </w:r>
            <w:r>
              <w:rPr>
                <w:rFonts w:ascii="Arial" w:hAnsi="Arial" w:cs="Arial"/>
                <w:szCs w:val="22"/>
                <w:rtl w:val="true"/>
              </w:rPr>
              <w:t>ס</w:t>
            </w:r>
            <w:r>
              <w:rPr>
                <w:rFonts w:cs="Arial" w:ascii="Arial" w:hAnsi="Arial"/>
                <w:szCs w:val="22"/>
                <w:rtl w:val="true"/>
              </w:rPr>
              <w:t>.</w:t>
            </w:r>
            <w:r>
              <w:rPr>
                <w:rFonts w:ascii="Arial" w:hAnsi="Arial" w:cs="Arial"/>
                <w:szCs w:val="22"/>
                <w:rtl w:val="true"/>
              </w:rPr>
              <w:t>נשיא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>השופט נ</w:t>
            </w:r>
            <w:r>
              <w:rPr>
                <w:rFonts w:cs="Arial" w:ascii="Arial" w:hAnsi="Arial"/>
                <w:szCs w:val="22"/>
                <w:rtl w:val="true"/>
              </w:rPr>
              <w:t xml:space="preserve">. </w:t>
            </w:r>
            <w:r>
              <w:rPr>
                <w:rFonts w:ascii="Arial" w:hAnsi="Arial" w:cs="Arial"/>
                <w:szCs w:val="22"/>
                <w:rtl w:val="true"/>
              </w:rPr>
              <w:t>זלוצ</w:t>
            </w:r>
            <w:r>
              <w:rPr>
                <w:rFonts w:cs="Arial" w:ascii="Arial" w:hAnsi="Arial"/>
                <w:szCs w:val="22"/>
                <w:rtl w:val="true"/>
              </w:rPr>
              <w:t>'</w:t>
            </w:r>
            <w:r>
              <w:rPr>
                <w:rFonts w:ascii="Arial" w:hAnsi="Arial" w:cs="Arial"/>
                <w:szCs w:val="22"/>
                <w:rtl w:val="true"/>
              </w:rPr>
              <w:t>ובר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>השופטת צ</w:t>
            </w:r>
            <w:r>
              <w:rPr>
                <w:rFonts w:cs="Arial" w:ascii="Arial" w:hAnsi="Arial"/>
                <w:szCs w:val="22"/>
                <w:rtl w:val="true"/>
              </w:rPr>
              <w:t xml:space="preserve">. </w:t>
            </w:r>
            <w:r>
              <w:rPr>
                <w:rFonts w:ascii="Arial" w:hAnsi="Arial" w:cs="Arial"/>
                <w:szCs w:val="22"/>
                <w:rtl w:val="true"/>
              </w:rPr>
              <w:t xml:space="preserve">צפת 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  <w:rtl w:val="true"/>
              </w:rPr>
              <w:t>תאריך</w:t>
            </w:r>
            <w:r>
              <w:rPr>
                <w:rFonts w:cs="Arial" w:ascii="Arial" w:hAnsi="Arial"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szCs w:val="22"/>
              </w:rPr>
              <w:t>21/01/2009</w:t>
            </w:r>
          </w:p>
        </w:tc>
      </w:tr>
    </w:tbl>
    <w:p>
      <w:pPr>
        <w:pStyle w:val="Style8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rFonts w:ascii="Arial" w:hAnsi="Arial" w:cs="Arial"/>
              </w:rPr>
            </w:pPr>
            <w:bookmarkStart w:id="3" w:name="שם_א"/>
            <w:r>
              <w:rPr>
                <w:rFonts w:ascii="Arial" w:hAnsi="Arial" w:cs="Arial"/>
                <w:rtl w:val="true"/>
              </w:rPr>
              <w:t>מדינת 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rFonts w:ascii="Arial" w:hAnsi="Arial" w:cs="Arial"/>
              </w:rPr>
            </w:pPr>
            <w:bookmarkStart w:id="4" w:name="כינוי_א"/>
            <w:r>
              <w:rPr>
                <w:rFonts w:ascii="Arial" w:hAnsi="Arial" w:cs="Arial"/>
                <w:rtl w:val="true"/>
              </w:rPr>
              <w:t xml:space="preserve">המאשימה </w:t>
            </w:r>
            <w:bookmarkEnd w:id="4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rFonts w:ascii="Arial" w:hAnsi="Arial" w:cs="Arial"/>
              </w:rPr>
            </w:pPr>
            <w:bookmarkStart w:id="5" w:name="שם_ב"/>
            <w:r>
              <w:rPr>
                <w:rFonts w:ascii="Arial" w:hAnsi="Arial" w:cs="Arial"/>
                <w:rtl w:val="true"/>
              </w:rPr>
              <w:t>אל עביד נעים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rFonts w:ascii="Arial" w:hAnsi="Arial" w:cs="Arial"/>
              </w:rPr>
            </w:pPr>
            <w:bookmarkStart w:id="6" w:name="כינוי_ב"/>
            <w:r>
              <w:rPr>
                <w:rFonts w:ascii="Arial" w:hAnsi="Arial" w:cs="Arial"/>
                <w:rtl w:val="true"/>
              </w:rPr>
              <w:t>הנאשם</w:t>
            </w:r>
            <w:bookmarkEnd w:id="6"/>
          </w:p>
        </w:tc>
      </w:tr>
    </w:tbl>
    <w:p>
      <w:pPr>
        <w:pStyle w:val="Style8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8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7" w:name="FirstLawyer"/>
            <w:bookmarkEnd w:id="7"/>
            <w:r>
              <w:rPr>
                <w:rFonts w:ascii="Arial" w:hAnsi="Arial" w:cs="Arial"/>
                <w:szCs w:val="26"/>
                <w:rtl w:val="true"/>
              </w:rPr>
              <w:t>נוכחים</w:t>
            </w:r>
            <w:r>
              <w:rPr>
                <w:rFonts w:cs="Arial" w:ascii="Arial" w:hAnsi="Arial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רוית מרום </w:t>
            </w:r>
          </w:p>
          <w:p>
            <w:pPr>
              <w:pStyle w:val="Style8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 וב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ליטן 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21-10-2009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2077/09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נעים אל עביד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נאור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י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עמית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שירות המבחן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ליאנה בלומנפלד מגד גב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ברכה וייס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רפי ליטן </w:t>
      </w:r>
      <w:bookmarkStart w:id="8" w:name="LawTable"/>
      <w:bookmarkEnd w:id="8"/>
    </w:p>
    <w:p>
      <w:pPr>
        <w:pStyle w:val="Normal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ז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43</w:t>
        </w:r>
      </w:hyperlink>
    </w:p>
    <w:p>
      <w:pPr>
        <w:pStyle w:val="Normal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1" w:name="PsakDin"/>
      <w:bookmarkStart w:id="12" w:name="סוג_מסמך"/>
      <w:bookmarkEnd w:id="11"/>
      <w:bookmarkEnd w:id="12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Heading5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4"/>
          <w:u w:val="single"/>
        </w:rPr>
      </w:pPr>
      <w:r>
        <w:rPr>
          <w:rFonts w:ascii="Arial" w:hAnsi="Arial" w:cs="Arial"/>
          <w:b/>
          <w:b/>
          <w:bCs/>
          <w:sz w:val="22"/>
          <w:sz w:val="22"/>
          <w:szCs w:val="24"/>
          <w:u w:val="single"/>
          <w:rtl w:val="true"/>
        </w:rPr>
        <w:t>ההליך</w:t>
      </w:r>
    </w:p>
    <w:p>
      <w:pPr>
        <w:pStyle w:val="Normal"/>
        <w:ind w:end="0"/>
        <w:jc w:val="both"/>
        <w:rPr/>
      </w:pPr>
      <w:bookmarkStart w:id="15" w:name="ABSTRACT_START"/>
      <w:bookmarkEnd w:id="15"/>
      <w:r>
        <w:rPr>
          <w:rFonts w:ascii="Arial" w:hAnsi="Arial" w:cs="Arial"/>
          <w:rtl w:val="true"/>
        </w:rPr>
        <w:t>הנאשם הורשע על פי הודאתו לאחר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בניגוד ל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והסתייעות ברכב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{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},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–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>.</w:t>
      </w:r>
      <w:bookmarkStart w:id="16" w:name="ABSTRACT_END"/>
      <w:bookmarkEnd w:id="16"/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היה הסדר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הסכמה לפסילת רשיון נהיגה לתקופה שתפחת משנה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פיו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במועד כלשהו באפריל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תושב ישראל בשם סאמי אל עביד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סאמי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קשר עם תושב 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בשם איברהים אבו סאלמה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אברהים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לרכוש עבור איברהים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להסתירם ולמוכרם עבור אברהים ואחר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אברהים לסאמי והורה לו להיפגש עם אדם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שאותו אדם יעביר לו כסף עבור רכישת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סאמי עם אדם שזהותו 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ליד מושב ניר עקיבא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אותו אדם נתן לסאמי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דולר ששלח לו אברהים עבור רכישת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קבלת הסכום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יצר סאמי קשר טלפוני עם אברהים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מסר לו מספרי טלפון של סוחרי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מהם היה על סאמי לנסות לרכוש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זמן מה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סאמי יצר קשר עם אחד מאותם סוחרי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וקבע איתו פגישה ליד ערערה שבנגב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 שאינו ידוע במדוייק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סאמי ליד ערערה שבנגב עם שני אנשים שהיו רעולי פנים וזהותם 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ורכש מהם שלא כדין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רובים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סאמי הוביל את כל הנשק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והמחסניות לחורשת להב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והסתירם 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כחודש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הורה אברהים לסאמי להעביר את כלי הנשק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לקלקיליה ולמסור אותם שם לאחד בשם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בר נבהין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סאמי פנה לנאשם וביקש ממנו לנסוע לפניו ברכב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להזהירו מפני אנשי משטרה וצבא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ואמר לו כי ברשותו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שבכוונתו להעביר לקלקיליה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את עזרתו בהעברת כלי הנשק לקלקיליה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נענה לפנייתו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הנסיעה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סאמי את הנאשם שלא ידע את מקום היעד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היעד וסאמי אמר לו כי רכבו מכיל כלי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סאמי פנה לאדם נוסף בשם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אבר אבו גדוע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וביקש את עזרתו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סאמי העמיס את חמשת כלי הנשק והמחסניות על 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פולו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והובילם שלא כדין לכיון כפר קאסם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 נסעו לכפר קאסם במכונית מסוג טויוטה השייכת לאחיו של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מכוניתו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בכפר קאסם ירד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 ממכונית הטויוטה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נהג במכונית הטויוטה עד למחסום בקלקיליה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סאמי נסע אחרי הנאשם כשהוא נוהג במכונית הפולו ובתוכם הרובים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סאמי הגיע לקלקיליה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מסר את חמשת הרובים 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 נבהין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 הנאשם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הסתייע ברכב לביצוע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היה במעצר מיום </w:t>
      </w:r>
      <w:r>
        <w:rPr>
          <w:rFonts w:cs="Arial" w:ascii="Arial" w:hAnsi="Arial"/>
        </w:rPr>
        <w:t>27.7.07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11.12.07</w:t>
      </w:r>
      <w:r>
        <w:rPr>
          <w:rFonts w:cs="Arial" w:ascii="Arial" w:hAnsi="Arial"/>
          <w:rtl w:val="true"/>
        </w:rPr>
        <w:t>.</w:t>
      </w:r>
    </w:p>
    <w:p>
      <w:pPr>
        <w:pStyle w:val="Heading3"/>
        <w:ind w:end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 w:val="22"/>
          <w:rtl w:val="true"/>
        </w:rPr>
        <w:t>תסקיר המבחן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עולה כי הנאשם בן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נשוי ואב לארבעה ילדים בני שנה 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בנו בן השש סובל מאסטמה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מתגורר בפזורה בלקייה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במתחם המגורים של משפחתו המורחבת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שהנאשם הינו בעל נורמות התנהגות תקינות בדרך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מערכת ערכים ואורח חיים נורמטיביים בבסיססם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דפוסים עבריינים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שיתף פעולה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גילה מסוגלות חלקית לחומרת התנהגותו בביצוע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בלקייה וברהט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בן למשפחה המונה זוג הורים ועשרה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אביו שירת במשך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ביחידת מג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הנאשם גאה ומעריץ את אביו על שירותו הצבאי והשתלבותו בחברה הישראלית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עבד בגינון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מפעל שחיטה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תחזוקה ועבודות מזדמנות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והינו מובטל מאז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שרות המבחן ציין בתסקירו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מודה באופן חלקי ומטשטש את מעורבותו ביחס לאירועי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תקוותו כי לא יתבצע שימוש בנשק אשר יגרום צער לאדם אחר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שרות המבחן התלבט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 ומדובר בעבירה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העובדה כי מדובר בעבירה יחידה ובכך שהנאשם הביע חרטה ודאגה בהקשר של תוצאה אפשרית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הסיק מסקנות אישיות ומרתיעות מפני הישנות התנהגות דומה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העובדה שמדובר באדם בעל מערכת ערכים נורמטיביים וללא דפוסים עבריינים מופנים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על עונש מאסר שירוצה במסגרת 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 למאסר מותנה ארוך ומשמעותי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יבהיר לנאשם את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יציב לו גבולות התנהגות ברורים ויאפשר את המשך השתלבותו בחברה בהמשך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5"/>
        <w:spacing w:lineRule="auto" w:line="360"/>
        <w:ind w:end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u w:val="single"/>
          <w:rtl w:val="true"/>
        </w:rPr>
        <w:t>הטיעונים לעונש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ביקשה להטיל על הנאשם עונש מאסר בפועל לתקופה 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פסילה מלהחזיק ברשיון נהיגה לתקופה פחותה משנה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על חומרת 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וציינה  כי העונש הקבוע בצידה של העבירה הינו עשר 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תרם במעשיו להוצאת הקשר מן הכוח אל הפועל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וניתן לומר כי בעטיו צלח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והנשקים הועברו לידיים עויינות בקלקיליה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שחלקו היה קטן ביחס לשותפו סאמי אלעביד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מודע כל העת כי סאמי מוביל ברכב שאחריו כלי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גלום פוטנציאל לפגיעה במדינת ישראל ובאזרחיה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לנהוג בסובלנות כלפי אלו המסכנים ביודעין את 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לנהוג בהם ביד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חמורים הדברים שבעתיים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אזרח ישראלי מבצע 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בייחוד בעת הבטחונית הקשה בה מצוייה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וכשיש סבירות קרובה לוודאי כי כלי נשק זה עלול להביא לשפיכות דמים ולסכנת חיים של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ציינה כי נגד שותף נוסף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סאמי אלעביד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שחלקו בפרשה חמור יותר הגיעו הצדדים להסדר טיעון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color w:val="000000"/>
          <w:rtl w:val="true"/>
        </w:rPr>
        <w:t xml:space="preserve">פח </w:t>
      </w:r>
      <w:r>
        <w:rPr>
          <w:rFonts w:cs="Arial" w:ascii="Arial" w:hAnsi="Arial"/>
          <w:color w:val="000000"/>
        </w:rPr>
        <w:t>1013/05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במסגרתו הודה והורשע בביצוע עבירות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סיוע לאוייב במלחמתו ועבירה נוספת של החזקת נשק ותחמושת שלא כדין בגין רכישת אקדח ושתי 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נידון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שחלקו של הנאשם קטן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מכך שהנאשם היה מודע ליעד הנשק בעיר קלקליה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היה מודע לכך שהוא מסייע לסאמי בהובלה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שסאמי לא ייתפס בדרכו על ידי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עד תביעה במשפטו של סאמי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הוא לא אותר ולא התייצב למתן עדותו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כעולה מתסקיר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מודה בעבירה באופן חלקי ומטשטש את מעורבותו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שרות המבחן מצא לנכון להמליץ על עונש בדרך של עבודות שירות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</w:t>
      </w:r>
      <w:hyperlink r:id="rId1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344/81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מדינת ישראל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שחר סגל ואח</w:t>
        </w:r>
        <w:r>
          <w:rPr>
            <w:rStyle w:val="Hyperlink"/>
            <w:rFonts w:cs="Arial" w:ascii="Arial" w:hAnsi="Arial"/>
            <w:rtl w:val="true"/>
          </w:rPr>
          <w:t xml:space="preserve">',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לה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313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וטענה כי ושהתרשמות שרות המבחן אינה מהווה שיקול יחידי במלאכת 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לקחת בחשבון שיקולים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אין לאמץ בענייננו את המלצת שרות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rtl w:val="true"/>
          </w:rPr>
          <w:t>פקודת התעבורה</w:t>
        </w:r>
      </w:hyperlink>
      <w:r>
        <w:rPr>
          <w:rFonts w:ascii="Arial" w:hAnsi="Arial" w:cs="Arial"/>
          <w:rtl w:val="true"/>
        </w:rPr>
        <w:t xml:space="preserve"> מאפשר לפסול רשיון נהיגה לצמיתות או לתקופה מוגבלת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עמדת המאשימה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לפסילה מלהחזיק רשיון נהיגה לתקופה הפוחתת משנה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להחמיר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להקיש מהעונש שהוטל על סאמי למקרה תיק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לא היה מידע בדבר אירועים קודמים בהם היה מעורב סאמי בעבירות של קשירת קשר לסייע לאוייב במלחמה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 בנשק וסיוע לאוייב בהסתייעות ברכב לביצוע 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שוחרר בתחנה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הוגש נגדו 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מסר עדות מפלילה נגד סאמי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וביום </w:t>
      </w:r>
      <w:r>
        <w:rPr>
          <w:rFonts w:cs="Arial" w:ascii="Arial" w:hAnsi="Arial"/>
        </w:rPr>
        <w:t>12.1.05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color w:val="000000"/>
          <w:rtl w:val="true"/>
        </w:rPr>
        <w:t>ב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ש </w:t>
      </w:r>
      <w:r>
        <w:rPr>
          <w:rFonts w:cs="Arial" w:ascii="Arial" w:hAnsi="Arial"/>
          <w:color w:val="000000"/>
        </w:rPr>
        <w:t>2060/05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נעצר על מנת להבטיח את התייצבותו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 השתלשלות הדברים לאחר אותו דיון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הוגש נגד הנאשם כתב אישום 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יוחסו לו בין היתר את כל העבירות שביצע באמי אלעביד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המלצת שרות המבחן הינה על מעשה שאירע לפני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זהו עונש ראוי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היה שותף לקנייה ולמכירה של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קיבל תמורה בגין המעשה אותו עשה לטובת סאמי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מעולם לא ראה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הוביל אותו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נסע לפני סאמי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זוהי הסתבכותו הראשונה של הנאשם עם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בפרשה הינו מזערי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לתת משקל לשיקום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שהמליץ שרות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ולהשית עליו עונש מאסר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בעבודות שרות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הגיש אסופת פסיקה מקלה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הורה בית המשפט על עונש מאסר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7"/>
        <w:tabs>
          <w:tab w:val="clear" w:pos="720"/>
          <w:tab w:val="left" w:pos="206" w:leader="none"/>
          <w:tab w:val="left" w:pos="386" w:leader="none"/>
        </w:tabs>
        <w:ind w:end="0"/>
        <w:jc w:val="both"/>
        <w:rPr/>
      </w:pPr>
      <w:r>
        <w:rPr>
          <w:rFonts w:eastAsia="Arial" w:cs="Arial" w:ascii="Arial" w:hAnsi="Arial"/>
          <w:u w:val="none"/>
          <w:rtl w:val="true"/>
        </w:rPr>
        <w:t xml:space="preserve">      </w:t>
      </w:r>
      <w:r>
        <w:rPr>
          <w:rFonts w:ascii="Arial" w:hAnsi="Arial" w:cs="Arial"/>
          <w:rtl w:val="true"/>
        </w:rPr>
        <w:t>דיון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העבירה בה הורשע הנאשם הינה עבירה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בה בנסיבות העניין כדי לפגוע בביטחון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הנסחר עלול לעבור מיד ליד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אינו נרכש באופן חוקי וחזקה היא שהוא לא נועד לשמש מטרה חוקית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חומרת העבירות גוברת נוכח המאבק שמנהלת מדינת ישראל כנגד ארגוני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שמו להם למטרה לפגע במדינה ובאזרחיה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גובר הצורך בהרתעה על שיקולים הלוקחים בחשבון את מצבו האישי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אזרח ישראלי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ישראל ניצבת בחזית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מאבק המופנה נגד כל מי שמשמן בצורה זו או אחרת את גלגלי הטרור ומאיים לגבות מחיר 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רמה מרמות הפעילות של ארגוני הטרור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מסוג זה מחייבות ענישה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ממשית וכואבת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שיהא בה כדי להעביר מסר עונשי חד וברור לאלה העוברים עבירות ביטחוניות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שכן כאשר מדובר באזרחים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 שנוטל חלק בעבירות אלה ימצא עצמו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נועדה גם להרתיע עבריינים פוטנציאליים מליטול חלק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במישרין או בעקיפין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שחלקו של הנאשם אינו החלק העיקרי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לשים לב לכך שכלי הנשק לא נתפסו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וקיים חשש שנשק זה יביא לשפיכות 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ובמצב בו נמצאת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לנהוג ביד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נגד אותם גורמים הנותנים ידם לגורמים עויינים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שקרוב לוודאי ישתמשו בכלי הנשק לביצוע הרג וטרור נגד אזרחי המדינה ותושביה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ויגרמו לאבדן חיי אדם ולפגיעה בחפים מפשע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מדובר בנאשם שהינו אזרח ישראלי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להחמיר עימו אף מעבר לענישה המוטלת על מי שאינו אזרח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1076/04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זאהר בן יוסף דיאב עלי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נפסק</w:t>
      </w:r>
      <w:r>
        <w:rPr>
          <w:rFonts w:cs="Arial" w:ascii="Arial" w:hAnsi="Arial"/>
          <w:rtl w:val="true"/>
        </w:rPr>
        <w:t>:</w:t>
      </w:r>
    </w:p>
    <w:p>
      <w:pPr>
        <w:pStyle w:val="Style11"/>
        <w:ind w:start="386" w:end="567"/>
        <w:jc w:val="both"/>
        <w:rPr/>
      </w:pPr>
      <w:r>
        <w:rPr>
          <w:rFonts w:cs="David" w:ascii="Arial" w:hAnsi="Arial"/>
          <w:sz w:val="24"/>
          <w:rtl w:val="true"/>
        </w:rPr>
        <w:t>"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ידע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כל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מי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שנוטל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חלק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בשרשרת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המוות</w:t>
      </w:r>
      <w:r>
        <w:rPr>
          <w:rFonts w:cs="David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לרבות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מי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שקושר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ומנסה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ליטול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חלק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באותה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שרשרת</w:t>
      </w:r>
      <w:r>
        <w:rPr>
          <w:rFonts w:cs="David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כי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אם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ייתפס</w:t>
      </w:r>
      <w:r>
        <w:rPr>
          <w:rFonts w:cs="David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נקה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לא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יינקה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וכי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יהא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צפוי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לעונש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חמור</w:t>
      </w:r>
      <w:r>
        <w:rPr>
          <w:rFonts w:cs="David" w:ascii="Arial" w:hAnsi="Arial"/>
          <w:b/>
          <w:bCs/>
          <w:sz w:val="24"/>
          <w:rtl w:val="true"/>
        </w:rPr>
        <w:t xml:space="preserve">...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מי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שהפך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עצמו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לכלי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בידי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אלה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המבקשים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לרצוח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ולפצוע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בתושבי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ישראל</w:t>
      </w:r>
      <w:r>
        <w:rPr>
          <w:rFonts w:cs="David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עושה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החמור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שבמעשים</w:t>
      </w:r>
      <w:r>
        <w:rPr>
          <w:rFonts w:cs="David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ואת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עונשו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יש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למדוד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בהתאם</w:t>
      </w:r>
      <w:r>
        <w:rPr>
          <w:rFonts w:cs="David" w:ascii="Arial" w:hAnsi="Arial"/>
          <w:b/>
          <w:bCs/>
          <w:sz w:val="24"/>
          <w:rtl w:val="true"/>
        </w:rPr>
        <w:t xml:space="preserve">.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מלבד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הצורך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שהעונש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ישקף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את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החומרה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שבמעשה</w:t>
      </w:r>
      <w:r>
        <w:rPr>
          <w:rFonts w:cs="David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על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העונש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לשלוח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מסר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מרתיע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לכל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מי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ששוקל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לשמש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בעתיד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ככלי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ביד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ארגוני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המרצחים</w:t>
      </w:r>
      <w:r>
        <w:rPr>
          <w:rFonts w:cs="David" w:ascii="Arial" w:hAnsi="Arial"/>
          <w:b/>
          <w:bCs/>
          <w:sz w:val="24"/>
          <w:rtl w:val="true"/>
        </w:rPr>
        <w:t xml:space="preserve">,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לשם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הוצאה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לפועל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של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פעולות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חבלה</w:t>
      </w:r>
      <w:r>
        <w:rPr>
          <w:rFonts w:ascii="Arial" w:hAnsi="Arial" w:eastAsia="Arial" w:cs="Arial"/>
          <w:b/>
          <w:b/>
          <w:bCs/>
          <w:sz w:val="24"/>
          <w:sz w:val="24"/>
          <w:rtl w:val="true"/>
        </w:rPr>
        <w:t xml:space="preserve"> </w:t>
      </w:r>
      <w:r>
        <w:rPr>
          <w:rFonts w:ascii="Arial" w:hAnsi="Arial" w:cs="David"/>
          <w:b/>
          <w:b/>
          <w:bCs/>
          <w:sz w:val="24"/>
          <w:sz w:val="24"/>
          <w:rtl w:val="true"/>
        </w:rPr>
        <w:t>ורצח</w:t>
      </w:r>
      <w:r>
        <w:rPr>
          <w:rFonts w:cs="David" w:ascii="Arial" w:hAnsi="Arial"/>
          <w:sz w:val="24"/>
          <w:rtl w:val="true"/>
        </w:rPr>
        <w:t xml:space="preserve">". </w:t>
      </w:r>
    </w:p>
    <w:p>
      <w:pPr>
        <w:pStyle w:val="Normal"/>
        <w:ind w:end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rtl w:val="true"/>
        </w:rPr>
      </w:r>
    </w:p>
    <w:p>
      <w:pPr>
        <w:pStyle w:val="Normal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נעשתה פעילותו של הנאשם במישרין במסגרת ארגון טרור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 שמעשיו של הנאשם נעשו בנסיבות בהן עלול להיפגע בטחון המדינה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ניכר שבפעולותיו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להוות חלק מאותה שרשרת הפוגעת בבטחון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שקשר קשר עם תושב עזה לרכישת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שידע   שכלי הנשק מוברחים לקלקיליה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שמעבר לקו הירוק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הסתייע הנאשם ברכב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בפעילות כזאת יש כרסום מתמיד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בביטחונה של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בפעילותו כזאת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כדי להוות חלק מאותה שרשרת הגורמת להרג של אנשים ופוגעת בבטחון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לקולא את הודאתו של הנאשם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שהוא חסך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ושהינו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שאלמלא כן היה עונשו חמור יותר</w:t>
      </w:r>
      <w:r>
        <w:rPr>
          <w:rFonts w:cs="Arial" w:ascii="Arial" w:hAnsi="Arial"/>
          <w:rtl w:val="true"/>
        </w:rPr>
        <w:t>.</w:t>
      </w:r>
    </w:p>
    <w:p>
      <w:pPr>
        <w:pStyle w:val="BodyText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הענין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לנו שאין מקום לאמץ את המלצת שירות המבחן הואיל ויש להעדיף את השיקול הציבורי המחייב הרתעת עבריינים פוטנציאליים מסוג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ששקלנו את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מטילים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360" w:start="720" w:end="72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מאסר בפועל לתקופה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שנים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היינו מיום </w:t>
      </w:r>
      <w:r>
        <w:rPr>
          <w:rFonts w:cs="Arial" w:ascii="Arial" w:hAnsi="Arial"/>
        </w:rPr>
        <w:t>27.7.07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11.12.07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360" w:start="720" w:end="72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מאסר על תנאי לתקופה של שנה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שתוך שלוש שנים מיום שחרורו לא יעבור עבירה מהעבירות בהן הורשע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 עבירה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פרק ז</w:t>
        </w:r>
      </w:hyperlink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360" w:start="720" w:end="72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אנו פוסלים אותו מלקבל או להחזיק רשיון נהיגה לכל סוג של כלי רכב מנועי לתקופה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החל מיום שחרורו מהכלא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ing6"/>
        <w:ind w:end="0"/>
        <w:jc w:val="both"/>
        <w:rPr>
          <w:rFonts w:ascii="Arial" w:hAnsi="Arial" w:cs="David"/>
        </w:rPr>
      </w:pPr>
      <w:r>
        <w:rPr>
          <w:rFonts w:cs="David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ש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546783135129371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 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 בטבת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תשס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ט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בינואר </w:t>
      </w:r>
      <w:r>
        <w:rPr>
          <w:rFonts w:cs="Arial" w:ascii="Arial" w:hAnsi="Arial"/>
          <w:b/>
          <w:bCs/>
        </w:rPr>
        <w:t>2009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במעמד הנ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ל 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--------------------</w:t>
        <w:tab/>
        <w:t>------------------------</w:t>
        <w:tab/>
        <w:tab/>
        <w:t>------------------------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אזולאי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זלוצ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שופטת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rFonts w:cs="David" w:ascii="David" w:hAnsi="David"/>
          <w:color w:val="000000"/>
          <w:sz w:val="22"/>
          <w:szCs w:val="22"/>
        </w:rPr>
        <w:t>54678313-1103/07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נשיא </w:t>
      </w:r>
    </w:p>
    <w:p>
      <w:pPr>
        <w:pStyle w:val="Normal"/>
        <w:ind w:end="0"/>
        <w:jc w:val="star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נוסח מסמך זה כפוף לשינויי ניסוח ועריכה</w:t>
      </w:r>
    </w:p>
    <w:sectPr>
      <w:headerReference w:type="default" r:id="rId18"/>
      <w:footerReference w:type="default" r:id="rId1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/Users/liorb/Downloads/study2025-p2/m07001103-187.doc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1103/07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 עביד נעים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rFonts w:ascii="Arial" w:hAnsi="Arial" w:cs="Arial"/>
      <w:b/>
      <w:bCs/>
      <w:sz w:val="24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hanging="0" w:start="567" w:end="567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1066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7C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43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5227/43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case/17939098" TargetMode="External"/><Relationship Id="rId13" Type="http://schemas.openxmlformats.org/officeDocument/2006/relationships/hyperlink" Target="http://www.nevo.co.il/law/5227/43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case/2543227" TargetMode="External"/><Relationship Id="rId16" Type="http://schemas.openxmlformats.org/officeDocument/2006/relationships/hyperlink" Target="http://www.nevo.co.il/law/70301/7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2016-09-07T11:47:00Z</dcterms:created>
  <dc:creator>Nir Horovits</dc:creator>
  <dc:description/>
  <cp:keywords/>
  <dc:language>en-IL</dc:language>
  <cp:lastModifiedBy>hofit</cp:lastModifiedBy>
  <cp:lastPrinted>2009-01-21T13:19:00Z</cp:lastPrinted>
  <dcterms:modified xsi:type="dcterms:W3CDTF">2016-09-07T11:47:00Z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 עביד נעים</vt:lpwstr>
  </property>
  <property fmtid="{D5CDD505-2E9C-101B-9397-08002B2CF9AE}" pid="4" name="CASESLISTTMP1">
    <vt:lpwstr>5810660;2543227</vt:lpwstr>
  </property>
  <property fmtid="{D5CDD505-2E9C-101B-9397-08002B2CF9AE}" pid="5" name="CITY">
    <vt:lpwstr>ב"ש</vt:lpwstr>
  </property>
  <property fmtid="{D5CDD505-2E9C-101B-9397-08002B2CF9AE}" pid="6" name="DATE">
    <vt:lpwstr>20090121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ב. אזולאי;נ. זלוצ'ובר;צ. צפת</vt:lpwstr>
  </property>
  <property fmtid="{D5CDD505-2E9C-101B-9397-08002B2CF9AE}" pid="10" name="LAWLISTTMP1">
    <vt:lpwstr>70301/144.b;007C</vt:lpwstr>
  </property>
  <property fmtid="{D5CDD505-2E9C-101B-9397-08002B2CF9AE}" pid="11" name="LAWLISTTMP2">
    <vt:lpwstr>5227/043:2</vt:lpwstr>
  </property>
  <property fmtid="{D5CDD505-2E9C-101B-9397-08002B2CF9AE}" pid="12" name="LAWYER">
    <vt:lpwstr>רוית מרום;ליטן</vt:lpwstr>
  </property>
  <property fmtid="{D5CDD505-2E9C-101B-9397-08002B2CF9AE}" pid="13" name="LINKK1">
    <vt:lpwstr>http://www.nevo.co.il/Psika_word/elyon/09020770-o02.doc;לפסק-דין בעליון (21-10-2009)#עפ 2077/09 נעים אל עביד נ' מדינת ישראל#שופטים: א' א' לוי, מ' נאור, י' עמית#עו''ד: שירות המבחן, ליאנה בלומנפלד מגד גב' ברכה וייס, רפי ליטן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1103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390020090121</vt:lpwstr>
  </property>
  <property fmtid="{D5CDD505-2E9C-101B-9397-08002B2CF9AE}" pid="38" name="TYPE_N_DATE">
    <vt:lpwstr>39020090121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