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spacing w:lineRule="auto" w:line="240"/>
        <w:ind w:start="2880" w:end="0"/>
        <w:jc w:val="both"/>
        <w:rPr/>
      </w:pPr>
      <w:r>
        <w:rPr>
          <w:rFonts w:eastAsia="Arial" w:cs="Arial" w:ascii="Arial" w:hAnsi="Arial"/>
          <w:sz w:val="32"/>
          <w:szCs w:val="32"/>
          <w:rtl w:val="true"/>
        </w:rPr>
        <w:t xml:space="preserve">    </w:t>
      </w:r>
      <w:r>
        <w:rPr>
          <w:rFonts w:eastAsia="Arial" w:cs="Arial" w:ascii="Arial" w:hAnsi="Arial"/>
          <w:sz w:val="32"/>
          <w:szCs w:val="32"/>
          <w:rtl w:val="true"/>
        </w:rPr>
        <w:t xml:space="preserve"> </w:t>
      </w:r>
      <w:r>
        <w:rPr>
          <w:rtl w:val="true"/>
        </w:rPr>
        <w:t>מדינת ישראל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961"/>
        <w:gridCol w:w="851"/>
        <w:gridCol w:w="1809"/>
      </w:tblGrid>
      <w:tr>
        <w:trPr>
          <w:trHeight w:val="195" w:hRule="atLeast"/>
          <w:cantSplit w:val="true"/>
        </w:trPr>
        <w:tc>
          <w:tcPr>
            <w:tcW w:w="586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המשפט המחוזי ב ב א ר – ש ב ע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פח </w:t>
            </w:r>
            <w:r>
              <w:rPr>
                <w:rFonts w:cs="Arial" w:ascii="Arial" w:hAnsi="Arial"/>
                <w:b/>
                <w:bCs/>
                <w:sz w:val="24"/>
              </w:rPr>
              <w:t>001119/06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השופטת ר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ץ – אב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השופטת ו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מרוז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השופט א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ואגו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t>27/01/2008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2977"/>
        <w:gridCol w:w="283"/>
        <w:gridCol w:w="1646"/>
        <w:gridCol w:w="2409"/>
      </w:tblGrid>
      <w:tr>
        <w:trPr/>
        <w:tc>
          <w:tcPr>
            <w:tcW w:w="1276" w:type="dxa"/>
            <w:tcBorders/>
          </w:tcPr>
          <w:p>
            <w:pPr>
              <w:pStyle w:val="Style7"/>
              <w:ind w:end="0"/>
              <w:jc w:val="both"/>
              <w:rPr>
                <w:rFonts w:ascii="Arial" w:hAnsi="Arial" w:cs="Arial"/>
                <w:sz w:val="24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sz w:val="24"/>
                <w:sz w:val="24"/>
                <w:rtl w:val="true"/>
              </w:rPr>
              <w:t>בעניין</w:t>
            </w:r>
            <w:r>
              <w:rPr>
                <w:rFonts w:cs="Arial" w:ascii="Arial" w:hAnsi="Arial"/>
                <w:sz w:val="24"/>
                <w:rtl w:val="true"/>
              </w:rPr>
              <w:t>:</w:t>
            </w:r>
          </w:p>
        </w:tc>
        <w:tc>
          <w:tcPr>
            <w:tcW w:w="4906" w:type="dxa"/>
            <w:gridSpan w:val="3"/>
            <w:tcBorders/>
          </w:tcPr>
          <w:p>
            <w:pPr>
              <w:pStyle w:val="Style7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מדינת ישראל</w:t>
            </w:r>
          </w:p>
        </w:tc>
        <w:tc>
          <w:tcPr>
            <w:tcW w:w="2409" w:type="dxa"/>
            <w:tcBorders/>
          </w:tcPr>
          <w:p>
            <w:pPr>
              <w:pStyle w:val="Style7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7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  <w:bookmarkStart w:id="2" w:name="FirstLawyer"/>
            <w:bookmarkStart w:id="3" w:name="בא_כוח_א"/>
            <w:bookmarkStart w:id="4" w:name="FirstLawyer"/>
            <w:bookmarkStart w:id="5" w:name="בא_כוח_א"/>
            <w:bookmarkEnd w:id="4"/>
            <w:bookmarkEnd w:id="5"/>
          </w:p>
        </w:tc>
        <w:tc>
          <w:tcPr>
            <w:tcW w:w="3260" w:type="dxa"/>
            <w:gridSpan w:val="2"/>
            <w:tcBorders/>
          </w:tcPr>
          <w:p>
            <w:pPr>
              <w:pStyle w:val="Style7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ע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י ב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כ עו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ד חלפון</w:t>
            </w:r>
            <w:r>
              <w:rPr>
                <w:rFonts w:cs="Arial" w:ascii="Arial" w:hAnsi="Arial"/>
                <w:sz w:val="24"/>
                <w:rtl w:val="true"/>
              </w:rPr>
              <w:t xml:space="preserve">, 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פמ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ד</w:t>
            </w:r>
          </w:p>
        </w:tc>
        <w:tc>
          <w:tcPr>
            <w:tcW w:w="1646" w:type="dxa"/>
            <w:tcBorders/>
          </w:tcPr>
          <w:p>
            <w:pPr>
              <w:pStyle w:val="Style7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7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7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4906" w:type="dxa"/>
            <w:gridSpan w:val="3"/>
            <w:tcBorders/>
          </w:tcPr>
          <w:p>
            <w:pPr>
              <w:pStyle w:val="Style7"/>
              <w:snapToGrid w:val="false"/>
              <w:ind w:end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  <w:p>
            <w:pPr>
              <w:pStyle w:val="Style7"/>
              <w:ind w:end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נ  ג  ד</w:t>
            </w:r>
          </w:p>
          <w:p>
            <w:pPr>
              <w:pStyle w:val="Style7"/>
              <w:ind w:end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7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7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906" w:type="dxa"/>
            <w:gridSpan w:val="3"/>
            <w:tcBorders/>
          </w:tcPr>
          <w:p>
            <w:pPr>
              <w:pStyle w:val="Style7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אבו רגילה פואד</w:t>
            </w:r>
            <w:r>
              <w:rPr>
                <w:rFonts w:cs="Arial" w:ascii="Arial" w:hAnsi="Arial"/>
                <w:sz w:val="24"/>
                <w:rtl w:val="true"/>
              </w:rPr>
              <w:t xml:space="preserve">, 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ת</w:t>
            </w:r>
            <w:r>
              <w:rPr>
                <w:rFonts w:cs="Arial" w:ascii="Arial" w:hAnsi="Arial"/>
                <w:sz w:val="24"/>
                <w:rtl w:val="true"/>
              </w:rPr>
              <w:t>.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ז</w:t>
            </w:r>
            <w:r>
              <w:rPr>
                <w:rFonts w:cs="Arial" w:ascii="Arial" w:hAnsi="Arial"/>
                <w:sz w:val="24"/>
                <w:rtl w:val="true"/>
              </w:rPr>
              <w:t xml:space="preserve">. </w:t>
            </w:r>
            <w:r>
              <w:rPr>
                <w:rFonts w:cs="Arial" w:ascii="Arial" w:hAnsi="Arial"/>
                <w:sz w:val="24"/>
              </w:rPr>
              <w:t>xxxxxxxx</w:t>
            </w:r>
            <w:r>
              <w:rPr>
                <w:rFonts w:cs="Arial" w:ascii="Arial" w:hAnsi="Arial"/>
                <w:sz w:val="24"/>
              </w:rPr>
              <w:t>/5</w:t>
            </w:r>
          </w:p>
        </w:tc>
        <w:tc>
          <w:tcPr>
            <w:tcW w:w="2409" w:type="dxa"/>
            <w:tcBorders/>
          </w:tcPr>
          <w:p>
            <w:pPr>
              <w:pStyle w:val="Style7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7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2977" w:type="dxa"/>
            <w:tcBorders/>
          </w:tcPr>
          <w:p>
            <w:pPr>
              <w:pStyle w:val="Style7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ע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י ב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כ עו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ד ג</w:t>
            </w:r>
            <w:r>
              <w:rPr>
                <w:rFonts w:cs="Arial" w:ascii="Arial" w:hAnsi="Arial"/>
                <w:sz w:val="24"/>
                <w:rtl w:val="true"/>
              </w:rPr>
              <w:t>'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אברין</w:t>
            </w:r>
          </w:p>
        </w:tc>
        <w:tc>
          <w:tcPr>
            <w:tcW w:w="1929" w:type="dxa"/>
            <w:gridSpan w:val="2"/>
            <w:tcBorders/>
          </w:tcPr>
          <w:p>
            <w:pPr>
              <w:pStyle w:val="Style7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7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ה</w:t>
            </w:r>
            <w:bookmarkStart w:id="8" w:name="כינוי_ב"/>
            <w:bookmarkEnd w:id="8"/>
            <w:r>
              <w:rPr>
                <w:rFonts w:ascii="Arial" w:hAnsi="Arial" w:cs="Arial"/>
                <w:sz w:val="24"/>
                <w:sz w:val="24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LawTable"/>
      <w:bookmarkStart w:id="10" w:name="LawTable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u w:val="none"/>
        </w:rPr>
      </w:pPr>
      <w:bookmarkStart w:id="13" w:name="PsakDin"/>
      <w:bookmarkStart w:id="14" w:name="סוג_מסמך"/>
      <w:bookmarkEnd w:id="13"/>
      <w:bookmarkEnd w:id="14"/>
      <w:r>
        <w:rPr>
          <w:rFonts w:ascii="Arial" w:hAnsi="Arial" w:cs="Arial"/>
          <w:u w:val="none"/>
          <w:rtl w:val="true"/>
        </w:rPr>
        <w:t>גזר – דין</w:t>
      </w:r>
    </w:p>
    <w:p>
      <w:pPr>
        <w:pStyle w:val="Normal"/>
        <w:ind w:end="0"/>
        <w:jc w:val="both"/>
        <w:rPr>
          <w:rFonts w:ascii="Arial" w:hAnsi="Arial" w:cs="Arial"/>
          <w:u w:val="none"/>
        </w:rPr>
      </w:pPr>
      <w:r>
        <w:rPr>
          <w:rFonts w:cs="Arial" w:ascii="Arial" w:hAnsi="Arial"/>
          <w:u w:val="none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השופטת 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יפה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ץ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BodyTextIndent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במסגרת הסדר טיעון שנערך בין הצדדים</w:t>
      </w:r>
      <w:r>
        <w:rPr>
          <w:rtl w:val="true"/>
        </w:rPr>
        <w:t xml:space="preserve">, </w:t>
      </w:r>
      <w:r>
        <w:rPr>
          <w:rtl w:val="true"/>
        </w:rPr>
        <w:t>תוקן כתב האישום המקורי שהוגש כנגד הנאשם</w:t>
      </w:r>
      <w:r>
        <w:rPr>
          <w:rtl w:val="true"/>
        </w:rPr>
        <w:t xml:space="preserve">, </w:t>
      </w:r>
      <w:r>
        <w:rPr>
          <w:rtl w:val="true"/>
        </w:rPr>
        <w:t>הוא הודה בעובדות שבכתב האישום המתוקן והורשע בהתאם</w:t>
      </w:r>
      <w:r>
        <w:rPr>
          <w:rtl w:val="true"/>
        </w:rPr>
        <w:t xml:space="preserve">. </w:t>
      </w:r>
      <w:r>
        <w:rPr>
          <w:rtl w:val="true"/>
        </w:rPr>
        <w:t>הסדר הטיעון לא כלל הסכמה לעניין העונש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bookmarkStart w:id="17" w:name="ABSTRACT_START"/>
      <w:bookmarkEnd w:id="17"/>
      <w:r>
        <w:rPr>
          <w:rFonts w:ascii="Arial" w:hAnsi="Arial" w:cs="Arial"/>
          <w:rtl w:val="true"/>
        </w:rPr>
        <w:t>מעובדות כתב האישום המתוקן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במהלך 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הגיעו אל ביתו של פואד קדיח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פעיל של ארגון החזית העממית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ארגון שהוכרז על ידי ממשלת ישראל כארגון טרור בתאריך </w:t>
      </w:r>
      <w:r>
        <w:rPr>
          <w:rFonts w:cs="Arial" w:ascii="Arial" w:hAnsi="Arial"/>
        </w:rPr>
        <w:t>30/1/86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 פעילים נוספים של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הביאו עמם שני שקים ובהם שני מטעני נפץ – כל אחד במשקל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הביאו עמם כבלי חשמל לחיבור המטענים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המטענים הוסתרו על ידי פואד בביתו</w:t>
      </w:r>
      <w:bookmarkStart w:id="18" w:name="ABSTRACT_END"/>
      <w:bookmarkEnd w:id="18"/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חרף הנטען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באשר לשני מטענים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היה מדובר במטען אחד בלבד ולא בשניים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והמדינה הסכימה שלא תביא ראיות לענין המטען השני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כשבוע לאחר הבאת המטען לביתו של פואד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קשרו שלושת פעילי הארגון המצויינים לעיל קשר ביניהם לבצע עבירה מסוג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 להטמין מטענים ולהפעילם נגד טנקים של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באזור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הגיע לביתו של פואד ואחד מהקושרים ביקש ממנו לעזור לו לשאת מטען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והאחרים נשאו את המטען ואת כבלי החשמל והניחו את המטען בצד הכביש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מהפעילים הפעיל את המטען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שאם יעבור במקום טנק הוא התפוצץ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הארבעה המתינו כשעה לטנקים שיעברו ויתפוצצו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לא עברו טנקים באותה עת בצומת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וכעבור כשעה פירק אחד הפעילים את המטען והחזירו לביתו של פואד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Fonts w:ascii="Arial" w:hAnsi="Arial" w:cs="Arial"/>
          <w:rtl w:val="true"/>
        </w:rPr>
        <w:t>היות ובמעשיו אלה סייע הנאשם לנסיון לגרום למותם של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רק משום היותם אזרחי מדינת ישראל וכדי לפגוע בבטחון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החזיק חומר נפץ ונשק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הורשע בביצוע עבירות של נסיון לרצח 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305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בתוספת סעיף </w:t>
      </w:r>
      <w:hyperlink r:id="rId7">
        <w:r>
          <w:rPr>
            <w:rStyle w:val="Hyperlink"/>
            <w:rFonts w:cs="Arial" w:ascii="Arial" w:hAnsi="Arial"/>
            <w:color w:val="0000FF"/>
            <w:u w:val="single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והחזקת נשק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9" w:name="סוג_מסמך"/>
      <w:bookmarkStart w:id="20" w:name="סוג_מסמך"/>
      <w:bookmarkEnd w:id="20"/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טיעוניה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עמדה התובעת המלומדה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חלפון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החומרה הרבה שבמעשי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פרטה את המעשים בהם הודה הנאשם והדגישה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התפוצץ המטען לא בשל חרטה של הנאשם אלא כיוון שבאותה עת לא עבר במקום טנק שיכול היה להפעיל את המטען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נכונותו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היה חבר בארגון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לסייע לפעילי הארגון על ידי נשיאת מטען נפץ והנחתו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במקום בו היו מצויים כוחות הבטחון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מלמדת על האדישות שלו כלפי חיי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להעביר מסר מרתיע וחד משמעי הן לנאשם והן לכל מי ששותף בתכנון וביצוע פעולות טרור שמכוונות כלפי חיילים ואזרחים ישראלים על ידי ענישה מרתיעה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וביקשה להטיל על הנאשם עונש מאסר בפועל ממושך ועונש מאסר מותנה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לעומתה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 הסנגור המלומד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אברין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הנסיבות הספציפיות של העבירה שבפנינו ועל הנסיבות האישיות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היה קשור להחבאת המטען בביתו של פואד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שכנו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לא ידע על הימצאותו של המטען בביתו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גם לא נטל חלק בקשר של פואד ושל שני הפעילים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ובאופן ספונטני הגיע לביתו של שכנו והצטרף אל הקושרים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לא היה דומיננטי באירוע כולו – לא בהטמנת המטען ולא בנסיון הפעלתו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גם לא פרק את המטען וגם לא עזר להוביל אותו חזרה לביתו של שכנו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הציע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אך נוצל על ידי פעילי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גם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שלדבריו פוטנציאל הנזק של מטען שאיננו תקני במשקל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איננו 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לא כנגד טנק מרכבה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הסנגור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לנאשם אין עבר פלילי וכי מדובר במעידה חד פעמית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גם מאז ביצוע העבירה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ועד למעצרו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עבר כל 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הודה בכתב האישום המתוקן וחסך זמן שיפוטי יקר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כשם שהודה גם בפני רשויות החקירה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וגם במשטרה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לעודד נאשמים דוגמת הנאשם להמשיך בקו זה של הודיה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עונשים מכבידים יחטיאו מטרה זו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הסנגור הוסיף והדגיש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למזלו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למזל כולנו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נגרם כל נזק כתוצאה ממעשיו – לא לאדם ולא לרכוש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הפנים את חומרת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לוקח אחריות ומביע חרטה כנה ואין כל סיכוי שיחזור על מעשיו בעתיד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שלא למצות עמו את 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פנה אף הוא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וסיפר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הוא בן </w:t>
      </w:r>
      <w:r>
        <w:rPr>
          <w:rFonts w:cs="Arial" w:ascii="Arial" w:hAnsi="Arial"/>
        </w:rPr>
        <w:t>46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ואב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מתוכן שתיים לומדות באוניברסיטה והיתר צעירות בגילן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הוריו מבוגרים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 </w:t>
      </w:r>
      <w:r>
        <w:rPr>
          <w:rFonts w:cs="Arial" w:ascii="Arial" w:hAnsi="Arial"/>
        </w:rPr>
        <w:t>85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ולדבריו הוא היחיד שעזר לפרנסת המשפחה כולה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אין אף אחד שיוכל להחליף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יש לנאשם שני אחים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מתגוררים באזור מרוחק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הדגיש את עברו הנקי ואף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גם לאחר הארוע היתה לו אשרת כניסה לישראל והיה נכנס לתחומי מדינת ישראל ללא כל בעיות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מצטער על מעשיו ומתחרט וביקש את רחמי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שני הצדדים הגישו לעיון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פסיקה – כל אחד מהם פסיקה התואמת את רמת הענישה שביקש כי נטיל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אין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מעשי הנאשם חמורים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נטל חלק בביצוע עבירה בטחונית שהיה בה כדי לסכן חיי אדם ולפגוע פגיעה קשה בשלומם של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המסר העונשי ביחס לעבירות שכרוך בהן סיוע לארגוני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סיוע לביצוע פיגועי טרור כנגד ישראלים וניסיון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חייב להיות ברור ובהיר וחייב לכלול ענישה מחמירה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אין צורך להכביר מילים באשר למאבק של מדינת ישראל בעת הזו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 מול ארגוני הטרור הפועלים כנגד תושבי המדינה ויוצאים לפגע בה חדשות לבקרים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בענישתם של העוברים עבירות של החזקת נשק ונסיון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העבירות בהן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לתת משקל רב לאלמנט ההרתעה וזאת על ידי ענישה ממשית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אמנם במקרה שבפנינו לא היו פגיעות בנפש ולא נגרם נזק לרכוש כתוצאה ממעשי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הדבר לא נבע מחרטה של הנאשם אלא מהנסיבות האובייקטיביות בשטח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הנאשם ושותפיו ניסו לבצע את זממם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רק במקרה ובדרך נס לא עבר במקום רכב של ישראלים</w:t>
      </w:r>
      <w:r>
        <w:rPr>
          <w:rFonts w:cs="Arial" w:ascii="Arial" w:hAnsi="Arial"/>
          <w:rtl w:val="true"/>
        </w:rPr>
        <w:t xml:space="preserve">. </w:t>
        <w:tab/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לצד שיקולי חומרה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להתחשב לטובת הנאשם בנסיבותיו האישיות ובכך שמדובר במקרה חד פעמי שבוצע בשנת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לפני ארוע זה ואף לאחריו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שב הנאשם לבצע מעשים כנגד 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נתחשב בנסיבותיו האישיות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שפרט בפנינו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 גוזרים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בניכוי ימי המעצר שהם מיום </w:t>
      </w:r>
      <w:r>
        <w:rPr>
          <w:rFonts w:cs="Arial" w:ascii="Arial" w:hAnsi="Arial"/>
        </w:rPr>
        <w:t>6/9/06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היום</w:t>
      </w:r>
      <w:r>
        <w:rPr>
          <w:rFonts w:cs="Arial" w:ascii="Arial" w:hAnsi="Arial"/>
          <w:rtl w:val="true"/>
        </w:rPr>
        <w:t>.</w:t>
      </w:r>
    </w:p>
    <w:p>
      <w:pPr>
        <w:pStyle w:val="BodyTextIndent2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למשך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והתנאי שהנאשם לא יעבור כל עבירה    מסוג פשע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hanging="0" w:start="91" w:end="0"/>
        <w:jc w:val="both"/>
        <w:rPr/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 העליון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Arial" w:hAnsi="Arial" w:cs="David"/>
          <w:color w:val="000000"/>
          <w:sz w:val="22"/>
          <w:szCs w:val="22"/>
        </w:rPr>
      </w:pPr>
      <w:r>
        <w:rPr>
          <w:rFonts w:cs="David" w:ascii="Arial" w:hAnsi="Arial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Arial" w:hAnsi="Arial"/>
          <w:color w:val="000000"/>
          <w:sz w:val="22"/>
          <w:szCs w:val="22"/>
          <w:rtl w:val="true"/>
        </w:rPr>
        <w:t xml:space="preserve">. 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יפה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כ</w:t>
      </w:r>
      <w:r>
        <w:rPr>
          <w:rFonts w:cs="David" w:ascii="Arial" w:hAnsi="Arial"/>
          <w:color w:val="000000"/>
          <w:sz w:val="22"/>
          <w:szCs w:val="22"/>
          <w:rtl w:val="true"/>
        </w:rPr>
        <w:t>"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ץ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–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 w:ascii="Arial" w:hAnsi="Arial"/>
          <w:color w:val="000000"/>
          <w:sz w:val="22"/>
          <w:szCs w:val="22"/>
        </w:rPr>
        <w:t>54678313-1119/06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Arial" w:hAnsi="Arial" w:cs="David"/>
          <w:b/>
          <w:bCs/>
          <w:color w:val="000000"/>
          <w:sz w:val="22"/>
          <w:szCs w:val="22"/>
        </w:rPr>
      </w:pPr>
      <w:r>
        <w:rPr>
          <w:rFonts w:cs="David" w:ascii="Arial" w:hAnsi="Arial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/>
      </w:pPr>
      <w:r>
        <w:rPr>
          <w:rFonts w:cs="Arial" w:ascii="Arial" w:hAnsi="Arial"/>
          <w:b/>
          <w:bCs/>
          <w:color w:val="000000"/>
          <w:sz w:val="2"/>
          <w:szCs w:val="2"/>
        </w:rPr>
        <w:t>54678313</w:t>
      </w:r>
      <w:r>
        <w:rPr>
          <w:rtl w:val="true"/>
        </w:rPr>
        <w:t>ניתן היום יד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 xml:space="preserve">בינואר </w:t>
      </w:r>
      <w:r>
        <w:rPr/>
        <w:t>2008</w:t>
      </w:r>
      <w:r>
        <w:rPr>
          <w:rtl w:val="true"/>
        </w:rPr>
        <w:t xml:space="preserve">) </w:t>
      </w:r>
      <w:r>
        <w:rPr>
          <w:rtl w:val="true"/>
        </w:rPr>
        <w:t>במעמד הצדדים</w:t>
      </w:r>
      <w:r>
        <w:rPr>
          <w:rtl w:val="true"/>
        </w:rPr>
        <w:t xml:space="preserve">. </w:t>
      </w:r>
    </w:p>
    <w:tbl>
      <w:tblPr>
        <w:tblW w:w="789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61"/>
        <w:gridCol w:w="530"/>
        <w:gridCol w:w="2103"/>
        <w:gridCol w:w="493"/>
        <w:gridCol w:w="2507"/>
      </w:tblGrid>
      <w:tr>
        <w:trPr/>
        <w:tc>
          <w:tcPr>
            <w:tcW w:w="2261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53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103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מרוז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49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507" w:type="dxa"/>
            <w:tcBorders>
              <w:top w:val="single" w:sz="12" w:space="0" w:color="000000"/>
            </w:tcBorders>
          </w:tcPr>
          <w:p>
            <w:pPr>
              <w:pStyle w:val="Heading7"/>
              <w:ind w:end="0"/>
              <w:jc w:val="both"/>
              <w:rPr/>
            </w:pP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יפה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ץ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0"/>
      <w:footerReference w:type="default" r:id="rId11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/Users/liorb/Downloads/study2025-p2/m06001119-188.doc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1119/06</w:t>
    </w:r>
    <w:r>
      <w:rPr>
        <w:rFonts w:cs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רגילה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פואד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sz w:val="30"/>
      <w:szCs w:val="3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rFonts w:cs="Aharoni"/>
      <w:sz w:val="28"/>
      <w:szCs w:val="28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rFonts w:ascii="Arial" w:hAnsi="Arial" w:cs="Arial"/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b/>
      <w:bCs/>
      <w:sz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both"/>
    </w:pPr>
    <w:rPr>
      <w:rFonts w:ascii="Arial" w:hAnsi="Arial" w:cs="Arial"/>
    </w:rPr>
  </w:style>
  <w:style w:type="paragraph" w:styleId="BodyTextIndent2">
    <w:name w:val="Body Text Indent 2"/>
    <w:basedOn w:val="Normal"/>
    <w:qFormat/>
    <w:pPr>
      <w:ind w:hanging="720" w:start="1440" w:end="0"/>
      <w:jc w:val="both"/>
    </w:pPr>
    <w:rPr>
      <w:rFonts w:ascii="Arial" w:hAnsi="Arial" w:cs="Arial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05.1" TargetMode="External"/><Relationship Id="rId6" Type="http://schemas.openxmlformats.org/officeDocument/2006/relationships/hyperlink" Target="http://www.nevo.co.il/law/70301/305.1" TargetMode="External"/><Relationship Id="rId7" Type="http://schemas.openxmlformats.org/officeDocument/2006/relationships/hyperlink" Target="http://www.nevo.co.il/law/70301/3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2016-08-15T13:55:00Z</dcterms:created>
  <dc:creator> </dc:creator>
  <dc:description/>
  <cp:keywords/>
  <dc:language>en-IL</dc:language>
  <cp:lastModifiedBy>run</cp:lastModifiedBy>
  <cp:lastPrinted>2006-12-19T09:13:00Z</cp:lastPrinted>
  <dcterms:modified xsi:type="dcterms:W3CDTF">2016-08-15T13:55:00Z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רגילה פואד</vt:lpwstr>
  </property>
  <property fmtid="{D5CDD505-2E9C-101B-9397-08002B2CF9AE}" pid="4" name="CITY">
    <vt:lpwstr>ב"ש</vt:lpwstr>
  </property>
  <property fmtid="{D5CDD505-2E9C-101B-9397-08002B2CF9AE}" pid="5" name="DATE">
    <vt:lpwstr>20080127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ר. יפה כ#ץ;ו. מרוז;א. ואגו</vt:lpwstr>
  </property>
  <property fmtid="{D5CDD505-2E9C-101B-9397-08002B2CF9AE}" pid="9" name="LAWLISTTMP1">
    <vt:lpwstr>70301/305.1;031;144.b</vt:lpwstr>
  </property>
  <property fmtid="{D5CDD505-2E9C-101B-9397-08002B2CF9AE}" pid="10" name="LAWYER">
    <vt:lpwstr>חלפון;ג'אברין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תפח</vt:lpwstr>
  </property>
  <property fmtid="{D5CDD505-2E9C-101B-9397-08002B2CF9AE}" pid="31" name="PROCNUM">
    <vt:lpwstr>1119</vt:lpwstr>
  </property>
  <property fmtid="{D5CDD505-2E9C-101B-9397-08002B2CF9AE}" pid="32" name="PROCYEAR">
    <vt:lpwstr>06</vt:lpwstr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N_DATE">
    <vt:lpwstr>39020080127</vt:lpwstr>
  </property>
  <property fmtid="{D5CDD505-2E9C-101B-9397-08002B2CF9AE}" pid="36" name="VOLUME">
    <vt:lpwstr/>
  </property>
  <property fmtid="{D5CDD505-2E9C-101B-9397-08002B2CF9AE}" pid="37" name="WORDNUMPAGES">
    <vt:lpwstr>4</vt:lpwstr>
  </property>
</Properties>
</file>