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Caption"/>
        <w:spacing w:lineRule="auto" w:line="240"/>
        <w:ind w:start="288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</w:t>
      </w:r>
      <w:r>
        <w:rPr>
          <w:rFonts w:ascii="Arial" w:hAnsi="Arial" w:cs="Arial"/>
          <w:rtl w:val="true"/>
        </w:rPr>
        <w:t>מדינת ישראל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961"/>
        <w:gridCol w:w="851"/>
        <w:gridCol w:w="1809"/>
      </w:tblGrid>
      <w:tr>
        <w:trPr>
          <w:trHeight w:val="195" w:hRule="atLeast"/>
        </w:trPr>
        <w:tc>
          <w:tcPr>
            <w:tcW w:w="586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 ב א ר – ש ב ע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001119/08</w:t>
            </w:r>
          </w:p>
        </w:tc>
      </w:tr>
      <w:tr>
        <w:trPr>
          <w:trHeight w:val="621" w:hRule="atLeast"/>
        </w:trPr>
        <w:tc>
          <w:tcPr>
            <w:tcW w:w="586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אזולאי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נשיא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נ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זלוצ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ובר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צ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21/07/2009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  <w:bookmarkStart w:id="0" w:name="LastJudge"/>
      <w:bookmarkStart w:id="1" w:name="LastJudge"/>
      <w:bookmarkEnd w:id="1"/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2380"/>
        <w:gridCol w:w="3063"/>
        <w:gridCol w:w="1787"/>
        <w:gridCol w:w="56"/>
        <w:gridCol w:w="1276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4906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מדינת ישראל</w:t>
            </w:r>
          </w:p>
        </w:tc>
        <w:tc>
          <w:tcPr>
            <w:tcW w:w="1276" w:type="dxa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בעניין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ascii="Arial" w:hAnsi="Arial" w:cs="Times New Roman"/>
                <w:sz w:val="24"/>
                <w:szCs w:val="20"/>
              </w:rPr>
            </w:pPr>
            <w:r>
              <w:rPr>
                <w:rFonts w:cs="Times New Roman" w:ascii="Arial" w:hAnsi="Arial"/>
                <w:sz w:val="24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sz w:val="24"/>
                <w:sz w:val="24"/>
                <w:rtl w:val="true"/>
              </w:rPr>
              <w:t>המאשימה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84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1276" w:type="dxa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ascii="Arial" w:hAnsi="Arial" w:cs="Times New Roman"/>
                <w:sz w:val="24"/>
                <w:szCs w:val="20"/>
              </w:rPr>
            </w:pPr>
            <w:r>
              <w:rPr>
                <w:rFonts w:cs="Times New Roman" w:ascii="Arial" w:hAnsi="Arial"/>
                <w:sz w:val="24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cs="Arial" w:ascii="Arial" w:hAnsi="Arial"/>
                <w:sz w:val="24"/>
                <w:szCs w:val="20"/>
                <w:rtl w:val="true"/>
              </w:rPr>
            </w:r>
          </w:p>
        </w:tc>
        <w:tc>
          <w:tcPr>
            <w:tcW w:w="4906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  <w:p>
            <w:pPr>
              <w:pStyle w:val="Style7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נ  ג  ד</w:t>
            </w:r>
          </w:p>
          <w:p>
            <w:pPr>
              <w:pStyle w:val="Style7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1276" w:type="dxa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ascii="Arial" w:hAnsi="Arial" w:cs="Times New Roman"/>
                <w:sz w:val="24"/>
                <w:szCs w:val="20"/>
              </w:rPr>
            </w:pPr>
            <w:r>
              <w:rPr>
                <w:rFonts w:cs="Times New Roman" w:ascii="Arial" w:hAnsi="Arial"/>
                <w:sz w:val="24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cs="Arial" w:ascii="Arial" w:hAnsi="Arial"/>
                <w:sz w:val="24"/>
                <w:szCs w:val="20"/>
                <w:rtl w:val="true"/>
              </w:rPr>
            </w:r>
          </w:p>
        </w:tc>
        <w:tc>
          <w:tcPr>
            <w:tcW w:w="4906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5" w:name="שם_ב"/>
            <w:r>
              <w:rPr>
                <w:rFonts w:ascii="Arial" w:hAnsi="Arial" w:cs="Arial"/>
                <w:sz w:val="24"/>
                <w:sz w:val="24"/>
                <w:rtl w:val="true"/>
              </w:rPr>
              <w:t>אבו סנימה סמיר</w:t>
            </w:r>
            <w:bookmarkEnd w:id="5"/>
          </w:p>
        </w:tc>
        <w:tc>
          <w:tcPr>
            <w:tcW w:w="1276" w:type="dxa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ascii="Arial" w:hAnsi="Arial" w:cs="Times New Roman"/>
                <w:sz w:val="24"/>
                <w:szCs w:val="20"/>
              </w:rPr>
            </w:pPr>
            <w:r>
              <w:rPr>
                <w:rFonts w:cs="Times New Roman" w:ascii="Arial" w:hAnsi="Arial"/>
                <w:sz w:val="24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</w:t>
            </w:r>
            <w:bookmarkStart w:id="6" w:name="כינוי_ב"/>
            <w:bookmarkEnd w:id="6"/>
            <w:r>
              <w:rPr>
                <w:rFonts w:ascii="Arial" w:hAnsi="Arial" w:cs="Arial"/>
                <w:sz w:val="24"/>
                <w:sz w:val="24"/>
                <w:rtl w:val="true"/>
              </w:rPr>
              <w:t>נאשם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84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1276" w:type="dxa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ascii="Arial" w:hAnsi="Arial" w:cs="Times New Roman"/>
                <w:sz w:val="24"/>
                <w:szCs w:val="20"/>
              </w:rPr>
            </w:pPr>
            <w:r>
              <w:rPr>
                <w:rFonts w:cs="Times New Roman" w:ascii="Arial" w:hAnsi="Arial"/>
                <w:sz w:val="24"/>
                <w:szCs w:val="20"/>
                <w:rtl w:val="true"/>
              </w:rPr>
            </w:r>
          </w:p>
        </w:tc>
        <w:tc>
          <w:tcPr>
            <w:tcW w:w="723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9" w:name="FirstLawyer"/>
            <w:bookmarkEnd w:id="9"/>
            <w:r>
              <w:rPr>
                <w:rFonts w:ascii="Arial" w:hAnsi="Arial" w:cs="Arial"/>
                <w:sz w:val="24"/>
                <w:sz w:val="24"/>
                <w:rtl w:val="true"/>
              </w:rPr>
              <w:t>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המאשימה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ד מרום </w:t>
            </w:r>
          </w:p>
          <w:p>
            <w:pPr>
              <w:pStyle w:val="Style7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הנאשם ובא</w:t>
            </w:r>
            <w:r>
              <w:rPr>
                <w:rFonts w:cs="Arial" w:ascii="Arial" w:hAnsi="Arial"/>
                <w:sz w:val="24"/>
                <w:rtl w:val="true"/>
              </w:rPr>
              <w:t>-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כוחו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 ג</w:t>
            </w:r>
            <w:r>
              <w:rPr>
                <w:rFonts w:cs="Arial" w:ascii="Arial" w:hAnsi="Arial"/>
                <w:sz w:val="24"/>
                <w:rtl w:val="true"/>
              </w:rPr>
              <w:t>'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ברין</w:t>
            </w:r>
          </w:p>
        </w:tc>
        <w:tc>
          <w:tcPr>
            <w:tcW w:w="133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7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נוכחים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31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פרק 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3"/>
        <w:ind w:end="0"/>
        <w:jc w:val="center"/>
        <w:rPr>
          <w:rFonts w:ascii="Arial" w:hAnsi="Arial" w:cs="Arial"/>
          <w:sz w:val="32"/>
          <w:szCs w:val="32"/>
          <w:u w:val="single"/>
        </w:rPr>
      </w:pPr>
      <w:bookmarkStart w:id="14" w:name="PsakDin"/>
      <w:bookmarkEnd w:id="14"/>
      <w:r>
        <w:rPr>
          <w:rFonts w:ascii="Arial" w:hAnsi="Arial" w:cs="Arial"/>
          <w:sz w:val="32"/>
          <w:sz w:val="32"/>
          <w:szCs w:val="32"/>
          <w:u w:val="single"/>
          <w:rtl w:val="true"/>
        </w:rPr>
        <w:t>גזר דין</w:t>
      </w:r>
    </w:p>
    <w:p>
      <w:pPr>
        <w:pStyle w:val="Heading3"/>
        <w:ind w:end="0"/>
        <w:jc w:val="both"/>
        <w:rPr>
          <w:rFonts w:ascii="Arial" w:hAnsi="Arial" w:cs="Arial"/>
          <w:u w:val="single"/>
        </w:rPr>
      </w:pPr>
      <w:bookmarkStart w:id="15" w:name="PsakDin"/>
      <w:bookmarkEnd w:id="15"/>
      <w:r>
        <w:rPr>
          <w:rFonts w:ascii="Arial" w:hAnsi="Arial" w:cs="Arial"/>
          <w:u w:val="single"/>
          <w:rtl w:val="true"/>
        </w:rPr>
        <w:t>ההליך</w:t>
      </w:r>
    </w:p>
    <w:p>
      <w:pPr>
        <w:pStyle w:val="Normal"/>
        <w:ind w:end="0"/>
        <w:jc w:val="both"/>
        <w:rPr/>
      </w:pPr>
      <w:bookmarkStart w:id="16" w:name="ABSTRACT_START"/>
      <w:bookmarkEnd w:id="16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סיוע לעבירות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>-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בצירוף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bookmarkStart w:id="17" w:name="ABSTRACT_END"/>
      <w:bookmarkEnd w:id="17"/>
      <w:r>
        <w:rPr>
          <w:rFonts w:cs="Arial" w:ascii="Arial" w:hAnsi="Arial"/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לא כלל הסכמה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בכתב האישום על פיו הורשע הנאשם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במועד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בחודש מרץ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אל הנאשם בן דודו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מוסא אבו סנימה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מוסא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והציע לו לסייע בסחר 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שיועברו ממצרים וימכרו 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נענה לבקשתו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מוסא לבית הנאשם במכונית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כשאיתו שותפים אחרים לעסקה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אמין אבו סנימה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תאופיק אבו סנימה ופרג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אבו סנימה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איתם הנאשם לכיכר זוערוב ברפיח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הם נכנסו לחדר אזבסט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בקרבת בית שמתוכו נחפרה מנהרה מרפיח שברצועת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למנהרה הגיעו שותפים נוספים לעסקה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מוחמד סלימאן אבו סנימה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אחיו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מחמוד אבו סנימה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פעיל ארגון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האיסלמי הפלסטיני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שהוכרז על ידי שר הביטחון כהתאחדות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ומוחמד עבד אלרחמן אבו סנימה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במנהרה היו מונחים ארבעה שקים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שהכילו כל אחד עשרה 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והאחרים הוציאו את השקים מהמנהרה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העמיסו אותם למכוניתו של מוסא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ונסעו מהמקום כשהרובים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בתמורה לפעילותו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שילם מוסא לנאשם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דולר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הנאשם לסחר בנשק שהועבר ממצרים ונמכר 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שיש בו כדי לפגוע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עצור מיום </w:t>
      </w:r>
      <w:r>
        <w:rPr>
          <w:rFonts w:cs="Arial" w:ascii="Arial" w:hAnsi="Arial"/>
        </w:rPr>
        <w:t>13.10.06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הראיות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הסכים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 הזיקה שבין שרשרת הברחות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לבין עורף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שטען שחלקו של הנאשם בעניין הינו שולי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5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הטיעונים לעונש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הטיעונים לעונש 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להחמיר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ולהשית עליו עונש מאסר בפועל מרתיע ומאסר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המצב הביטחוני בו אנו מצויים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כך שבעבירות אלה יש סיכון ממשי לביטחון המדינה ואזרחיה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על חומרת 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  כי יש להשית על הנאשם את עונש המקסימום הקבוע בצידה של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שהינו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והמעשים בהם הורשע במסגרת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הינם 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כלי הנשק שהנאשם סייע בהובלתם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מסייעים בפועל לארגוני הטרור להתחמש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שניתן להתרשם מהתקדמותם במלחמה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העובדה שהנאשם הסכים לסייע בסחר רובי הקלצ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שהיה מודע לכך שמוחמד סלימאן הינו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יאהד האיסלמי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העובדה שמדובר בכלי נשק שהוטמנו בחדר שבתוכו מנהרה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ועצם ההסוואה של אותם שקים מלמדת שהנאשם ידע שמדובר בדבר פסול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ואחרים הכניסו את השקים למכונית של מוסא ונסעו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כשהיה ברור לנאשם מלכתחילה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היעד של כלי הנשק הינו לצורך מכירה ברצועת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החומרה בענייננו נובעת מהעובדה  שמדובר בוודאות מוחלטת שכלי הנשק יגיעו לגורמי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העובדה שמי שנכח עם הנאשם היה פעיל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יאהד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מקרה זה הינו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ומדובר בנתיב העברת כלי נשק בו מעורבים גורמים מצריים וגורמים בתוך רצועת עזה שמתכננים יחד את העברת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 הגורם המצרי דואג להעברת אמצעי הלחימה דרך מנהרה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והגורם ברצועת עזה דואג להעמסתו ולהעברתו לגורמים בתוך הרצועה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הגישה פסיקה לעניין העונש הראוי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והפנתה ל</w:t>
      </w:r>
      <w:hyperlink r:id="rId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11475/04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חאלד סוארכה ואח</w:t>
      </w:r>
      <w:r>
        <w:rPr>
          <w:rFonts w:cs="Arial" w:ascii="Arial" w:hAnsi="Arial"/>
          <w:b/>
          <w:bCs/>
          <w:rtl w:val="true"/>
        </w:rPr>
        <w:t>',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911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החמיר בעונשם של מובילים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משש שנות מאסר לעשר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באותו מקרה הייתה אפשרות תיאורטית שהנשק יגיע לשטחי הרשות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הגיע בפועל לידי ידיים עוינות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והדברים מקבלים משנה תוקף לאור העובדה שהאפשרות לסכל העברת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מסיני לרצועת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מאשר במקרה בו מגיע מסתנן מסיני ובידיו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האפשרות שייתפס על ידי כוחות הביטחון גבוהה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textAlignment w:val="top"/>
        <w:rPr/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color w:val="000000"/>
          <w:rtl w:val="true"/>
        </w:rPr>
        <w:t>תפ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ח </w:t>
      </w:r>
      <w:hyperlink r:id="rId10">
        <w:r>
          <w:rPr>
            <w:rStyle w:val="Hyperlink"/>
            <w:rFonts w:cs="Arial" w:ascii="Arial" w:hAnsi="Arial"/>
            <w:color w:val="0000FF"/>
            <w:u w:val="single"/>
          </w:rPr>
          <w:t>1013/05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אלעביד סאמי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12356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על הנאשם עשר שנות מאסר בגין עבירות של סחר בנשק וסיוע לאויב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שם דובר בחמישה 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בהעברה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אם העבירה נעשתה  על רקע מניע כלכלי ולא ממניע אידיאולוגי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בכך לשנות מהתוצאות הרות האסון שעלולות לנבוע מהעברת כמות נשק כה גדולה לגורמים עוינים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כשמדובר במסייע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התפקיד שלו הכרחי כדי לסייע ולהשלים את פעולת ההברחה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ורק ענישה 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עשויה לעצור את השגשוג של נתיב ההברחה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יש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ריצה מאסר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עבירות סמים ובגין כניסה לישראל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להחמיר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וחלקו בפרשה היה מזערי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חלק בפרשה לאחר שעסקת המכירה כבר הסתיימה והנשק הועבר לרצועת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ידע מי הסוחרים ומי הבריח את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אינו משתייך לארגונים עויינים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ומדובר אך במקרה חד פעמי שאירע 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שהנאשם ידע שמוחמד סלימאן הינו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יאהד האיסלמי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מדובר בוודאות מוחלטת שכלי הנשק הגיעו לידיים עויינות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מאחר ופעילותו של הנאשם הסתכמה בהעמסת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עלה איתם כחמש דקות על הרכב וירד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ידוע מה עלה בגורל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הגיעו לגורמי טרור או גורמי פשיעה 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ואנו עדים בארבע השנים האחרונות לפשיעה הגוברת בארץ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הנשק מגיע מסיני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את תשומת ליבנו לשני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</w:t>
      </w:r>
      <w:hyperlink r:id="rId11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8161/07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אלווג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עבדאללה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9512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המחוזי ארבע וחצי שנות מאסר במקרה חמור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הואיל ומדובר בתושב ישראלי שנתפס עם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שהוברחו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מחסניות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לו חובת נאמנות למדינה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12">
        <w:r>
          <w:rPr>
            <w:rStyle w:val="Hyperlink"/>
            <w:rFonts w:ascii="Arial" w:hAnsi="Arial" w:cs="Arial"/>
            <w:rtl w:val="true"/>
          </w:rPr>
          <w:t>תפ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ח </w:t>
        </w:r>
        <w:r>
          <w:rPr>
            <w:rStyle w:val="Hyperlink"/>
            <w:rFonts w:cs="Arial" w:ascii="Arial" w:hAnsi="Arial"/>
          </w:rPr>
          <w:t>1103/07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 עביד נעים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3417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זה עונש של שלוש וחצי שנות מאסר על תושב ישראל שעזר בהברחת נשק לגדה המערבית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נאשם זה הורשע אף בעבירה של סיוע לאויב בזמן מלחמה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BodyText"/>
        <w:ind w:end="0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להתחשב בעובדה שהנאשם הודה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פעולה עם חוקריו וחסך זמן שיפוטי 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שיש להתחשב בנסיבותיו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שהינו 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ומסייע לבני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לכך שהנאשם התארס ובכוונתו להתחתן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בדבריו האחרונים 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הנאשם חרטה ואמר כי הוא מצר על המעשים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עובד כחקלאי ואינו משתייך לארגון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 הוא עוזר למשפחתו ולאמו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שהינה חולת סכרת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7"/>
        <w:tabs>
          <w:tab w:val="clear" w:pos="720"/>
          <w:tab w:val="left" w:pos="206" w:leader="none"/>
          <w:tab w:val="left" w:pos="386" w:leader="none"/>
        </w:tabs>
        <w:ind w:end="0"/>
        <w:jc w:val="both"/>
        <w:rPr/>
      </w:pPr>
      <w:r>
        <w:rPr>
          <w:rFonts w:eastAsia="Arial" w:cs="Arial" w:ascii="Arial" w:hAnsi="Arial"/>
          <w:u w:val="none"/>
          <w:rtl w:val="true"/>
        </w:rPr>
        <w:t xml:space="preserve"> </w:t>
      </w:r>
      <w:r>
        <w:rPr>
          <w:rFonts w:ascii="Arial" w:hAnsi="Arial" w:cs="Arial"/>
          <w:rtl w:val="true"/>
        </w:rPr>
        <w:t>דיון</w:t>
      </w:r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העבירה בה הורשע הנאשם הינה עבירה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בה בנסיבות העניין כדי לפגוע בביטחון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הנסחר עלול לעבור מיד ליד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נרכש באופן חוקי וחזקה שהוא לא נועד לשמש למטרה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 העבירות גוברת נוכח המאבק שמנהלת מדינת ישראל כנגד ארגוני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שמו להם למטרה לפגע במדינה ובאזרחיה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ישראל ניצבת בחזית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מאבק המופנה נגד כל מי שמשמן בצורה זו או אחרת את גלגלי הטרור ומאיים לגבות מחיר 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רמה מרמות הפעילות של ארגוני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ספק שבמקרה הזה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החלק של הנאשם הוא בחוליה מתקדמת של אותה שרשרת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מסוג זה מחייבות ענישה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ממשית וכואבת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שיהא בה כדי להעביר מסר עונשי חד וברור לאלה העוברים עבירות ביטחוניות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 שנוטל חלק בעבירות אלה ימצא עצמו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נועדה גם להרתיע עבריינים פוטנציאליים מליטול חלק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במישרין או בעקיפין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LineNumbers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אף שחלקו של הנאשם אינו החלק העיקרי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לשים לב לכך שכלי הנשק לא נתפסו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וקיים חשש שנשק זה הביא או שיביא לשפיכות 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ובמצב בו נמצאת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לנהוג ביד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נגד אותם גורמים הנותנים ידם לגורמים עויינים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שקרוב לוודאי ישתמשו בכלי הנשק לביצוע הרג וטרור נגד אזרחי המדינה ותושביה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ויגרמו לאבדן חיי אדם ולפגיעה בחפים מפשע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end="0"/>
        <w:jc w:val="both"/>
        <w:rPr/>
      </w:pPr>
      <w:r>
        <w:rPr>
          <w:rFonts w:ascii="Arial" w:hAnsi="Arial" w:cs="Arial"/>
          <w:rtl w:val="true"/>
        </w:rPr>
        <w:t>בפח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מחוזי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חיפה</w:t>
      </w:r>
      <w:r>
        <w:rPr>
          <w:rFonts w:cs="Arial" w:ascii="Arial" w:hAnsi="Arial"/>
          <w:rtl w:val="true"/>
        </w:rPr>
        <w:t xml:space="preserve">) </w:t>
      </w:r>
      <w:hyperlink r:id="rId13">
        <w:r>
          <w:rPr>
            <w:rStyle w:val="Hyperlink"/>
            <w:rFonts w:cs="Arial" w:ascii="Arial" w:hAnsi="Arial"/>
            <w:color w:val="0000FF"/>
            <w:u w:val="single"/>
          </w:rPr>
          <w:t>1076/04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זאהר בן יוסף דיאב עלי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נפסק</w:t>
      </w:r>
      <w:r>
        <w:rPr>
          <w:rFonts w:cs="Arial" w:ascii="Arial" w:hAnsi="Arial"/>
          <w:rtl w:val="true"/>
        </w:rPr>
        <w:t>:</w:t>
      </w:r>
    </w:p>
    <w:p>
      <w:pPr>
        <w:pStyle w:val="Style10"/>
        <w:ind w:start="386" w:end="567"/>
        <w:jc w:val="both"/>
        <w:rPr/>
      </w:pP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ידע כל מי שנוטל חלק בשרשרת המוות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לרבות מי שקושר ומנסה ליטול חלק באותה שרשרת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כי אם ייתפס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נקה לא יינקה וכי יהא צפוי לעונש חמור</w:t>
      </w:r>
      <w:r>
        <w:rPr>
          <w:rFonts w:cs="Arial" w:ascii="Arial" w:hAnsi="Arial"/>
          <w:b/>
          <w:bCs/>
          <w:sz w:val="24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מי שהפך עצמו לכלי בידי אלה המבקשים לרצוח ולפצוע בתושבי ישראל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עושה את החמור שבמעשים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ואת עונשו יש למדוד בהתאם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מלבד הצורך שהעונש ישקף את החומרה שבמעשה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העונש לשלוח מסר מרתיע לכל מי ששוקל לשמש בעתיד ככלי ביד ארגוני המרצחים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לשם הוצאה לפועל של פעולות חבלה ורצח</w:t>
      </w:r>
      <w:r>
        <w:rPr>
          <w:rFonts w:cs="Arial" w:ascii="Arial" w:hAnsi="Arial"/>
          <w:sz w:val="24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 שמעשיו של הנאשם נעשו בנסיבות בהן עלול להיפגע בטחון המדינה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ניכר שבפעולותיו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כדי להוות חלק מאותה שרשרת הפוגעת בביטחון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שהסכים לסייע בסחר ברובי הקלצ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ידע ללא עוררין כי מוחמד סלימאן שנכח עימו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יאהד האיסלמי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שידע שכלי הנשק מוברחים באמצעות מנהרות מוסוות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לידי ידיים עוינות ברצועת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בפעילותו כזאת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כדי להוות חלק מאותה שרשרת הגורמת להרג של אנשים ופוגעת בביטחון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כשעסקינן בהברחת כלי נשק ואמצעי לחימה על ידי ארגוני טרור שונים דרך רשת מנהרות המחברת בין מצרים לרצועת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תופעה זו של הברחת נשק מגבול מצרים לעזה הפכה לנגע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מגדילה את היקף כלי הנשק בהם אוחזים ארגוני הטרור ברצועת עזה ומגבירה את הסיכון הביטחוני כלפי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על רקע המציאות הביטחונית הקשה בה מצויה כיום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עדים אנו חדשים לבקרים להברחות נשק העושות את דרכן ממצרים לתחומי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חומרה יתירה יש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העובדה כי מדובר בהברחות באמצעות מנהרות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העושות דרכן היישר לרצועת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בתשתית משומנת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שלגביה יש לנקוט במדיניות ענישה מחמירה כדי להבטיח את גורם ההרתעה והגמול בעבירות אלה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גם אם מעשיו של הנאשם לא נבעו ממניעים אידיאולוגיים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מבצע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מחייבים הם תגובה עונשית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שיהא בה כדי להרתיע אחרים מלבצע מעשים 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האופי המסוכן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כי כלי הנשק אינם מיועדים למטרות כשרות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לפעולות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לפעולות פליליות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יפים הם הדברים שנקבעו ב</w:t>
      </w:r>
      <w:hyperlink r:id="rId1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4043/05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עליון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מוחמד בניית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2239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338" w:end="720"/>
        <w:jc w:val="both"/>
        <w:rPr>
          <w:rFonts w:ascii="Arial" w:hAnsi="Arial" w:eastAsia="Arial Unicode MS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במציאות הבטחונית הקשה בה חיה 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מוטלת חובה על בתי המשפט להעניש בחומרה את אלה המורשעים בעבירה של יבוא נשק ובעבירות דומות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במיוחד כך שעה שהדבר נעשה תוך חדירה דרך אחד מגבולותיה של ישראל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אף אם אין הוכחה ישירה שהנשק המוברח מיועד לידיהם של מחבלים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 שיש ליתן משקל לסוג הנשק ולכמותם של כלי הנשק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כאשר מדובר בהברחה של רובים מסוג קלצ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ניקוב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שהיה במקרים שעל הפרק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ניתן להניח שהנשק יגיע לידי גורמים עוינים לישראל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צריכה הענישה להיות קשה ומכאיבה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מתוך תקווה כי תביא להרתעה של אלה העוסקים בהברחות של כלי נשק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ind w:end="0"/>
        <w:jc w:val="both"/>
        <w:rPr>
          <w:rFonts w:ascii="Arial" w:hAnsi="Arial" w:eastAsia="Arial Unicode MS" w:cs="Arial"/>
          <w:b/>
          <w:bCs/>
        </w:rPr>
      </w:pPr>
      <w:r>
        <w:rPr>
          <w:rFonts w:eastAsia="Arial Unicode MS" w:cs="Arial" w:ascii="Arial" w:hAnsi="Arial"/>
          <w:b/>
          <w:bCs/>
          <w:rtl w:val="true"/>
        </w:rPr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לקולא את הודאתו של הנאשם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שהוא חסך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שאלמלא כן היה עונשו חמור יותר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 יש להתחשב בנסיבותיו האישיות של הנאשם ובכך שמדובר בעבירה של סיוע בלבד</w:t>
      </w:r>
      <w:r>
        <w:rPr>
          <w:rFonts w:cs="Arial" w:ascii="Arial" w:hAnsi="Arial"/>
          <w:rtl w:val="true"/>
        </w:rPr>
        <w:t xml:space="preserve">. </w:t>
      </w:r>
      <w:r>
        <w:br w:type="page"/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ששקלנו את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מטילים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360" w:end="72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מאסר בפועל לתקופה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שנים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13.10.06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72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מאסר על תנאי לתקופה של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שתוך שלוש שנים מיום שחרורו לא יעבור עבירה לפי </w:t>
      </w:r>
      <w:r>
        <w:rPr>
          <w:rFonts w:ascii="Arial" w:hAnsi="Arial" w:cs="Arial"/>
          <w:color w:val="000000"/>
          <w:rtl w:val="true"/>
        </w:rPr>
        <w:t>תקנות ההגנה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שעת חרום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עבירה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פרק 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18" w:name="Decision1"/>
      <w:bookmarkStart w:id="19" w:name="Decision1"/>
      <w:bookmarkEnd w:id="19"/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ניתן היום ט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ז בתמוז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>תשס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ט 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cs="Arial" w:ascii="Arial" w:hAnsi="Arial"/>
          <w:b/>
          <w:bCs/>
          <w:color w:val="000000"/>
        </w:rPr>
        <w:t>8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ביולי </w:t>
      </w:r>
      <w:r>
        <w:rPr>
          <w:rFonts w:cs="Arial" w:ascii="Arial" w:hAnsi="Arial"/>
          <w:b/>
          <w:bCs/>
          <w:color w:val="000000"/>
        </w:rPr>
        <w:t>2009</w:t>
      </w:r>
      <w:r>
        <w:rPr>
          <w:rFonts w:cs="Arial" w:ascii="Arial" w:hAnsi="Arial"/>
          <w:b/>
          <w:bCs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bCs/>
          <w:color w:val="000000"/>
          <w:rtl w:val="true"/>
        </w:rPr>
        <w:t>במעמד הנ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ל</w:t>
      </w:r>
      <w:r>
        <w:rPr>
          <w:rFonts w:cs="Arial" w:ascii="Arial" w:hAnsi="Arial"/>
          <w:b/>
          <w:bCs/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       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rtl w:val="true"/>
        </w:rPr>
        <w:t>---------------------</w:t>
        <w:tab/>
        <w:tab/>
        <w:t>--------------------</w:t>
        <w:tab/>
        <w:tab/>
        <w:t>-----------------------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אזולאי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זלוצ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צפת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שופטת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rFonts w:cs="David" w:ascii="David" w:hAnsi="David"/>
          <w:color w:val="000000"/>
          <w:sz w:val="22"/>
          <w:szCs w:val="22"/>
        </w:rPr>
        <w:t>54678313-1119/08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נשיא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הודעה למנויים על עריכה ושינויים במסמכי פסיקה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חקיקה ועוד באתר נבו </w:t>
      </w:r>
      <w:r>
        <w:rPr>
          <w:rFonts w:cs="Arial" w:ascii="Arial" w:hAnsi="Arial"/>
          <w:b/>
          <w:bCs/>
          <w:color w:val="000000"/>
          <w:rtl w:val="true"/>
        </w:rPr>
        <w:t xml:space="preserve">- </w:t>
      </w:r>
      <w:r>
        <w:rPr>
          <w:rFonts w:ascii="Arial" w:hAnsi="Arial" w:cs="Arial"/>
          <w:b/>
          <w:b/>
          <w:bCs/>
          <w:color w:val="000000"/>
          <w:rtl w:val="true"/>
        </w:rPr>
        <w:t>הקש כאן</w:t>
      </w:r>
    </w:p>
    <w:sectPr>
      <w:headerReference w:type="default" r:id="rId17"/>
      <w:footerReference w:type="default" r:id="rId1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/Users/liorb/Downloads/study2025-p2/m08001119-112.doc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1119/08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סנימה סמיר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0">
    <w:name w:val="צטוט"/>
    <w:basedOn w:val="Normal"/>
    <w:qFormat/>
    <w:pPr>
      <w:ind w:hanging="0" w:start="567" w:end="567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.2" TargetMode="External"/><Relationship Id="rId5" Type="http://schemas.openxmlformats.org/officeDocument/2006/relationships/hyperlink" Target="http://www.nevo.co.il/law/70301/gC" TargetMode="External"/><Relationship Id="rId6" Type="http://schemas.openxmlformats.org/officeDocument/2006/relationships/hyperlink" Target="http://www.nevo.co.il/law/70301/144.b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case/6180844" TargetMode="External"/><Relationship Id="rId10" Type="http://schemas.openxmlformats.org/officeDocument/2006/relationships/hyperlink" Target="http://www.nevo.co.il/case/3619000" TargetMode="External"/><Relationship Id="rId11" Type="http://schemas.openxmlformats.org/officeDocument/2006/relationships/hyperlink" Target="http://www.nevo.co.il/case/635694" TargetMode="External"/><Relationship Id="rId12" Type="http://schemas.openxmlformats.org/officeDocument/2006/relationships/hyperlink" Target="http://www.nevo.co.il/case/541634" TargetMode="External"/><Relationship Id="rId13" Type="http://schemas.openxmlformats.org/officeDocument/2006/relationships/hyperlink" Target="http://www.nevo.co.il/case/2543227" TargetMode="External"/><Relationship Id="rId14" Type="http://schemas.openxmlformats.org/officeDocument/2006/relationships/hyperlink" Target="http://www.nevo.co.il/case/5735726" TargetMode="External"/><Relationship Id="rId15" Type="http://schemas.openxmlformats.org/officeDocument/2006/relationships/hyperlink" Target="http://www.nevo.co.il/law/70301/g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2016-07-25T14:26:00Z</dcterms:created>
  <dc:creator> </dc:creator>
  <dc:description/>
  <cp:keywords/>
  <dc:language>en-IL</dc:language>
  <cp:lastModifiedBy>run</cp:lastModifiedBy>
  <cp:lastPrinted>2009-07-08T14:19:00Z</cp:lastPrinted>
  <dcterms:modified xsi:type="dcterms:W3CDTF">2016-07-25T14:26:00Z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סנימה סמיר</vt:lpwstr>
  </property>
  <property fmtid="{D5CDD505-2E9C-101B-9397-08002B2CF9AE}" pid="4" name="CASESLISTTMP1">
    <vt:lpwstr>6180844;3619000;635694;541634;2543227;5735726</vt:lpwstr>
  </property>
  <property fmtid="{D5CDD505-2E9C-101B-9397-08002B2CF9AE}" pid="5" name="CITY">
    <vt:lpwstr>ב"ש</vt:lpwstr>
  </property>
  <property fmtid="{D5CDD505-2E9C-101B-9397-08002B2CF9AE}" pid="6" name="DATE">
    <vt:lpwstr>20090721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ב. אזולאי;נ. זלוצ'ובר;צ. צפת</vt:lpwstr>
  </property>
  <property fmtid="{D5CDD505-2E9C-101B-9397-08002B2CF9AE}" pid="10" name="LAWLISTTMP1">
    <vt:lpwstr>70301/144.b.2;031;gC</vt:lpwstr>
  </property>
  <property fmtid="{D5CDD505-2E9C-101B-9397-08002B2CF9AE}" pid="11" name="LAWYER">
    <vt:lpwstr>מרום;ג'ברין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1119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390020090721</vt:lpwstr>
  </property>
  <property fmtid="{D5CDD505-2E9C-101B-9397-08002B2CF9AE}" pid="37" name="TYPE_N_DATE">
    <vt:lpwstr>39020090721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