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240"/>
        <w:ind w:end="0"/>
        <w:jc w:val="center"/>
        <w:rPr>
          <w:b/>
          <w:bCs/>
        </w:rPr>
      </w:pPr>
      <w:r>
        <w:rPr>
          <w:b/>
          <w:b/>
          <w:bCs/>
          <w:szCs w:val="32"/>
          <w:rtl w:val="true"/>
        </w:rPr>
        <w:t>בתי המשפט</w:t>
      </w:r>
      <w:r>
        <w:rPr>
          <w:b/>
          <w:b/>
          <w:bCs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32"/>
                <w:szCs w:val="32"/>
              </w:rPr>
            </w:pPr>
            <w:r>
              <w:rPr>
                <w:b/>
                <w:bCs/>
                <w:spacing w:val="110"/>
                <w:sz w:val="32"/>
                <w:szCs w:val="32"/>
                <w:rtl w:val="true"/>
              </w:rPr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 משפט מחוזי באר 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 xml:space="preserve">פח </w:t>
            </w:r>
            <w:r>
              <w:rPr>
                <w:b/>
                <w:bCs/>
                <w:sz w:val="24"/>
              </w:rPr>
              <w:t>001122/06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 ר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יפה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 xml:space="preserve">ץ </w:t>
            </w:r>
            <w:r>
              <w:rPr>
                <w:b/>
                <w:bCs/>
                <w:sz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 ו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 xml:space="preserve">מרוז 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 א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ואגו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  <w:rtl w:val="true"/>
              </w:rPr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  <w:rtl w:val="true"/>
              </w:rPr>
            </w:r>
          </w:p>
        </w:tc>
      </w:tr>
    </w:tbl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237"/>
        <w:gridCol w:w="458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rFonts w:cs="Arial"/>
                <w:szCs w:val="26"/>
              </w:rPr>
            </w:pPr>
            <w:bookmarkStart w:id="2" w:name="FirstAppellant"/>
            <w:bookmarkEnd w:id="2"/>
            <w:r>
              <w:rPr>
                <w:rFonts w:cs="Arial"/>
                <w:rtl w:val="true"/>
              </w:rPr>
              <w:t>בעניין</w:t>
            </w:r>
            <w:r>
              <w:rPr>
                <w:rFonts w:cs="Arial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rFonts w:cs="Arial"/>
              </w:rPr>
            </w:pPr>
            <w:bookmarkStart w:id="3" w:name="שם_א"/>
            <w:r>
              <w:rPr>
                <w:rFonts w:cs="Arial"/>
                <w:rtl w:val="true"/>
              </w:rPr>
              <w:t>מדינת ישראל</w:t>
            </w:r>
            <w:bookmarkEnd w:id="3"/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</w:rPr>
            </w:pPr>
            <w:r>
              <w:rPr>
                <w:rFonts w:cs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  <w:szCs w:val="26"/>
              </w:rPr>
            </w:pPr>
            <w:r>
              <w:rPr>
                <w:rFonts w:cs="Arial"/>
                <w:szCs w:val="26"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237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  <w:szCs w:val="26"/>
              </w:rPr>
            </w:pPr>
            <w:r>
              <w:rPr>
                <w:rFonts w:cs="Arial"/>
                <w:szCs w:val="26"/>
                <w:rtl w:val="true"/>
              </w:rPr>
            </w:r>
          </w:p>
        </w:tc>
        <w:tc>
          <w:tcPr>
            <w:tcW w:w="4583" w:type="dxa"/>
            <w:tcBorders/>
          </w:tcPr>
          <w:p>
            <w:pPr>
              <w:pStyle w:val="Style10"/>
              <w:ind w:end="0"/>
              <w:jc w:val="both"/>
              <w:rPr>
                <w:rFonts w:cs="Arial"/>
              </w:rPr>
            </w:pPr>
            <w:bookmarkStart w:id="6" w:name="בא_כוח_א"/>
            <w:r>
              <w:rPr>
                <w:rFonts w:cs="Arial"/>
                <w:rtl w:val="true"/>
              </w:rPr>
              <w:t>על ידי ב</w:t>
            </w:r>
            <w:r>
              <w:rPr>
                <w:rFonts w:cs="Arial"/>
                <w:rtl w:val="true"/>
              </w:rPr>
              <w:t>"</w:t>
            </w:r>
            <w:r>
              <w:rPr>
                <w:rFonts w:cs="Arial"/>
                <w:rtl w:val="true"/>
              </w:rPr>
              <w:t>כ עו</w:t>
            </w:r>
            <w:r>
              <w:rPr>
                <w:rFonts w:cs="Arial"/>
                <w:rtl w:val="true"/>
              </w:rPr>
              <w:t>"</w:t>
            </w:r>
            <w:r>
              <w:rPr>
                <w:rFonts w:cs="Arial"/>
                <w:rtl w:val="true"/>
              </w:rPr>
              <w:t>ד מורן גז</w:t>
            </w:r>
            <w:bookmarkEnd w:id="6"/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rFonts w:cs="Arial"/>
              </w:rPr>
            </w:pPr>
            <w:r>
              <w:rPr>
                <w:rFonts w:cs="Arial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</w:rPr>
            </w:pPr>
            <w:r>
              <w:rPr>
                <w:rFonts w:cs="Arial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napToGrid w:val="false"/>
              <w:ind w:end="0"/>
              <w:jc w:val="center"/>
              <w:rPr>
                <w:rFonts w:cs="Arial"/>
              </w:rPr>
            </w:pPr>
            <w:r>
              <w:rPr>
                <w:rFonts w:cs="Arial"/>
                <w:rtl w:val="true"/>
              </w:rPr>
            </w:r>
          </w:p>
          <w:p>
            <w:pPr>
              <w:pStyle w:val="Style10"/>
              <w:ind w:end="0"/>
              <w:jc w:val="center"/>
              <w:rPr>
                <w:rFonts w:cs="Arial"/>
              </w:rPr>
            </w:pPr>
            <w:r>
              <w:rPr>
                <w:rFonts w:cs="Arial"/>
                <w:rtl w:val="true"/>
              </w:rPr>
              <w:t>נ  ג  ד</w:t>
            </w:r>
          </w:p>
          <w:p>
            <w:pPr>
              <w:pStyle w:val="Style10"/>
              <w:ind w:end="0"/>
              <w:jc w:val="center"/>
              <w:rPr>
                <w:rFonts w:cs="Arial"/>
              </w:rPr>
            </w:pPr>
            <w:r>
              <w:rPr>
                <w:rFonts w:cs="Arial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</w:rPr>
            </w:pPr>
            <w:r>
              <w:rPr>
                <w:rFonts w:cs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  <w:szCs w:val="26"/>
              </w:rPr>
            </w:pPr>
            <w:r>
              <w:rPr>
                <w:rFonts w:cs="Arial"/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rFonts w:cs="Arial"/>
              </w:rPr>
            </w:pPr>
            <w:bookmarkStart w:id="7" w:name="שם_ב"/>
            <w:r>
              <w:rPr>
                <w:rFonts w:cs="Arial"/>
                <w:rtl w:val="true"/>
              </w:rPr>
              <w:t>אלעמור עליאן</w:t>
            </w:r>
            <w:r>
              <w:rPr>
                <w:rFonts w:cs="Arial"/>
                <w:rtl w:val="true"/>
              </w:rPr>
              <w:t xml:space="preserve">, </w:t>
            </w:r>
            <w:r>
              <w:rPr>
                <w:rFonts w:cs="Arial"/>
                <w:rtl w:val="true"/>
              </w:rPr>
              <w:t>ת</w:t>
            </w:r>
            <w:r>
              <w:rPr>
                <w:rFonts w:cs="Arial"/>
                <w:rtl w:val="true"/>
              </w:rPr>
              <w:t>.</w:t>
            </w:r>
            <w:r>
              <w:rPr>
                <w:rFonts w:cs="Arial"/>
                <w:rtl w:val="true"/>
              </w:rPr>
              <w:t>ז</w:t>
            </w:r>
            <w:r>
              <w:rPr>
                <w:rFonts w:cs="Arial"/>
                <w:rtl w:val="true"/>
              </w:rPr>
              <w:t xml:space="preserve">. </w:t>
            </w:r>
            <w:bookmarkEnd w:id="7"/>
            <w:r>
              <w:rPr>
                <w:rFonts w:cs="Arial"/>
              </w:rPr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</w:rPr>
            </w:pPr>
            <w:r>
              <w:rPr>
                <w:rFonts w:cs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  <w:szCs w:val="26"/>
              </w:rPr>
            </w:pPr>
            <w:r>
              <w:rPr>
                <w:rFonts w:cs="Arial"/>
                <w:szCs w:val="26"/>
                <w:rtl w:val="true"/>
              </w:rPr>
            </w:r>
          </w:p>
        </w:tc>
        <w:tc>
          <w:tcPr>
            <w:tcW w:w="237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  <w:szCs w:val="26"/>
              </w:rPr>
            </w:pPr>
            <w:r>
              <w:rPr>
                <w:rFonts w:cs="Arial"/>
                <w:szCs w:val="26"/>
                <w:rtl w:val="true"/>
              </w:rPr>
            </w:r>
          </w:p>
        </w:tc>
        <w:tc>
          <w:tcPr>
            <w:tcW w:w="4583" w:type="dxa"/>
            <w:tcBorders/>
          </w:tcPr>
          <w:p>
            <w:pPr>
              <w:pStyle w:val="Style10"/>
              <w:ind w:end="0"/>
              <w:jc w:val="both"/>
              <w:rPr>
                <w:rFonts w:cs="Arial"/>
              </w:rPr>
            </w:pPr>
            <w:bookmarkStart w:id="8" w:name="בא_כוח_ב"/>
            <w:r>
              <w:rPr>
                <w:rFonts w:cs="Arial"/>
                <w:rtl w:val="true"/>
              </w:rPr>
              <w:t>על ידי ב</w:t>
            </w:r>
            <w:r>
              <w:rPr>
                <w:rFonts w:cs="Arial"/>
                <w:rtl w:val="true"/>
              </w:rPr>
              <w:t>"</w:t>
            </w:r>
            <w:r>
              <w:rPr>
                <w:rFonts w:cs="Arial"/>
                <w:rtl w:val="true"/>
              </w:rPr>
              <w:t>כ עו</w:t>
            </w:r>
            <w:r>
              <w:rPr>
                <w:rFonts w:cs="Arial"/>
                <w:rtl w:val="true"/>
              </w:rPr>
              <w:t>"</w:t>
            </w:r>
            <w:r>
              <w:rPr>
                <w:rFonts w:cs="Arial"/>
                <w:rtl w:val="true"/>
              </w:rPr>
              <w:t>ד יונס תמים</w:t>
            </w:r>
            <w:bookmarkEnd w:id="8"/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rFonts w:cs="Arial"/>
              </w:rPr>
            </w:pPr>
            <w:r>
              <w:rPr>
                <w:rFonts w:cs="Arial"/>
                <w:rtl w:val="true"/>
              </w:rPr>
              <w:t>הנאשם</w:t>
            </w:r>
          </w:p>
        </w:tc>
      </w:tr>
    </w:tbl>
    <w:p>
      <w:pPr>
        <w:pStyle w:val="Heading1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להכרעת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דין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06-07-2008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1122/06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אלעמור עליאן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.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יפה כ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#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ץ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.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מרוז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.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ואגו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.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אלטמן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יונס תמים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לפסק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דין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26-12-2011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3370/09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עליאן אלעמור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רובינשטיין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מלצר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 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ריבלין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זיו אריאלי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סאלח מחאמיד </w:t>
      </w:r>
    </w:p>
    <w:p>
      <w:pPr>
        <w:pStyle w:val="Heading1"/>
        <w:ind w:end="0"/>
        <w:jc w:val="start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9" w:name="LawTable"/>
      <w:bookmarkStart w:id="10" w:name="LawTable"/>
      <w:bookmarkEnd w:id="10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4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114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305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499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9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שעת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חירום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1945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85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start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1" w:name="LawTable_End"/>
      <w:bookmarkStart w:id="12" w:name="LawTable_End"/>
      <w:bookmarkEnd w:id="12"/>
    </w:p>
    <w:p>
      <w:pPr>
        <w:pStyle w:val="Heading1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bookmarkStart w:id="13" w:name="PsakDin"/>
      <w:bookmarkEnd w:id="13"/>
      <w:r>
        <w:rPr>
          <w:u w:val="none"/>
          <w:rtl w:val="true"/>
        </w:rPr>
        <w:t>ג ז ר – ד י ן</w:t>
      </w:r>
    </w:p>
    <w:p>
      <w:pPr>
        <w:pStyle w:val="Normal"/>
        <w:ind w:end="0"/>
        <w:jc w:val="both"/>
        <w:rPr>
          <w:b/>
          <w:bCs/>
        </w:rPr>
      </w:pPr>
      <w:bookmarkStart w:id="14" w:name="PsakDin"/>
      <w:bookmarkEnd w:id="14"/>
      <w:r>
        <w:rPr>
          <w:b/>
          <w:b/>
          <w:bCs/>
          <w:rtl w:val="true"/>
        </w:rPr>
        <w:t>השופטת 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יפה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ץ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5" w:name="ABSTRACT_START"/>
      <w:bookmarkEnd w:id="15"/>
      <w:r>
        <w:rPr>
          <w:rtl w:val="true"/>
        </w:rPr>
        <w:t>הנאשם הורשע לאחר שמיעת ראיות בביצוע שורת עבירות כנגד ביטחון ישראל</w:t>
      </w:r>
      <w:r>
        <w:rPr>
          <w:rtl w:val="true"/>
        </w:rPr>
        <w:t xml:space="preserve">. </w:t>
      </w:r>
      <w:r>
        <w:rPr>
          <w:rtl w:val="true"/>
        </w:rPr>
        <w:t>נסיבות ביצוע העבירות פורטו באריכות במסגרת הכרעת הדין</w:t>
      </w:r>
      <w:r>
        <w:rPr>
          <w:rtl w:val="true"/>
        </w:rPr>
        <w:t xml:space="preserve">, </w:t>
      </w:r>
      <w:r>
        <w:rPr>
          <w:rtl w:val="true"/>
        </w:rPr>
        <w:t>ודי אם נציין במסגרת זו</w:t>
      </w:r>
      <w:r>
        <w:rPr>
          <w:rtl w:val="true"/>
        </w:rPr>
        <w:t xml:space="preserve">, </w:t>
      </w:r>
      <w:r>
        <w:rPr>
          <w:rtl w:val="true"/>
        </w:rPr>
        <w:t>כי במסגרת האישום הראשון קבענו</w:t>
      </w:r>
      <w:r>
        <w:rPr>
          <w:rtl w:val="true"/>
        </w:rPr>
        <w:t xml:space="preserve">, </w:t>
      </w:r>
      <w:r>
        <w:rPr>
          <w:rtl w:val="true"/>
        </w:rPr>
        <w:t xml:space="preserve">כי הנאשם הצטרף במהלך שנת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 xml:space="preserve">לאירגון </w:t>
      </w:r>
      <w:r>
        <w:rPr>
          <w:rtl w:val="true"/>
        </w:rPr>
        <w:t>"</w:t>
      </w:r>
      <w:r>
        <w:rPr>
          <w:rtl w:val="true"/>
        </w:rPr>
        <w:t>חללי גדודי אלאקצא</w:t>
      </w:r>
      <w:r>
        <w:rPr>
          <w:rtl w:val="true"/>
        </w:rPr>
        <w:t xml:space="preserve">", </w:t>
      </w:r>
      <w:r>
        <w:rPr>
          <w:rtl w:val="true"/>
        </w:rPr>
        <w:t xml:space="preserve">אירגון שהוכרז כהתאחדות בלתי מותרת </w:t>
      </w:r>
      <w:bookmarkStart w:id="16" w:name="ABSTRACT_END"/>
      <w:bookmarkEnd w:id="16"/>
      <w:r>
        <w:rPr>
          <w:szCs w:val="20"/>
          <w:rtl w:val="true"/>
        </w:rPr>
        <w:t>(</w:t>
      </w:r>
      <w:r>
        <w:rPr>
          <w:szCs w:val="20"/>
          <w:rtl w:val="true"/>
        </w:rPr>
        <w:t>להלן</w:t>
      </w:r>
      <w:r>
        <w:rPr>
          <w:szCs w:val="20"/>
          <w:rtl w:val="true"/>
        </w:rPr>
        <w:t>: "</w:t>
      </w:r>
      <w:r>
        <w:rPr>
          <w:szCs w:val="20"/>
          <w:rtl w:val="true"/>
        </w:rPr>
        <w:t>האירגון</w:t>
      </w:r>
      <w:r>
        <w:rPr>
          <w:szCs w:val="20"/>
          <w:rtl w:val="true"/>
        </w:rPr>
        <w:t>")</w:t>
      </w:r>
      <w:r>
        <w:rPr>
          <w:rtl w:val="true"/>
        </w:rPr>
        <w:t xml:space="preserve">. </w:t>
      </w:r>
      <w:r>
        <w:rPr>
          <w:rtl w:val="true"/>
        </w:rPr>
        <w:t>הנאשם הצטרף לאירגון כחבר בחוליה בראשותו של אבו</w:t>
      </w:r>
      <w:r>
        <w:rPr>
          <w:rtl w:val="true"/>
        </w:rPr>
        <w:t>-</w:t>
      </w:r>
      <w:r>
        <w:rPr>
          <w:rtl w:val="true"/>
        </w:rPr>
        <w:t>עאדרה</w:t>
      </w:r>
      <w:r>
        <w:rPr>
          <w:rtl w:val="true"/>
        </w:rPr>
        <w:t xml:space="preserve">, </w:t>
      </w:r>
      <w:r>
        <w:rPr>
          <w:rtl w:val="true"/>
        </w:rPr>
        <w:t>ועזב את החוליה לאחר כחודש ימים</w:t>
      </w:r>
      <w:r>
        <w:rPr>
          <w:rtl w:val="true"/>
        </w:rPr>
        <w:t xml:space="preserve">. </w:t>
      </w:r>
      <w:r>
        <w:rPr>
          <w:rtl w:val="true"/>
        </w:rPr>
        <w:t>כחודש לאחר מכן</w:t>
      </w:r>
      <w:r>
        <w:rPr>
          <w:rtl w:val="true"/>
        </w:rPr>
        <w:t xml:space="preserve">, </w:t>
      </w:r>
      <w:r>
        <w:rPr>
          <w:rtl w:val="true"/>
        </w:rPr>
        <w:t>ולפי הצעתו של עראפת אעלמור</w:t>
      </w:r>
      <w:r>
        <w:rPr>
          <w:rtl w:val="true"/>
        </w:rPr>
        <w:t xml:space="preserve">, </w:t>
      </w:r>
      <w:r>
        <w:rPr>
          <w:rtl w:val="true"/>
        </w:rPr>
        <w:t>הצטרף הנאשם לזרוע הצבאית של האירגון בראשותו של חסן אלגסאס</w:t>
      </w:r>
      <w:r>
        <w:rPr>
          <w:rtl w:val="true"/>
        </w:rPr>
        <w:t xml:space="preserve">, </w:t>
      </w:r>
      <w:r>
        <w:rPr>
          <w:rtl w:val="true"/>
        </w:rPr>
        <w:t>תוך ידיעה שבמסגרת האירגון יהיה עליו להניח מטענים ולכתוב סיסמאות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start="720" w:end="0"/>
        <w:jc w:val="both"/>
        <w:rPr/>
      </w:pPr>
      <w:r>
        <w:rPr>
          <w:rtl w:val="true"/>
        </w:rPr>
        <w:t xml:space="preserve">נוכח מעשים אלה הורשע הנאשם בביצוע שתי עבירות של מגע עם סוכן זר לפי </w:t>
      </w:r>
      <w:hyperlink r:id="rId11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114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 העונשין</w:t>
      </w:r>
      <w:r>
        <w:rPr>
          <w:rtl w:val="true"/>
        </w:rPr>
        <w:t xml:space="preserve">") </w:t>
      </w:r>
      <w:r>
        <w:rPr>
          <w:rtl w:val="true"/>
        </w:rPr>
        <w:t xml:space="preserve">ושתי עבירות של חברות בהתאחדות בלתי מותרת לפי </w:t>
      </w:r>
      <w:hyperlink r:id="rId13">
        <w:r>
          <w:rPr>
            <w:rStyle w:val="Hyperlink"/>
            <w:color w:val="0000FF"/>
            <w:u w:val="single"/>
            <w:rtl w:val="true"/>
          </w:rPr>
          <w:t xml:space="preserve">תקנה </w:t>
        </w:r>
        <w:r>
          <w:rPr>
            <w:rStyle w:val="Hyperlink"/>
            <w:color w:val="0000FF"/>
            <w:u w:val="single"/>
          </w:rPr>
          <w:t>85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color w:val="000000"/>
          <w:rtl w:val="true"/>
        </w:rPr>
        <w:t>תקנות ההגנה</w:t>
      </w:r>
      <w:r>
        <w:rPr>
          <w:rtl w:val="true"/>
        </w:rPr>
        <w:t xml:space="preserve"> לשעת חרום</w:t>
      </w:r>
      <w:r>
        <w:rPr>
          <w:rtl w:val="true"/>
        </w:rPr>
        <w:t xml:space="preserve">, </w:t>
      </w:r>
      <w:r>
        <w:rPr/>
        <w:t>1945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במסגרת האישום השני קבענו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 xml:space="preserve">כי במהלך שנת </w:t>
      </w:r>
      <w:r>
        <w:rPr>
          <w:sz w:val="24"/>
        </w:rPr>
        <w:t>2002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נפגש הנאשם עם ערפאת אלעמור ושניים נוספים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שזהותם אינה ידועה למאשימה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 הגיעו ברכב והביאו עימם מטען חבלה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 והאחרים קשרו קשר ביניהם לבצע פשע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 xml:space="preserve">היינו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 xml:space="preserve">להטמין את מטען החבלה בדרך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סופה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ולפגוע בחיילי צה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 שיעברו בדרך בטנקים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משום היותם ישראלים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במסגרת הקשר הזה ולשם קידומו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 xml:space="preserve">נסע הנאשם עם שני פעילים בארגון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 xml:space="preserve">תייסיר אלעמור וחסן אלעמור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 xml:space="preserve">לדרך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סופה</w:t>
      </w:r>
      <w:r>
        <w:rPr>
          <w:sz w:val="24"/>
          <w:rtl w:val="true"/>
        </w:rPr>
        <w:t xml:space="preserve">", </w:t>
      </w:r>
      <w:r>
        <w:rPr>
          <w:sz w:val="24"/>
          <w:sz w:val="24"/>
          <w:rtl w:val="true"/>
        </w:rPr>
        <w:t>שם הטמינו האחרים את המטען בדרך שבה עוברים הטנקים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והנאשם תיצפת ושמר על המטען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בכדי למנוע פגיעה באזרחים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כעבור כשעה עבר מטוס מעל המטען ופוצץ אותו ובכך נמנעה פגיעה בחיילים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 xml:space="preserve">נוכח מעשים אלה הורשע הנאשם בביצוע עבירות של קשירת קשר לפשע לפי </w:t>
      </w:r>
      <w:hyperlink r:id="rId14">
        <w:r>
          <w:rPr>
            <w:rStyle w:val="Hyperlink"/>
            <w:color w:val="0000FF"/>
            <w:sz w:val="24"/>
            <w:sz w:val="24"/>
            <w:u w:val="single"/>
            <w:rtl w:val="true"/>
          </w:rPr>
          <w:t xml:space="preserve">סעיף          </w:t>
        </w:r>
        <w:r>
          <w:rPr>
            <w:rStyle w:val="Hyperlink"/>
            <w:color w:val="0000FF"/>
            <w:sz w:val="24"/>
            <w:u w:val="single"/>
          </w:rPr>
          <w:t>499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color w:val="0000FF"/>
            <w:sz w:val="24"/>
            <w:u w:val="single"/>
          </w:rPr>
          <w:t>1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15">
        <w:r>
          <w:rPr>
            <w:rStyle w:val="Hyperlink"/>
            <w:sz w:val="24"/>
            <w:sz w:val="24"/>
            <w:rtl w:val="true"/>
          </w:rPr>
          <w:t>חוק העונשין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 xml:space="preserve">נשיאת נשק לפי </w:t>
      </w:r>
      <w:hyperlink r:id="rId16">
        <w:r>
          <w:rPr>
            <w:rStyle w:val="Hyperlink"/>
            <w:color w:val="0000FF"/>
            <w:sz w:val="24"/>
            <w:sz w:val="24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4"/>
            <w:u w:val="single"/>
          </w:rPr>
          <w:t>144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 xml:space="preserve">רישא לחוק העונשין וניסיון לרצח לפי </w:t>
      </w:r>
      <w:hyperlink r:id="rId17">
        <w:r>
          <w:rPr>
            <w:rStyle w:val="Hyperlink"/>
            <w:color w:val="0000FF"/>
            <w:sz w:val="24"/>
            <w:sz w:val="24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4"/>
            <w:u w:val="single"/>
          </w:rPr>
          <w:t>305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u w:val="single"/>
          </w:rPr>
          <w:t>1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 העונשין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במסגרת האישום השלישי שבכתב האישום קבענו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 xml:space="preserve">כי במהלך שנת </w:t>
      </w:r>
      <w:r>
        <w:rPr>
          <w:sz w:val="24"/>
        </w:rPr>
        <w:t>2003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 xml:space="preserve">בדרך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סופה</w:t>
      </w:r>
      <w:r>
        <w:rPr>
          <w:sz w:val="24"/>
          <w:rtl w:val="true"/>
        </w:rPr>
        <w:t xml:space="preserve">", </w:t>
      </w:r>
      <w:r>
        <w:rPr>
          <w:sz w:val="24"/>
          <w:sz w:val="24"/>
          <w:rtl w:val="true"/>
        </w:rPr>
        <w:t>נפגש הנאשם עם ערפאת אלעמור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תייסיר אלעמור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חסן אלעמור ושניים אחרים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שהוזכרו באישום השני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 והאחרים קשרו ביניהם קשר לבצע פשע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 xml:space="preserve">היינו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 xml:space="preserve">להטמין מטען בדרך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סופה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כדי לפגוע בחיילי צה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שיסעו בדרך בטנקים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משום היותם ישראליים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במסגרת הקשר ולשם קידומו הניחו הנאשם והאחרים מטען בערמת חצץ ליד הכביש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תייסיר וחסן נותרו מוסתרים במקום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שמרו ותיצפתו לעבר המטען במשך כ</w:t>
      </w:r>
      <w:r>
        <w:rPr>
          <w:sz w:val="24"/>
          <w:rtl w:val="true"/>
        </w:rPr>
        <w:t>-</w:t>
      </w:r>
      <w:r>
        <w:rPr>
          <w:sz w:val="24"/>
        </w:rPr>
        <w:t>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אולם לא עברו טנקים במקום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לאחר מכן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הגיעו שני האחרים ולקחו את המטען מהמקום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לפיכך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 xml:space="preserve">הורשע הנאשם באישום זה בביצוע עבירות של קשירת קשר לפשע לפי </w:t>
      </w:r>
      <w:hyperlink r:id="rId18">
        <w:r>
          <w:rPr>
            <w:rStyle w:val="Hyperlink"/>
            <w:color w:val="0000FF"/>
            <w:sz w:val="24"/>
            <w:sz w:val="24"/>
            <w:u w:val="single"/>
            <w:rtl w:val="true"/>
          </w:rPr>
          <w:t xml:space="preserve">סעיף            </w:t>
        </w:r>
        <w:r>
          <w:rPr>
            <w:rStyle w:val="Hyperlink"/>
            <w:color w:val="0000FF"/>
            <w:sz w:val="24"/>
            <w:u w:val="single"/>
          </w:rPr>
          <w:t>499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color w:val="0000FF"/>
            <w:sz w:val="24"/>
            <w:u w:val="single"/>
          </w:rPr>
          <w:t>1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19">
        <w:r>
          <w:rPr>
            <w:rStyle w:val="Hyperlink"/>
            <w:sz w:val="24"/>
            <w:sz w:val="24"/>
            <w:rtl w:val="true"/>
          </w:rPr>
          <w:t>חוק העונשין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 xml:space="preserve">נשיאת נשק לפי </w:t>
      </w:r>
      <w:hyperlink r:id="rId20">
        <w:r>
          <w:rPr>
            <w:rStyle w:val="Hyperlink"/>
            <w:color w:val="0000FF"/>
            <w:sz w:val="24"/>
            <w:sz w:val="24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4"/>
            <w:u w:val="single"/>
          </w:rPr>
          <w:t>144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 xml:space="preserve">רישא לחוק העונשין וניסיון לרצח לפי </w:t>
      </w:r>
      <w:hyperlink r:id="rId21">
        <w:r>
          <w:rPr>
            <w:rStyle w:val="Hyperlink"/>
            <w:color w:val="0000FF"/>
            <w:sz w:val="24"/>
            <w:sz w:val="24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4"/>
            <w:u w:val="single"/>
          </w:rPr>
          <w:t>305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u w:val="single"/>
          </w:rPr>
          <w:t>1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 העונשין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המלומדה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מורן גז</w:t>
      </w:r>
      <w:r>
        <w:rPr>
          <w:rtl w:val="true"/>
        </w:rPr>
        <w:t xml:space="preserve">, </w:t>
      </w:r>
      <w:r>
        <w:rPr>
          <w:rtl w:val="true"/>
        </w:rPr>
        <w:t>הטעימה בטיעוניה לעונש את החומרה הרבה שבמעשי הנאשם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הנאשם היה מעורב באורח פעיל בהוצאה לפועל של שני פיגועי תופת</w:t>
      </w:r>
      <w:r>
        <w:rPr>
          <w:rtl w:val="true"/>
        </w:rPr>
        <w:t xml:space="preserve">, </w:t>
      </w:r>
      <w:r>
        <w:rPr>
          <w:rtl w:val="true"/>
        </w:rPr>
        <w:t>תוך זמן קצר</w:t>
      </w:r>
      <w:r>
        <w:rPr>
          <w:rtl w:val="true"/>
        </w:rPr>
        <w:t xml:space="preserve">, </w:t>
      </w:r>
      <w:r>
        <w:rPr>
          <w:rtl w:val="true"/>
        </w:rPr>
        <w:t>פיגועים שנועדו להרוג את חיילי צה</w:t>
      </w:r>
      <w:r>
        <w:rPr>
          <w:rtl w:val="true"/>
        </w:rPr>
        <w:t>"</w:t>
      </w:r>
      <w:r>
        <w:rPr>
          <w:rtl w:val="true"/>
        </w:rPr>
        <w:t>ל ואך בנס הסתיימו ללא קורבנות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בעבירות דוגמת אלו בהן הורשע הנאשם יש</w:t>
      </w:r>
      <w:r>
        <w:rPr>
          <w:rtl w:val="true"/>
        </w:rPr>
        <w:t xml:space="preserve">, </w:t>
      </w:r>
      <w:r>
        <w:rPr>
          <w:rtl w:val="true"/>
        </w:rPr>
        <w:t>לדברי התובעת</w:t>
      </w:r>
      <w:r>
        <w:rPr>
          <w:rtl w:val="true"/>
        </w:rPr>
        <w:t xml:space="preserve">, </w:t>
      </w:r>
      <w:r>
        <w:rPr>
          <w:rtl w:val="true"/>
        </w:rPr>
        <w:t>ליתן את משקל הבכורה לאלמנט ההרתעה</w:t>
      </w:r>
      <w:r>
        <w:rPr>
          <w:rtl w:val="true"/>
        </w:rPr>
        <w:t xml:space="preserve">. </w:t>
      </w:r>
      <w:r>
        <w:rPr>
          <w:rtl w:val="true"/>
        </w:rPr>
        <w:t>התובעת הדגישה</w:t>
      </w:r>
      <w:r>
        <w:rPr>
          <w:rtl w:val="true"/>
        </w:rPr>
        <w:t xml:space="preserve">, </w:t>
      </w:r>
      <w:r>
        <w:rPr>
          <w:rtl w:val="true"/>
        </w:rPr>
        <w:t>כי באישום השני רק פיצוצו של המטען על ידי מטוס של צה</w:t>
      </w:r>
      <w:r>
        <w:rPr>
          <w:rtl w:val="true"/>
        </w:rPr>
        <w:t>"</w:t>
      </w:r>
      <w:r>
        <w:rPr>
          <w:rtl w:val="true"/>
        </w:rPr>
        <w:t>ל הוא שמנע תוצאה חמורה אפשרית של פגיעה בחיילי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ובאשר לאישום השלישי</w:t>
      </w:r>
      <w:r>
        <w:rPr>
          <w:rtl w:val="true"/>
        </w:rPr>
        <w:t xml:space="preserve">, </w:t>
      </w:r>
      <w:r>
        <w:rPr>
          <w:rtl w:val="true"/>
        </w:rPr>
        <w:t>רק אי הגעתם של טנקים ובהם חיילי צה</w:t>
      </w:r>
      <w:r>
        <w:rPr>
          <w:rtl w:val="true"/>
        </w:rPr>
        <w:t>"</w:t>
      </w:r>
      <w:r>
        <w:rPr>
          <w:rtl w:val="true"/>
        </w:rPr>
        <w:t xml:space="preserve">ל במשך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מנע את מימוש הפיגוע על ידי הנאשם ושותפיו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התובעת הוסיפה וטענה</w:t>
      </w:r>
      <w:r>
        <w:rPr>
          <w:rtl w:val="true"/>
        </w:rPr>
        <w:t xml:space="preserve">, </w:t>
      </w:r>
      <w:r>
        <w:rPr>
          <w:rtl w:val="true"/>
        </w:rPr>
        <w:t>כי ראוי להטיל על הנאשם עונש מרתיע</w:t>
      </w:r>
      <w:r>
        <w:rPr>
          <w:rtl w:val="true"/>
        </w:rPr>
        <w:t xml:space="preserve">, </w:t>
      </w:r>
      <w:r>
        <w:rPr>
          <w:rtl w:val="true"/>
        </w:rPr>
        <w:t>במיוחד לאור העובדה שהנאשם החליט</w:t>
      </w:r>
      <w:r>
        <w:rPr>
          <w:rtl w:val="true"/>
        </w:rPr>
        <w:t xml:space="preserve">, </w:t>
      </w:r>
      <w:r>
        <w:rPr>
          <w:rtl w:val="true"/>
        </w:rPr>
        <w:t>מדעת ומרצון</w:t>
      </w:r>
      <w:r>
        <w:rPr>
          <w:rtl w:val="true"/>
        </w:rPr>
        <w:t xml:space="preserve">, </w:t>
      </w:r>
      <w:r>
        <w:rPr>
          <w:rtl w:val="true"/>
        </w:rPr>
        <w:t>להצטרף לחוליה</w:t>
      </w:r>
      <w:r>
        <w:rPr>
          <w:rtl w:val="true"/>
        </w:rPr>
        <w:t xml:space="preserve">, </w:t>
      </w:r>
      <w:r>
        <w:rPr>
          <w:rtl w:val="true"/>
        </w:rPr>
        <w:t>אשר שמה לה למטרה לפגוע בישראלים ממניעים לאומניים</w:t>
      </w:r>
      <w:r>
        <w:rPr>
          <w:rtl w:val="true"/>
        </w:rPr>
        <w:t xml:space="preserve">. </w:t>
      </w:r>
      <w:r>
        <w:rPr>
          <w:rtl w:val="true"/>
        </w:rPr>
        <w:t>לא מדובר במקרה אחד</w:t>
      </w:r>
      <w:r>
        <w:rPr>
          <w:rtl w:val="true"/>
        </w:rPr>
        <w:t xml:space="preserve">, </w:t>
      </w:r>
      <w:r>
        <w:rPr>
          <w:rtl w:val="true"/>
        </w:rPr>
        <w:t>אלא בשני נסיונות עוקבים</w:t>
      </w:r>
      <w:r>
        <w:rPr>
          <w:rtl w:val="true"/>
        </w:rPr>
        <w:t xml:space="preserve">, </w:t>
      </w:r>
      <w:r>
        <w:rPr>
          <w:rtl w:val="true"/>
        </w:rPr>
        <w:t>אשר אמנם לא הביאו לתוצאה המיוחלת על ידי הנאשם וחבריו</w:t>
      </w:r>
      <w:r>
        <w:rPr>
          <w:rtl w:val="true"/>
        </w:rPr>
        <w:t xml:space="preserve">, </w:t>
      </w:r>
      <w:r>
        <w:rPr>
          <w:rtl w:val="true"/>
        </w:rPr>
        <w:t>אך לא בשל חרטה</w:t>
      </w:r>
      <w:r>
        <w:rPr>
          <w:rtl w:val="true"/>
        </w:rPr>
        <w:t xml:space="preserve">, </w:t>
      </w:r>
      <w:r>
        <w:rPr>
          <w:rtl w:val="true"/>
        </w:rPr>
        <w:t>כאשר הנאשם</w:t>
      </w:r>
      <w:r>
        <w:rPr>
          <w:rtl w:val="true"/>
        </w:rPr>
        <w:t xml:space="preserve">, </w:t>
      </w:r>
      <w:r>
        <w:rPr>
          <w:rtl w:val="true"/>
        </w:rPr>
        <w:t>מבחינתו</w:t>
      </w:r>
      <w:r>
        <w:rPr>
          <w:rtl w:val="true"/>
        </w:rPr>
        <w:t xml:space="preserve">, </w:t>
      </w:r>
      <w:r>
        <w:rPr>
          <w:rtl w:val="true"/>
        </w:rPr>
        <w:t>עשה ככל שיכול היה כדי להגשים את המטרה לה שאף עם חבריו</w:t>
      </w:r>
      <w:r>
        <w:rPr>
          <w:rtl w:val="true"/>
        </w:rPr>
        <w:t xml:space="preserve">, </w:t>
      </w:r>
      <w:r>
        <w:rPr>
          <w:rtl w:val="true"/>
        </w:rPr>
        <w:t>והיא לזרוע הרס ולהרוג ישראלים</w:t>
      </w:r>
      <w:r>
        <w:rPr>
          <w:rtl w:val="true"/>
        </w:rPr>
        <w:t xml:space="preserve">. </w:t>
      </w:r>
      <w:r>
        <w:rPr>
          <w:rtl w:val="true"/>
        </w:rPr>
        <w:t>חומרת העבירות ונסיבות ביצוען</w:t>
      </w:r>
      <w:r>
        <w:rPr>
          <w:rtl w:val="true"/>
        </w:rPr>
        <w:t xml:space="preserve">, </w:t>
      </w:r>
      <w:r>
        <w:rPr>
          <w:rtl w:val="true"/>
        </w:rPr>
        <w:t>מחייב ענישה המתקרבת למכסימום הקבוע בחוק וכן הטלת מאסר על תנאי מרתיע לעתיד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לעומתה</w:t>
      </w:r>
      <w:r>
        <w:rPr>
          <w:rtl w:val="true"/>
        </w:rPr>
        <w:t xml:space="preserve">, </w:t>
      </w:r>
      <w:r>
        <w:rPr>
          <w:rtl w:val="true"/>
        </w:rPr>
        <w:t>טען הסנגור המלומד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יונס תמים</w:t>
      </w:r>
      <w:r>
        <w:rPr>
          <w:rtl w:val="true"/>
        </w:rPr>
        <w:t xml:space="preserve">, </w:t>
      </w:r>
      <w:r>
        <w:rPr>
          <w:rtl w:val="true"/>
        </w:rPr>
        <w:t>כי נסיבות ביצוע העבירות</w:t>
      </w:r>
      <w:r>
        <w:rPr>
          <w:rtl w:val="true"/>
        </w:rPr>
        <w:t xml:space="preserve">, </w:t>
      </w:r>
      <w:r>
        <w:rPr>
          <w:rtl w:val="true"/>
        </w:rPr>
        <w:t>כפי שנקבע בסופו של דבר על ידי 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מחייב ענישה קלה בהרבה מזו המבוקשת על ידי התביעה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לאישום הראשון</w:t>
      </w:r>
      <w:r>
        <w:rPr>
          <w:rtl w:val="true"/>
        </w:rPr>
        <w:t xml:space="preserve">, </w:t>
      </w:r>
      <w:r>
        <w:rPr>
          <w:rtl w:val="true"/>
        </w:rPr>
        <w:t>אמנם הנאשם עבר מחוליה לחוליה במסגרת הארגון</w:t>
      </w:r>
      <w:r>
        <w:rPr>
          <w:rtl w:val="true"/>
        </w:rPr>
        <w:t xml:space="preserve">, </w:t>
      </w:r>
      <w:r>
        <w:rPr>
          <w:rtl w:val="true"/>
        </w:rPr>
        <w:t>אך מבחינת רמת הענישה</w:t>
      </w:r>
      <w:r>
        <w:rPr>
          <w:rtl w:val="true"/>
        </w:rPr>
        <w:t xml:space="preserve">, </w:t>
      </w:r>
      <w:r>
        <w:rPr>
          <w:rtl w:val="true"/>
        </w:rPr>
        <w:t>אין נפקא מינה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אם היה במשך תקופה מסויימת חבר בחוליה אחת או בשתיים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אשר לאישומים האחרים בהם הורשע הנאשם בעבירות של ניסיון לרצח</w:t>
      </w:r>
      <w:r>
        <w:rPr>
          <w:rtl w:val="true"/>
        </w:rPr>
        <w:t xml:space="preserve">, </w:t>
      </w:r>
      <w:r>
        <w:rPr>
          <w:rtl w:val="true"/>
        </w:rPr>
        <w:t>הרי שיש להדגיש את העובדה שהנאשם היה אך שותף לאותם מעשים</w:t>
      </w:r>
      <w:r>
        <w:rPr>
          <w:rtl w:val="true"/>
        </w:rPr>
        <w:t xml:space="preserve">, </w:t>
      </w:r>
      <w:r>
        <w:rPr>
          <w:rtl w:val="true"/>
        </w:rPr>
        <w:t>כאשר הוא לא היה החוליה הדומיננטית כלל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לדברי הסנגור</w:t>
      </w:r>
      <w:r>
        <w:rPr>
          <w:rtl w:val="true"/>
        </w:rPr>
        <w:t xml:space="preserve">, </w:t>
      </w:r>
      <w:r>
        <w:rPr>
          <w:rtl w:val="true"/>
        </w:rPr>
        <w:t>אך התלווה לאחרים</w:t>
      </w:r>
      <w:r>
        <w:rPr>
          <w:rtl w:val="true"/>
        </w:rPr>
        <w:t xml:space="preserve">, </w:t>
      </w:r>
      <w:r>
        <w:rPr>
          <w:rtl w:val="true"/>
        </w:rPr>
        <w:t>אשר היו בדרכם להנחת המטענים</w:t>
      </w:r>
      <w:r>
        <w:rPr>
          <w:rtl w:val="true"/>
        </w:rPr>
        <w:t xml:space="preserve">: </w:t>
      </w:r>
      <w:r>
        <w:rPr>
          <w:rtl w:val="true"/>
        </w:rPr>
        <w:t>במקרה הראשון המטען כבר היה באוטו והנאשם לא הניח את המטען אלא רק תצפת כדי שלא יגיעו אזרחים לאזור ולא יפגעו</w:t>
      </w:r>
      <w:r>
        <w:rPr>
          <w:rtl w:val="true"/>
        </w:rPr>
        <w:t xml:space="preserve">, </w:t>
      </w:r>
      <w:r>
        <w:rPr>
          <w:rtl w:val="true"/>
        </w:rPr>
        <w:t>וגם במקרה השני</w:t>
      </w:r>
      <w:r>
        <w:rPr>
          <w:rtl w:val="true"/>
        </w:rPr>
        <w:t xml:space="preserve">, </w:t>
      </w:r>
      <w:r>
        <w:rPr>
          <w:rtl w:val="true"/>
        </w:rPr>
        <w:t>הנאשם נסע ברכב שלא היה שייך לו</w:t>
      </w:r>
      <w:r>
        <w:rPr>
          <w:rtl w:val="true"/>
        </w:rPr>
        <w:t xml:space="preserve">, </w:t>
      </w:r>
      <w:r>
        <w:rPr>
          <w:rtl w:val="true"/>
        </w:rPr>
        <w:t>לא העמיס את המטען ולא היה שותף לתכנון המוקדם או להטמנה של המטען</w:t>
      </w:r>
      <w:r>
        <w:rPr>
          <w:rtl w:val="true"/>
        </w:rPr>
        <w:t xml:space="preserve">. </w:t>
      </w:r>
      <w:r>
        <w:rPr>
          <w:rtl w:val="true"/>
        </w:rPr>
        <w:t xml:space="preserve">העובדה שהנאשם וחבריו </w:t>
      </w:r>
      <w:r>
        <w:rPr>
          <w:rtl w:val="true"/>
        </w:rPr>
        <w:t>"</w:t>
      </w:r>
      <w:r>
        <w:rPr>
          <w:rtl w:val="true"/>
        </w:rPr>
        <w:t>התייאשו</w:t>
      </w:r>
      <w:r>
        <w:rPr>
          <w:rtl w:val="true"/>
        </w:rPr>
        <w:t xml:space="preserve">" </w:t>
      </w:r>
      <w:r>
        <w:rPr>
          <w:rtl w:val="true"/>
        </w:rPr>
        <w:t>לאחר מספר שעות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על כך שממילא לא היו נחושים להגיע לתוצאה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tl w:val="true"/>
        </w:rPr>
        <w:t xml:space="preserve">, </w:t>
      </w:r>
      <w:r>
        <w:rPr>
          <w:rtl w:val="true"/>
        </w:rPr>
        <w:t>במהלך ביצוע העבירות לא היו פגיעות – לא בנפש ולא ברכוש</w:t>
      </w:r>
      <w:r>
        <w:rPr>
          <w:rtl w:val="true"/>
        </w:rPr>
        <w:t xml:space="preserve">. </w:t>
      </w:r>
      <w:r>
        <w:rPr>
          <w:rtl w:val="true"/>
        </w:rPr>
        <w:t>עוד ציין</w:t>
      </w:r>
      <w:r>
        <w:rPr>
          <w:rtl w:val="true"/>
        </w:rPr>
        <w:t xml:space="preserve">, </w:t>
      </w:r>
      <w:r>
        <w:rPr>
          <w:rtl w:val="true"/>
        </w:rPr>
        <w:t>כי לא מדובר במי שנכנס לתחומי מדינת ישראל על מנת להניח מטען</w:t>
      </w:r>
      <w:r>
        <w:rPr>
          <w:rtl w:val="true"/>
        </w:rPr>
        <w:t xml:space="preserve">, </w:t>
      </w:r>
      <w:r>
        <w:rPr>
          <w:rtl w:val="true"/>
        </w:rPr>
        <w:t>אלא עשה כן בתוך עזה</w:t>
      </w:r>
      <w:r>
        <w:rPr>
          <w:rtl w:val="true"/>
        </w:rPr>
        <w:t xml:space="preserve">, </w:t>
      </w:r>
      <w:r>
        <w:rPr>
          <w:rtl w:val="true"/>
        </w:rPr>
        <w:t>מה גם שמדובר במטען שפוטנציאל הסיכון שהיה בו קטן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 ביקש שלא למצות עם הנאשם את הדין והדגיש</w:t>
      </w:r>
      <w:r>
        <w:rPr>
          <w:rtl w:val="true"/>
        </w:rPr>
        <w:t xml:space="preserve">, </w:t>
      </w:r>
      <w:r>
        <w:rPr>
          <w:rtl w:val="true"/>
        </w:rPr>
        <w:t>כי העבירה האחרונה בה הורשע הנאשם בוצעה למעלה מ</w:t>
      </w:r>
      <w:r>
        <w:rPr>
          <w:rtl w:val="true"/>
        </w:rPr>
        <w:t>-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שנים לפני מעצרו</w:t>
      </w:r>
      <w:r>
        <w:rPr>
          <w:rtl w:val="true"/>
        </w:rPr>
        <w:t xml:space="preserve">, </w:t>
      </w:r>
      <w:r>
        <w:rPr>
          <w:rtl w:val="true"/>
        </w:rPr>
        <w:t>תקופה בה לא עבר כל עבירה</w:t>
      </w:r>
      <w:r>
        <w:rPr>
          <w:rtl w:val="true"/>
        </w:rPr>
        <w:t xml:space="preserve">, </w:t>
      </w:r>
      <w:r>
        <w:rPr>
          <w:rtl w:val="true"/>
        </w:rPr>
        <w:t>כאשר מדובר</w:t>
      </w:r>
      <w:r>
        <w:rPr>
          <w:rtl w:val="true"/>
        </w:rPr>
        <w:t xml:space="preserve">, </w:t>
      </w:r>
      <w:r>
        <w:rPr>
          <w:rtl w:val="true"/>
        </w:rPr>
        <w:t>בעבירות שבוצעו לפני כ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ab/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שני הצדדים הגישו פסיקה</w:t>
      </w:r>
      <w:r>
        <w:rPr>
          <w:rtl w:val="true"/>
        </w:rPr>
        <w:t xml:space="preserve">, </w:t>
      </w:r>
      <w:r>
        <w:rPr>
          <w:rtl w:val="true"/>
        </w:rPr>
        <w:t>כל אחד מהם פסיקה התואמת את הגישה העונשית שביקש שנאמץ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 xml:space="preserve">הנאשם יליד </w:t>
      </w:r>
      <w:r>
        <w:rPr/>
        <w:t>1979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אשר התגורר בטרם ביצוע העבירות בחאן</w:t>
      </w:r>
      <w:r>
        <w:rPr>
          <w:rtl w:val="true"/>
        </w:rPr>
        <w:t>-</w:t>
      </w:r>
      <w:r>
        <w:rPr>
          <w:rtl w:val="true"/>
        </w:rPr>
        <w:t>יונס</w:t>
      </w:r>
      <w:r>
        <w:rPr>
          <w:rtl w:val="true"/>
        </w:rPr>
        <w:t xml:space="preserve">, </w:t>
      </w:r>
      <w:r>
        <w:rPr>
          <w:rtl w:val="true"/>
        </w:rPr>
        <w:t>בסמוך מאוד לגבול</w:t>
      </w:r>
      <w:r>
        <w:rPr>
          <w:rtl w:val="true"/>
        </w:rPr>
        <w:t xml:space="preserve">. </w:t>
      </w:r>
      <w:r>
        <w:rPr>
          <w:rtl w:val="true"/>
        </w:rPr>
        <w:t>לדברי הסנגור</w:t>
      </w:r>
      <w:r>
        <w:rPr>
          <w:rtl w:val="true"/>
        </w:rPr>
        <w:t xml:space="preserve">, </w:t>
      </w:r>
      <w:r>
        <w:rPr>
          <w:rtl w:val="true"/>
        </w:rPr>
        <w:t>בשנים האחרונות נפגע ביתו פעמים רבות בשל מיקומו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 xml:space="preserve">יש לנאשם הרשעה אחת קודמת משנת </w:t>
      </w:r>
      <w:r>
        <w:rPr/>
        <w:t>1997</w:t>
      </w:r>
      <w:r>
        <w:rPr>
          <w:rtl w:val="true"/>
        </w:rPr>
        <w:t xml:space="preserve">, </w:t>
      </w:r>
      <w:r>
        <w:rPr>
          <w:rtl w:val="true"/>
        </w:rPr>
        <w:t>בגין עבירה של כניסה לישראל שלא כחוק</w:t>
      </w:r>
      <w:r>
        <w:rPr>
          <w:rtl w:val="true"/>
        </w:rPr>
        <w:t xml:space="preserve">, </w:t>
      </w:r>
      <w:r>
        <w:rPr>
          <w:rtl w:val="true"/>
        </w:rPr>
        <w:t xml:space="preserve">בגינה נדון לעונש מאסר בפועל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ולמאסר על תנאי בבימ</w:t>
      </w:r>
      <w:r>
        <w:rPr>
          <w:rtl w:val="true"/>
        </w:rPr>
        <w:t>"</w:t>
      </w:r>
      <w:r>
        <w:rPr>
          <w:rtl w:val="true"/>
        </w:rPr>
        <w:t>ש צבאי בעזה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 הוא הבן הבכור במשפחה בה ההורים מבוגרים והנאשם הוא זה שדאג לפרנסתם</w:t>
      </w:r>
      <w:r>
        <w:rPr>
          <w:rtl w:val="true"/>
        </w:rPr>
        <w:t xml:space="preserve">. </w:t>
      </w:r>
      <w:r>
        <w:rPr>
          <w:rtl w:val="true"/>
        </w:rPr>
        <w:t>לאחר מעצרו לקה האב בהתקף והוא סובל מאז ממחלות שונות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 התנצל בפני ביהמ</w:t>
      </w:r>
      <w:r>
        <w:rPr>
          <w:rtl w:val="true"/>
        </w:rPr>
        <w:t>"</w:t>
      </w:r>
      <w:r>
        <w:rPr>
          <w:rtl w:val="true"/>
        </w:rPr>
        <w:t>ש והביע חרטה על מעשיו</w:t>
      </w:r>
      <w:r>
        <w:rPr>
          <w:rtl w:val="true"/>
        </w:rPr>
        <w:t xml:space="preserve">. </w:t>
      </w:r>
      <w:r>
        <w:rPr>
          <w:rtl w:val="true"/>
        </w:rPr>
        <w:t>בסיום דבריו</w:t>
      </w:r>
      <w:r>
        <w:rPr>
          <w:rtl w:val="true"/>
        </w:rPr>
        <w:t xml:space="preserve">, </w:t>
      </w:r>
      <w:r>
        <w:rPr>
          <w:rtl w:val="true"/>
        </w:rPr>
        <w:t>ביקש שיגורש למדינה אחרת ולא יוחזר לעזה</w:t>
      </w:r>
      <w:r>
        <w:rPr>
          <w:rtl w:val="true"/>
        </w:rPr>
        <w:t xml:space="preserve">, </w:t>
      </w:r>
      <w:r>
        <w:rPr>
          <w:rtl w:val="true"/>
        </w:rPr>
        <w:t>שכן עבד עם הרשות ועצר הרבה חמושים</w:t>
      </w:r>
      <w:r>
        <w:rPr>
          <w:rtl w:val="true"/>
        </w:rPr>
        <w:t xml:space="preserve">, </w:t>
      </w:r>
      <w:r>
        <w:rPr>
          <w:rtl w:val="true"/>
        </w:rPr>
        <w:t>ועל כן לא יוכל לחזור להתגורר בעזה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אין צורך להכביר מילים על חומרת מעשי הנאשם</w:t>
      </w:r>
      <w:r>
        <w:rPr>
          <w:rtl w:val="true"/>
        </w:rPr>
        <w:t xml:space="preserve">. </w:t>
      </w:r>
      <w:r>
        <w:rPr>
          <w:rtl w:val="true"/>
        </w:rPr>
        <w:t>הוא היה מעורב</w:t>
      </w:r>
      <w:r>
        <w:rPr>
          <w:rtl w:val="true"/>
        </w:rPr>
        <w:t xml:space="preserve">, </w:t>
      </w:r>
      <w:r>
        <w:rPr>
          <w:rtl w:val="true"/>
        </w:rPr>
        <w:t>באורח פעיל</w:t>
      </w:r>
      <w:r>
        <w:rPr>
          <w:rtl w:val="true"/>
        </w:rPr>
        <w:t xml:space="preserve">, </w:t>
      </w:r>
      <w:r>
        <w:rPr>
          <w:rtl w:val="true"/>
        </w:rPr>
        <w:t>בתכנון ובהכנת מטעני חבלה במטרה להוציא אל הפועל פיגועי תופת</w:t>
      </w:r>
      <w:r>
        <w:rPr>
          <w:rtl w:val="true"/>
        </w:rPr>
        <w:t xml:space="preserve">, </w:t>
      </w:r>
      <w:r>
        <w:rPr>
          <w:rtl w:val="true"/>
        </w:rPr>
        <w:t>אשר נועדו לזרוע הרס וחורבן בין חיילי מדינת ישראל</w:t>
      </w:r>
      <w:r>
        <w:rPr>
          <w:rtl w:val="true"/>
        </w:rPr>
        <w:t xml:space="preserve">. </w:t>
      </w:r>
      <w:r>
        <w:rPr>
          <w:rtl w:val="true"/>
        </w:rPr>
        <w:t>תוכניות הזדון של הנאשם ושותפיו בוצעו</w:t>
      </w:r>
      <w:r>
        <w:rPr>
          <w:rtl w:val="true"/>
        </w:rPr>
        <w:t xml:space="preserve">, </w:t>
      </w:r>
      <w:r>
        <w:rPr>
          <w:rtl w:val="true"/>
        </w:rPr>
        <w:t>ואך בנס הסתיימו ללא קורבנות</w:t>
      </w:r>
      <w:r>
        <w:rPr>
          <w:rtl w:val="true"/>
        </w:rPr>
        <w:t xml:space="preserve">. </w:t>
      </w:r>
      <w:r>
        <w:rPr>
          <w:rtl w:val="true"/>
        </w:rPr>
        <w:t>במקרה הראשון רק פעולת מנע ממוקדת של חיל האויר מנעה את מימוש הפיגוע</w:t>
      </w:r>
      <w:r>
        <w:rPr>
          <w:rtl w:val="true"/>
        </w:rPr>
        <w:t xml:space="preserve">, </w:t>
      </w:r>
      <w:r>
        <w:rPr>
          <w:rtl w:val="true"/>
        </w:rPr>
        <w:t xml:space="preserve">ובמקרה השני רק אי הופעתם של חיילים במקום במשך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שעות הביא ל</w:t>
      </w:r>
      <w:r>
        <w:rPr>
          <w:rtl w:val="true"/>
        </w:rPr>
        <w:t>"</w:t>
      </w:r>
      <w:r>
        <w:rPr>
          <w:rtl w:val="true"/>
        </w:rPr>
        <w:t>התקפלות</w:t>
      </w:r>
      <w:r>
        <w:rPr>
          <w:rtl w:val="true"/>
        </w:rPr>
        <w:t xml:space="preserve">" </w:t>
      </w:r>
      <w:r>
        <w:rPr>
          <w:rtl w:val="true"/>
        </w:rPr>
        <w:t>החוליה מהמארב ונטילת המטען מהמקום בו הוטמן</w:t>
      </w:r>
      <w:r>
        <w:rPr>
          <w:rtl w:val="true"/>
        </w:rPr>
        <w:t xml:space="preserve">. </w:t>
      </w:r>
      <w:r>
        <w:rPr>
          <w:rtl w:val="true"/>
        </w:rPr>
        <w:t xml:space="preserve">לא היה זה הנאשם אשר </w:t>
      </w:r>
      <w:r>
        <w:rPr>
          <w:rtl w:val="true"/>
        </w:rPr>
        <w:t>"</w:t>
      </w:r>
      <w:r>
        <w:rPr>
          <w:rtl w:val="true"/>
        </w:rPr>
        <w:t>תרם</w:t>
      </w:r>
      <w:r>
        <w:rPr>
          <w:rtl w:val="true"/>
        </w:rPr>
        <w:t xml:space="preserve">" </w:t>
      </w:r>
      <w:r>
        <w:rPr>
          <w:rtl w:val="true"/>
        </w:rPr>
        <w:t>למזל זה</w:t>
      </w:r>
      <w:r>
        <w:rPr>
          <w:rtl w:val="true"/>
        </w:rPr>
        <w:t xml:space="preserve">. </w:t>
      </w:r>
      <w:r>
        <w:rPr>
          <w:rtl w:val="true"/>
        </w:rPr>
        <w:t>נהפוך הוא</w:t>
      </w:r>
      <w:r>
        <w:rPr>
          <w:rtl w:val="true"/>
        </w:rPr>
        <w:t xml:space="preserve">. </w:t>
      </w:r>
      <w:r>
        <w:rPr>
          <w:rtl w:val="true"/>
        </w:rPr>
        <w:t>כאשר לא עלה בידי הנאשם ושותפיו לפגע בחיילים במסגרת פעולותיו נשוא האישום השני</w:t>
      </w:r>
      <w:r>
        <w:rPr>
          <w:rtl w:val="true"/>
        </w:rPr>
        <w:t xml:space="preserve">, </w:t>
      </w:r>
      <w:r>
        <w:rPr>
          <w:rtl w:val="true"/>
        </w:rPr>
        <w:t>נחושים לבצע את המשימה הם ניסו שוב במסגרת פעולותיהם נשוא האישום השלישי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המשותף לכל מעשיו של הנאשם הוא האופי החבלני</w:t>
      </w:r>
      <w:r>
        <w:rPr>
          <w:rtl w:val="true"/>
        </w:rPr>
        <w:t xml:space="preserve">, </w:t>
      </w:r>
      <w:r>
        <w:rPr>
          <w:rtl w:val="true"/>
        </w:rPr>
        <w:t>הרצחני והעוין שלהם</w:t>
      </w:r>
      <w:r>
        <w:rPr>
          <w:rtl w:val="true"/>
        </w:rPr>
        <w:t xml:space="preserve">, </w:t>
      </w:r>
      <w:r>
        <w:rPr>
          <w:rtl w:val="true"/>
        </w:rPr>
        <w:t>אשר נועדו לפגוע בחיילי המדינה במסגרת חברותו בחוליות טרור</w:t>
      </w:r>
      <w:r>
        <w:rPr>
          <w:rtl w:val="true"/>
        </w:rPr>
        <w:t xml:space="preserve">. </w:t>
      </w:r>
      <w:r>
        <w:rPr>
          <w:rtl w:val="true"/>
        </w:rPr>
        <w:t>הנאשם היה חוליה חיונית</w:t>
      </w:r>
      <w:r>
        <w:rPr>
          <w:rtl w:val="true"/>
        </w:rPr>
        <w:t xml:space="preserve">, </w:t>
      </w:r>
      <w:r>
        <w:rPr>
          <w:rtl w:val="true"/>
        </w:rPr>
        <w:t>חשובה ופעילה בדרכם של הקושרים לביצוע זממם לפגע בחיילי מדינת ישראל והוא פעל בנחישות ובהתמדה לביצועו של הקשר</w:t>
      </w:r>
      <w:r>
        <w:rPr>
          <w:rtl w:val="true"/>
        </w:rPr>
        <w:t xml:space="preserve">, </w:t>
      </w:r>
      <w:r>
        <w:rPr>
          <w:rtl w:val="true"/>
        </w:rPr>
        <w:t>קשר שקשר עם פעילי אירגון הטרור לרצוח כמה שיותר חיילים ישראלים</w:t>
      </w:r>
      <w:r>
        <w:rPr>
          <w:rtl w:val="true"/>
        </w:rPr>
        <w:t xml:space="preserve">, </w:t>
      </w:r>
      <w:r>
        <w:rPr>
          <w:rtl w:val="true"/>
        </w:rPr>
        <w:t>ויש להענישו בחומרה בשל כך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אשר לעובדה</w:t>
      </w:r>
      <w:r>
        <w:rPr>
          <w:rtl w:val="true"/>
        </w:rPr>
        <w:t xml:space="preserve">, </w:t>
      </w:r>
      <w:r>
        <w:rPr>
          <w:rtl w:val="true"/>
        </w:rPr>
        <w:t>כי אך בנס לא גרמו מעשיו של הנאשם ושותפיו לנזקים של ממש</w:t>
      </w:r>
      <w:r>
        <w:rPr>
          <w:rtl w:val="true"/>
        </w:rPr>
        <w:t xml:space="preserve">, </w:t>
      </w:r>
      <w:r>
        <w:rPr>
          <w:rtl w:val="true"/>
        </w:rPr>
        <w:t>הרי שיש לתת לה משקל קטן בלבד בין מכלול שיקולי הענישה</w:t>
      </w:r>
      <w:r>
        <w:rPr>
          <w:rtl w:val="true"/>
        </w:rPr>
        <w:t xml:space="preserve">. </w:t>
      </w:r>
      <w:r>
        <w:rPr>
          <w:rtl w:val="true"/>
        </w:rPr>
        <w:t xml:space="preserve">הענישה בעבירות של </w:t>
      </w:r>
      <w:r>
        <w:rPr>
          <w:b/>
          <w:b/>
          <w:bCs/>
          <w:rtl w:val="true"/>
        </w:rPr>
        <w:t>ניסיון</w:t>
      </w:r>
      <w:r>
        <w:rPr>
          <w:rtl w:val="true"/>
        </w:rPr>
        <w:t xml:space="preserve"> לרצח</w:t>
      </w:r>
      <w:r>
        <w:rPr>
          <w:rtl w:val="true"/>
        </w:rPr>
        <w:t xml:space="preserve">, </w:t>
      </w:r>
      <w:r>
        <w:rPr>
          <w:rtl w:val="true"/>
        </w:rPr>
        <w:t>כגון העבירות בהן הורשע הנאשם באישומים השני והשלישי שבפנינו</w:t>
      </w:r>
      <w:r>
        <w:rPr>
          <w:rtl w:val="true"/>
        </w:rPr>
        <w:t xml:space="preserve">, </w:t>
      </w:r>
      <w:r>
        <w:rPr>
          <w:rtl w:val="true"/>
        </w:rPr>
        <w:t>במאובחן מהעבירה המוגמרת של רצח</w:t>
      </w:r>
      <w:r>
        <w:rPr>
          <w:rtl w:val="true"/>
        </w:rPr>
        <w:t xml:space="preserve">, </w:t>
      </w:r>
      <w:r>
        <w:rPr>
          <w:rtl w:val="true"/>
        </w:rPr>
        <w:t xml:space="preserve">מטרתה להעביר מסר ברור כנגד </w:t>
      </w:r>
      <w:r>
        <w:rPr>
          <w:b/>
          <w:b/>
          <w:bCs/>
          <w:rtl w:val="true"/>
        </w:rPr>
        <w:t>הכוונה</w:t>
      </w:r>
      <w:r>
        <w:rPr>
          <w:rtl w:val="true"/>
        </w:rPr>
        <w:t xml:space="preserve"> לפגוע בבני אדם</w:t>
      </w:r>
      <w:r>
        <w:rPr>
          <w:rtl w:val="true"/>
        </w:rPr>
        <w:t xml:space="preserve">, </w:t>
      </w:r>
      <w:r>
        <w:rPr>
          <w:rtl w:val="true"/>
        </w:rPr>
        <w:t>גם אם לא הייתה</w:t>
      </w:r>
      <w:r>
        <w:rPr>
          <w:rtl w:val="true"/>
        </w:rPr>
        <w:t xml:space="preserve">, </w:t>
      </w:r>
      <w:r>
        <w:rPr>
          <w:rtl w:val="true"/>
        </w:rPr>
        <w:t>בסופו של דבר</w:t>
      </w:r>
      <w:r>
        <w:rPr>
          <w:rtl w:val="true"/>
        </w:rPr>
        <w:t xml:space="preserve">, </w:t>
      </w:r>
      <w:r>
        <w:rPr>
          <w:rtl w:val="true"/>
        </w:rPr>
        <w:t>פגיעה שכזו</w:t>
      </w:r>
      <w:r>
        <w:rPr>
          <w:rtl w:val="true"/>
        </w:rPr>
        <w:t xml:space="preserve">. </w:t>
      </w:r>
      <w:r>
        <w:rPr>
          <w:rtl w:val="true"/>
        </w:rPr>
        <w:t>גם כאשר העונש בגין עבירת ניסיון עמד על מחצית העונש של העבירה המוגמרת</w:t>
      </w:r>
      <w:r>
        <w:rPr>
          <w:rtl w:val="true"/>
        </w:rPr>
        <w:t xml:space="preserve">, </w:t>
      </w:r>
      <w:r>
        <w:rPr>
          <w:rtl w:val="true"/>
        </w:rPr>
        <w:t xml:space="preserve">בטרם התיקון של </w:t>
      </w:r>
      <w:hyperlink r:id="rId22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הביע המחוקק דעתו</w:t>
      </w:r>
      <w:r>
        <w:rPr>
          <w:rtl w:val="true"/>
        </w:rPr>
        <w:t xml:space="preserve">, </w:t>
      </w:r>
      <w:r>
        <w:rPr>
          <w:rtl w:val="true"/>
        </w:rPr>
        <w:t xml:space="preserve">כי בעבירה של ניסיון לרצח העונש הראוי הוא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כדי לנסות ולמנוע פגיעות עתידיות בבני אדם על ידי ענישה מחמירה</w:t>
      </w:r>
      <w:r>
        <w:rPr>
          <w:rtl w:val="true"/>
        </w:rPr>
        <w:t xml:space="preserve">. </w:t>
      </w:r>
      <w:r>
        <w:rPr>
          <w:rtl w:val="true"/>
        </w:rPr>
        <w:t>ובענייננו</w:t>
      </w:r>
      <w:r>
        <w:rPr>
          <w:rtl w:val="true"/>
        </w:rPr>
        <w:t xml:space="preserve">, </w:t>
      </w:r>
      <w:r>
        <w:rPr>
          <w:rtl w:val="true"/>
        </w:rPr>
        <w:t>יש לזכור</w:t>
      </w:r>
      <w:r>
        <w:rPr>
          <w:rtl w:val="true"/>
        </w:rPr>
        <w:t xml:space="preserve">, </w:t>
      </w:r>
      <w:r>
        <w:rPr>
          <w:rtl w:val="true"/>
        </w:rPr>
        <w:t>כי הנאשם הורשע בשתי עבירות של ניסיון לרצח</w:t>
      </w:r>
      <w:r>
        <w:rPr>
          <w:rtl w:val="true"/>
        </w:rPr>
        <w:t xml:space="preserve">, </w:t>
      </w:r>
      <w:r>
        <w:rPr>
          <w:rtl w:val="true"/>
        </w:rPr>
        <w:t xml:space="preserve">בנוסף לעבירות של קשירת קשר ונשיאת הנשק </w:t>
      </w:r>
      <w:r>
        <w:rPr>
          <w:szCs w:val="20"/>
          <w:rtl w:val="true"/>
        </w:rPr>
        <w:t>(</w:t>
      </w:r>
      <w:r>
        <w:rPr>
          <w:szCs w:val="20"/>
          <w:rtl w:val="true"/>
        </w:rPr>
        <w:t>באישומים השני והשלישי</w:t>
      </w:r>
      <w:r>
        <w:rPr>
          <w:szCs w:val="20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ובנוסף לעבירות של חברות באירגון טרור ומגע עם סוכן זר </w:t>
      </w:r>
      <w:r>
        <w:rPr>
          <w:szCs w:val="20"/>
          <w:rtl w:val="true"/>
        </w:rPr>
        <w:t>(</w:t>
      </w:r>
      <w:r>
        <w:rPr>
          <w:szCs w:val="20"/>
          <w:rtl w:val="true"/>
        </w:rPr>
        <w:t>באישום הראשון</w:t>
      </w:r>
      <w:r>
        <w:rPr>
          <w:szCs w:val="20"/>
          <w:rtl w:val="true"/>
        </w:rPr>
        <w:t xml:space="preserve">). </w:t>
      </w:r>
    </w:p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יש מקום להטלת ענישה מחמירה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נוכח גילו הצעיר של הנאשם </w:t>
      </w:r>
      <w:r>
        <w:rPr>
          <w:rtl w:val="true"/>
        </w:rPr>
        <w:t>(</w:t>
      </w:r>
      <w:r>
        <w:rPr>
          <w:rtl w:val="true"/>
        </w:rPr>
        <w:t xml:space="preserve">היה כבן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בעת ביצוע העבירות</w:t>
      </w:r>
      <w:r>
        <w:rPr>
          <w:rtl w:val="true"/>
        </w:rPr>
        <w:t xml:space="preserve">), </w:t>
      </w:r>
      <w:r>
        <w:rPr>
          <w:rtl w:val="true"/>
        </w:rPr>
        <w:t>החרטה שהביע</w:t>
      </w:r>
      <w:r>
        <w:rPr>
          <w:rtl w:val="true"/>
        </w:rPr>
        <w:t xml:space="preserve">, </w:t>
      </w:r>
      <w:r>
        <w:rPr>
          <w:rtl w:val="true"/>
        </w:rPr>
        <w:t>הזמן שחלף מאז ביצוע העבירות ועד למעצרו והבאתו לדין ונסיבות חייו</w:t>
      </w:r>
      <w:r>
        <w:rPr>
          <w:rtl w:val="true"/>
        </w:rPr>
        <w:t xml:space="preserve">, </w:t>
      </w:r>
      <w:r>
        <w:rPr>
          <w:rtl w:val="true"/>
        </w:rPr>
        <w:t>כפי שאלה פורטו על ידי בא</w:t>
      </w:r>
      <w:r>
        <w:rPr>
          <w:rtl w:val="true"/>
        </w:rPr>
        <w:t>-</w:t>
      </w:r>
      <w:r>
        <w:rPr>
          <w:rtl w:val="true"/>
        </w:rPr>
        <w:t>כחו</w:t>
      </w:r>
      <w:r>
        <w:rPr>
          <w:rtl w:val="true"/>
        </w:rPr>
        <w:t xml:space="preserve">, </w:t>
      </w:r>
      <w:r>
        <w:rPr>
          <w:rtl w:val="true"/>
        </w:rPr>
        <w:t>לא נמצה עמו את מלוא חומרת הדין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 xml:space="preserve">לאור כל האמור לעיל אנו גוזרים על הנאשם מאסר בפועל למשך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 לביהמ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 העליון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7" w:name="Decision1"/>
      <w:bookmarkStart w:id="18" w:name="Decision1"/>
      <w:bookmarkEnd w:id="18"/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ניתנן היום יח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בכסלו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ט </w:t>
      </w:r>
      <w:r>
        <w:rPr>
          <w:b/>
          <w:bCs/>
          <w:rtl w:val="true"/>
        </w:rPr>
        <w:t>(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בדצמבר </w:t>
      </w:r>
      <w:r>
        <w:rPr>
          <w:b/>
          <w:bCs/>
        </w:rPr>
        <w:t>2008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 הצדדים</w:t>
      </w:r>
      <w:r>
        <w:rPr>
          <w:b/>
          <w:bCs/>
          <w:rtl w:val="true"/>
        </w:rPr>
        <w:t xml:space="preserve">.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>יפה כ</w:t>
      </w:r>
      <w:r>
        <w:rPr>
          <w:rFonts w:cs="David" w:ascii="David" w:hAnsi="David"/>
          <w:color w:val="000000"/>
          <w:sz w:val="22"/>
          <w:szCs w:val="22"/>
          <w:rtl w:val="true"/>
        </w:rPr>
        <w:t>#</w:t>
      </w: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 xml:space="preserve">ץ </w:t>
      </w:r>
      <w:r>
        <w:rPr>
          <w:rFonts w:cs="David" w:ascii="David" w:hAnsi="David"/>
          <w:color w:val="000000"/>
          <w:sz w:val="22"/>
          <w:szCs w:val="22"/>
        </w:rPr>
        <w:t>54678313-1122/06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bidiVisual w:val="true"/>
        <w:tblW w:w="789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07"/>
        <w:gridCol w:w="493"/>
        <w:gridCol w:w="2103"/>
        <w:gridCol w:w="530"/>
        <w:gridCol w:w="2261"/>
      </w:tblGrid>
      <w:tr>
        <w:trPr/>
        <w:tc>
          <w:tcPr>
            <w:tcW w:w="2507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eastAsia="Arial"/>
                <w:b/>
                <w:bCs/>
                <w:rtl w:val="true"/>
              </w:rPr>
              <w:t xml:space="preserve">    </w:t>
            </w: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יפה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ץ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49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103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eastAsia="Arial"/>
                <w:b/>
                <w:bCs/>
                <w:rtl w:val="true"/>
              </w:rPr>
              <w:t xml:space="preserve">   </w:t>
            </w:r>
            <w:r>
              <w:rPr>
                <w:b/>
                <w:b/>
                <w:bCs/>
                <w:rtl w:val="true"/>
              </w:rPr>
              <w:t>ו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מרוז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53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261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eastAsia="Arial"/>
                <w:b/>
                <w:bCs/>
                <w:rtl w:val="true"/>
              </w:rPr>
              <w:t xml:space="preserve">      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ואגו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sectPr>
      <w:headerReference w:type="default" r:id="rId23"/>
      <w:footerReference w:type="default" r:id="rId24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/Users/liorb/Downloads/study2025-p2/m06001122-250.doc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1122/06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אלעמור עליאן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Arial" w:hAnsi="Arial" w:eastAsia="Times New Roman" w:cs="Arial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</w:rPr>
  </w:style>
  <w:style w:type="paragraph" w:styleId="DocumentMap">
    <w:name w:val="Document Map"/>
    <w:basedOn w:val="Normal"/>
    <w:qFormat/>
    <w:pPr>
      <w:shd w:fill="000080" w:val="clear"/>
      <w:ind w:hanging="0" w:start="0" w:end="0"/>
      <w:jc w:val="both"/>
    </w:pPr>
    <w:rPr>
      <w:rFonts w:ascii="Tahoma" w:hAnsi="Tahoma" w:cs="Tahoma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rFonts w:cs="David"/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37762" TargetMode="External"/><Relationship Id="rId3" Type="http://schemas.openxmlformats.org/officeDocument/2006/relationships/hyperlink" Target="http://www.nevo.co.il/case/5874024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1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05.1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3729" TargetMode="External"/><Relationship Id="rId10" Type="http://schemas.openxmlformats.org/officeDocument/2006/relationships/hyperlink" Target="http://www.nevo.co.il/law/73729/85.a" TargetMode="External"/><Relationship Id="rId11" Type="http://schemas.openxmlformats.org/officeDocument/2006/relationships/hyperlink" Target="http://www.nevo.co.il/law/70301/114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3729/85.a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305.1" TargetMode="External"/><Relationship Id="rId18" Type="http://schemas.openxmlformats.org/officeDocument/2006/relationships/hyperlink" Target="http://www.nevo.co.il/law/70301/499.a.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/305.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2016-08-15T13:55:00Z</dcterms:created>
  <dc:creator> </dc:creator>
  <dc:description/>
  <cp:keywords/>
  <dc:language>en-IL</dc:language>
  <cp:lastModifiedBy>run</cp:lastModifiedBy>
  <dcterms:modified xsi:type="dcterms:W3CDTF">2016-08-15T13:55:00Z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אלעמור עליאן</vt:lpwstr>
  </property>
  <property fmtid="{D5CDD505-2E9C-101B-9397-08002B2CF9AE}" pid="4" name="CASENOTES1">
    <vt:lpwstr>ProcID=54;209&amp;PartA=58279&amp;PartB=07&amp;PartC=12</vt:lpwstr>
  </property>
  <property fmtid="{D5CDD505-2E9C-101B-9397-08002B2CF9AE}" pid="5" name="CASESLISTTMP1">
    <vt:lpwstr>2237762;5874024</vt:lpwstr>
  </property>
  <property fmtid="{D5CDD505-2E9C-101B-9397-08002B2CF9AE}" pid="6" name="CITY">
    <vt:lpwstr>ב"ש</vt:lpwstr>
  </property>
  <property fmtid="{D5CDD505-2E9C-101B-9397-08002B2CF9AE}" pid="7" name="DATE">
    <vt:lpwstr>20081215</vt:lpwstr>
  </property>
  <property fmtid="{D5CDD505-2E9C-101B-9397-08002B2CF9AE}" pid="8" name="DELEMATA">
    <vt:lpwstr>http://elyon2.court.gov.il/scripts9/mgrqispi93.dll?Appname=eScourt&amp;Prgname=GetFileDetails&amp;Arguments=-N2009-003370-0</vt:lpwstr>
  </property>
  <property fmtid="{D5CDD505-2E9C-101B-9397-08002B2CF9AE}" pid="9" name="ISABSTRACT">
    <vt:lpwstr>Y</vt:lpwstr>
  </property>
  <property fmtid="{D5CDD505-2E9C-101B-9397-08002B2CF9AE}" pid="10" name="JUDGE">
    <vt:lpwstr>ר. יפה כ#ץ;ו. מרוז;א. ואגו</vt:lpwstr>
  </property>
  <property fmtid="{D5CDD505-2E9C-101B-9397-08002B2CF9AE}" pid="11" name="LAWLISTTMP1">
    <vt:lpwstr>70301/114.a;499.a.1:2;144.b:2;305.1:2</vt:lpwstr>
  </property>
  <property fmtid="{D5CDD505-2E9C-101B-9397-08002B2CF9AE}" pid="12" name="LAWLISTTMP2">
    <vt:lpwstr>73729/085.a</vt:lpwstr>
  </property>
  <property fmtid="{D5CDD505-2E9C-101B-9397-08002B2CF9AE}" pid="13" name="LAWYER">
    <vt:lpwstr>מורן גז;יונס תמים</vt:lpwstr>
  </property>
  <property fmtid="{D5CDD505-2E9C-101B-9397-08002B2CF9AE}" pid="14" name="LINKK1">
    <vt:lpwstr>http://www.nevo.co.il/Psika_word/mechozi/m06001122-263.doc;להכרעת-דין במחוזי (06-07-2008)#תפח 1122/06 מדינת ישראל נ' אלעמור עליאן#שופטים: ר. יפה כ#ץ, ו. מרוז, א. ואגו#עו''ד: א. אלטמן, יונס תמים</vt:lpwstr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>http://www.nevo.co.il/Psika_word/elyon/09033700-t01.doc;לפסק-דין בעליון (26-12-2011)#עפ 3370/09 עליאן אלעמור נ' מדינת ישראל#שופטים: א' רובינשטיין, ח' מלצר, ה א' ריבלין#עו''ד: זיו אריאלי, סאלח מחאמיד</vt:lpwstr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>תפח</vt:lpwstr>
  </property>
  <property fmtid="{D5CDD505-2E9C-101B-9397-08002B2CF9AE}" pid="34" name="PROCNUM">
    <vt:lpwstr>1122</vt:lpwstr>
  </property>
  <property fmtid="{D5CDD505-2E9C-101B-9397-08002B2CF9AE}" pid="35" name="PROCYEAR">
    <vt:lpwstr>06</vt:lpwstr>
  </property>
  <property fmtid="{D5CDD505-2E9C-101B-9397-08002B2CF9AE}" pid="36" name="PSAKDIN">
    <vt:lpwstr>גזר-דין</vt:lpwstr>
  </property>
  <property fmtid="{D5CDD505-2E9C-101B-9397-08002B2CF9AE}" pid="37" name="TYPE">
    <vt:lpwstr>2</vt:lpwstr>
  </property>
  <property fmtid="{D5CDD505-2E9C-101B-9397-08002B2CF9AE}" pid="38" name="TYPE_ABS_DATE">
    <vt:lpwstr>390020081215</vt:lpwstr>
  </property>
  <property fmtid="{D5CDD505-2E9C-101B-9397-08002B2CF9AE}" pid="39" name="TYPE_N_DATE">
    <vt:lpwstr>39020081215</vt:lpwstr>
  </property>
  <property fmtid="{D5CDD505-2E9C-101B-9397-08002B2CF9AE}" pid="40" name="VOLUME">
    <vt:lpwstr/>
  </property>
  <property fmtid="{D5CDD505-2E9C-101B-9397-08002B2CF9AE}" pid="41" name="WORDNUMPAGES">
    <vt:lpwstr>6</vt:lpwstr>
  </property>
</Properties>
</file>