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 המשפט</w:t>
      </w:r>
      <w:r>
        <w:rPr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b/>
                <w:bCs/>
                <w:sz w:val="24"/>
              </w:rPr>
              <w:t>001122/08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ץ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ו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מרוז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12/07/2009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rtl w:val="true"/>
              </w:rPr>
              <w:t>בעניין</w:t>
            </w:r>
            <w:r>
              <w:rPr>
                <w:rFonts w:cs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2" w:name="שם_א"/>
            <w:r>
              <w:rPr>
                <w:rFonts w:cs="Arial"/>
                <w:rtl w:val="true"/>
              </w:rPr>
              <w:t>מדינת 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7" w:name="בא_כוח_א"/>
            <w:r>
              <w:rPr>
                <w:rFonts w:cs="Arial"/>
                <w:rtl w:val="true"/>
              </w:rPr>
              <w:t>על ידי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מורן גז</w:t>
            </w:r>
            <w:r>
              <w:rPr>
                <w:rFonts w:cs="Arial"/>
                <w:rtl w:val="true"/>
              </w:rPr>
              <w:t xml:space="preserve">, </w:t>
            </w:r>
            <w:r>
              <w:rPr>
                <w:rFonts w:cs="Arial"/>
                <w:rtl w:val="true"/>
              </w:rPr>
              <w:t>פמ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8" w:name="שם_ב"/>
            <w:r>
              <w:rPr>
                <w:rFonts w:cs="Arial"/>
                <w:rtl w:val="true"/>
              </w:rPr>
              <w:t>אבו סבת אכרם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על ידי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דראושה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9" w:name="LawTable"/>
      <w:bookmarkStart w:id="10" w:name="LawTable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111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פקודת מניעת טרור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13" w:name="PsakDin"/>
      <w:r>
        <w:rPr>
          <w:u w:val="none"/>
          <w:rtl w:val="true"/>
        </w:rPr>
        <w:t>ג ז ר – ד י ן</w:t>
      </w:r>
      <w:bookmarkEnd w:id="13"/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השופטת 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יפה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: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 הסדר טיעון שנערך בין הצדדים</w:t>
      </w:r>
      <w:r>
        <w:rPr>
          <w:rtl w:val="true"/>
        </w:rPr>
        <w:t xml:space="preserve">, </w:t>
      </w:r>
      <w:r>
        <w:rPr>
          <w:rtl w:val="true"/>
        </w:rPr>
        <w:t>תוקן כתב האישום המקורי שהוגש כנגד הנאשם</w:t>
      </w:r>
      <w:r>
        <w:rPr>
          <w:rtl w:val="true"/>
        </w:rPr>
        <w:t xml:space="preserve">, </w:t>
      </w:r>
      <w:r>
        <w:rPr>
          <w:rtl w:val="true"/>
        </w:rPr>
        <w:t>הוא הודה בעובדות שבכתב האישום המתוקן והורשע בהתאם</w:t>
      </w:r>
      <w:r>
        <w:rPr>
          <w:rtl w:val="true"/>
        </w:rPr>
        <w:t xml:space="preserve">. </w:t>
      </w:r>
      <w:r>
        <w:rPr>
          <w:rtl w:val="true"/>
        </w:rPr>
        <w:t>לא הייתה הסכמה לעניין העונש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bookmarkStart w:id="14" w:name="ABSTRACT_START"/>
      <w:bookmarkEnd w:id="14"/>
      <w:r>
        <w:rPr>
          <w:rtl w:val="true"/>
        </w:rPr>
        <w:t>מעובדות כתב האישום המתוקן בהן הודה הנאשם עולה</w:t>
      </w:r>
      <w:r>
        <w:rPr>
          <w:rtl w:val="true"/>
        </w:rPr>
        <w:t xml:space="preserve">, </w:t>
      </w:r>
      <w:r>
        <w:rPr>
          <w:rtl w:val="true"/>
        </w:rPr>
        <w:t xml:space="preserve">כי בסוף 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 xml:space="preserve">או תחילת שנת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מועד מדוייק שאינו ידוע</w:t>
      </w:r>
      <w:r>
        <w:rPr>
          <w:rtl w:val="true"/>
        </w:rPr>
        <w:t xml:space="preserve">, </w:t>
      </w:r>
      <w:r>
        <w:rPr>
          <w:rtl w:val="true"/>
        </w:rPr>
        <w:t>ברצועת עזה</w:t>
      </w:r>
      <w:r>
        <w:rPr>
          <w:rtl w:val="true"/>
        </w:rPr>
        <w:t xml:space="preserve">, </w:t>
      </w:r>
      <w:r>
        <w:rPr>
          <w:rtl w:val="true"/>
        </w:rPr>
        <w:t>פנה אל הנאשם שאדי אבו</w:t>
      </w:r>
      <w:r>
        <w:rPr>
          <w:rtl w:val="true"/>
        </w:rPr>
        <w:t>-</w:t>
      </w:r>
      <w:r>
        <w:rPr>
          <w:rtl w:val="true"/>
        </w:rPr>
        <w:t>דאהר והציע לו להצטרף כחבר באירגון הג</w:t>
      </w:r>
      <w:r>
        <w:rPr>
          <w:rtl w:val="true"/>
        </w:rPr>
        <w:t>'</w:t>
      </w:r>
      <w:r>
        <w:rPr>
          <w:rtl w:val="true"/>
        </w:rPr>
        <w:t>יהאד האיסלאמי</w:t>
      </w:r>
      <w:r>
        <w:rPr>
          <w:rtl w:val="true"/>
        </w:rPr>
        <w:t xml:space="preserve">, </w:t>
      </w:r>
      <w:r>
        <w:rPr>
          <w:rtl w:val="true"/>
        </w:rPr>
        <w:t>אירגון שהוכרז כהתאחדות בלתי מותרת וכאירגון טרוריסטי</w:t>
      </w:r>
      <w:r>
        <w:rPr>
          <w:rtl w:val="true"/>
        </w:rPr>
        <w:t xml:space="preserve">. </w:t>
      </w:r>
      <w:r>
        <w:rPr>
          <w:rtl w:val="true"/>
        </w:rPr>
        <w:t>הנאשם הסכים ומיד לאחר שהצטרף כחבר בארגון</w:t>
      </w:r>
      <w:r>
        <w:rPr>
          <w:rtl w:val="true"/>
        </w:rPr>
        <w:t xml:space="preserve">, </w:t>
      </w:r>
      <w:r>
        <w:rPr>
          <w:rtl w:val="true"/>
        </w:rPr>
        <w:t>הוצע לו לערוך תצפיות על תנועת כוחות צה</w:t>
      </w:r>
      <w:r>
        <w:rPr>
          <w:rtl w:val="true"/>
        </w:rPr>
        <w:t>"</w:t>
      </w:r>
      <w:r>
        <w:rPr>
          <w:rtl w:val="true"/>
        </w:rPr>
        <w:t>ל באזור גבול ישראל ורצועת עזה ולדווח לשאדי</w:t>
      </w:r>
      <w:r>
        <w:rPr>
          <w:rtl w:val="true"/>
        </w:rPr>
        <w:t xml:space="preserve">, </w:t>
      </w:r>
      <w:r>
        <w:rPr>
          <w:rtl w:val="true"/>
        </w:rPr>
        <w:t>על מנת שיוכל לירות על חיילי צה</w:t>
      </w:r>
      <w:r>
        <w:rPr>
          <w:rtl w:val="true"/>
        </w:rPr>
        <w:t>"</w:t>
      </w:r>
      <w:r>
        <w:rPr>
          <w:rtl w:val="true"/>
        </w:rPr>
        <w:t>ל ולבצע פיגועים כנגדם ולגרום למותם</w:t>
      </w:r>
      <w:r>
        <w:rPr>
          <w:rtl w:val="true"/>
        </w:rPr>
        <w:t xml:space="preserve">. </w:t>
      </w:r>
      <w:r>
        <w:rPr>
          <w:rtl w:val="true"/>
        </w:rPr>
        <w:t>הנאשם הסכים להצעתו של שאדי</w:t>
      </w:r>
      <w:r>
        <w:rPr>
          <w:rtl w:val="true"/>
        </w:rPr>
        <w:t xml:space="preserve">, </w:t>
      </w:r>
      <w:r>
        <w:rPr>
          <w:rtl w:val="true"/>
        </w:rPr>
        <w:t>וסיכם עמו</w:t>
      </w:r>
      <w:r>
        <w:rPr>
          <w:rtl w:val="true"/>
        </w:rPr>
        <w:t xml:space="preserve">, </w:t>
      </w:r>
      <w:r>
        <w:rPr>
          <w:rtl w:val="true"/>
        </w:rPr>
        <w:t>כי ימסור לו ידיעות על תנועת כוחות צה</w:t>
      </w:r>
      <w:r>
        <w:rPr>
          <w:rtl w:val="true"/>
        </w:rPr>
        <w:t>"</w:t>
      </w:r>
      <w:r>
        <w:rPr>
          <w:rtl w:val="true"/>
        </w:rPr>
        <w:t>ל על מנת ששאדי יבצע פיגועים נגדם ויגרום למותם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מסר שאדי לנאשם מכשיר טלפון נייד על מנת שידווח לו על פעילות כוחות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ובמשך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ערך הנאשם תצפיות על תנועת כוחות צה</w:t>
      </w:r>
      <w:r>
        <w:rPr>
          <w:rtl w:val="true"/>
        </w:rPr>
        <w:t>"</w:t>
      </w:r>
      <w:r>
        <w:rPr>
          <w:rtl w:val="true"/>
        </w:rPr>
        <w:t>ל באזור הגבול ודיווח עליהם</w:t>
      </w:r>
      <w:r>
        <w:rPr>
          <w:rtl w:val="true"/>
        </w:rPr>
        <w:t xml:space="preserve">, </w:t>
      </w:r>
      <w:r>
        <w:rPr>
          <w:rtl w:val="true"/>
        </w:rPr>
        <w:t>באמצעות מכשיר הטלפון הנייד</w:t>
      </w:r>
      <w:r>
        <w:rPr>
          <w:rtl w:val="true"/>
        </w:rPr>
        <w:t xml:space="preserve">, </w:t>
      </w:r>
      <w:r>
        <w:rPr>
          <w:rtl w:val="true"/>
        </w:rPr>
        <w:t>לשאדי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bookmarkStart w:id="15" w:name="ABSTRACT_END"/>
      <w:bookmarkEnd w:id="15"/>
      <w:r>
        <w:rPr>
          <w:rtl w:val="true"/>
        </w:rPr>
        <w:tab/>
      </w:r>
      <w:r>
        <w:rPr>
          <w:rtl w:val="true"/>
        </w:rPr>
        <w:t>פעילותו של הנאשם הסתיימה</w:t>
      </w:r>
      <w:r>
        <w:rPr>
          <w:rtl w:val="true"/>
        </w:rPr>
        <w:t xml:space="preserve">, </w:t>
      </w:r>
      <w:r>
        <w:rPr>
          <w:rtl w:val="true"/>
        </w:rPr>
        <w:t>כאשר שאדי נהרג בעת שהניח מטען חבלה כנגד 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נוכח מעשיו אלה הורשע הנאשם בעבירות של מסירת ידיעות לאוייב העלולות להיות לו לתועלת 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(</w:t>
      </w:r>
      <w:r>
        <w:rPr>
          <w:rtl w:val="true"/>
        </w:rPr>
        <w:t>חלופה שניה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וחברות בארגון טרוריסטי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פקודת מניעת טרור</w:t>
        </w:r>
      </w:hyperlink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האישום השני של כתב האישום המתוקן</w:t>
      </w:r>
      <w:r>
        <w:rPr>
          <w:rtl w:val="true"/>
        </w:rPr>
        <w:t xml:space="preserve">, </w:t>
      </w:r>
      <w:r>
        <w:rPr>
          <w:rtl w:val="true"/>
        </w:rPr>
        <w:t>הודה הנאשם</w:t>
      </w:r>
      <w:r>
        <w:rPr>
          <w:rtl w:val="true"/>
        </w:rPr>
        <w:t xml:space="preserve">, </w:t>
      </w:r>
      <w:r>
        <w:rPr>
          <w:rtl w:val="true"/>
        </w:rPr>
        <w:t xml:space="preserve">כי בשנת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לפני שצורף לג</w:t>
      </w:r>
      <w:r>
        <w:rPr>
          <w:rtl w:val="true"/>
        </w:rPr>
        <w:t>'</w:t>
      </w:r>
      <w:r>
        <w:rPr>
          <w:rtl w:val="true"/>
        </w:rPr>
        <w:t xml:space="preserve">יהאד האיסלאמי על ידי שאדי </w:t>
      </w:r>
      <w:r>
        <w:rPr>
          <w:rtl w:val="true"/>
        </w:rPr>
        <w:t>(</w:t>
      </w:r>
      <w:r>
        <w:rPr>
          <w:rtl w:val="true"/>
        </w:rPr>
        <w:t>נשוא האישום הראשון</w:t>
      </w:r>
      <w:r>
        <w:rPr>
          <w:rtl w:val="true"/>
        </w:rPr>
        <w:t xml:space="preserve">), </w:t>
      </w:r>
      <w:r>
        <w:rPr>
          <w:rtl w:val="true"/>
        </w:rPr>
        <w:t>בגרארה שברצועת עזה</w:t>
      </w:r>
      <w:r>
        <w:rPr>
          <w:rtl w:val="true"/>
        </w:rPr>
        <w:t xml:space="preserve">, </w:t>
      </w:r>
      <w:r>
        <w:rPr>
          <w:rtl w:val="true"/>
        </w:rPr>
        <w:t>פנה אל הנאשם ג</w:t>
      </w:r>
      <w:r>
        <w:rPr>
          <w:rtl w:val="true"/>
        </w:rPr>
        <w:t>'</w:t>
      </w:r>
      <w:r>
        <w:rPr>
          <w:rtl w:val="true"/>
        </w:rPr>
        <w:t>יהאד אבו</w:t>
      </w:r>
      <w:r>
        <w:rPr>
          <w:rtl w:val="true"/>
        </w:rPr>
        <w:t>-</w:t>
      </w:r>
      <w:r>
        <w:rPr>
          <w:rtl w:val="true"/>
        </w:rPr>
        <w:t>דאהר</w:t>
      </w:r>
      <w:r>
        <w:rPr>
          <w:rtl w:val="true"/>
        </w:rPr>
        <w:t xml:space="preserve">, </w:t>
      </w:r>
      <w:r>
        <w:rPr>
          <w:rtl w:val="true"/>
        </w:rPr>
        <w:t>שהיה פעיל בג</w:t>
      </w:r>
      <w:r>
        <w:rPr>
          <w:rtl w:val="true"/>
        </w:rPr>
        <w:t>'</w:t>
      </w:r>
      <w:r>
        <w:rPr>
          <w:rtl w:val="true"/>
        </w:rPr>
        <w:t>יהאד האיסלאמי</w:t>
      </w:r>
      <w:r>
        <w:rPr>
          <w:rtl w:val="true"/>
        </w:rPr>
        <w:t xml:space="preserve">, </w:t>
      </w:r>
      <w:r>
        <w:rPr>
          <w:rtl w:val="true"/>
        </w:rPr>
        <w:t>וביקש ממנו להניח יחד איתו מטען חבלה נגד כוחות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מזרחית לביתו של הנאשם</w:t>
      </w:r>
      <w:r>
        <w:rPr>
          <w:rtl w:val="true"/>
        </w:rPr>
        <w:t xml:space="preserve">. </w:t>
      </w:r>
      <w:r>
        <w:rPr>
          <w:rtl w:val="true"/>
        </w:rPr>
        <w:t>הנאשם הסכים לפנייתו של אבו</w:t>
      </w:r>
      <w:r>
        <w:rPr>
          <w:rtl w:val="true"/>
        </w:rPr>
        <w:t>-</w:t>
      </w:r>
      <w:r>
        <w:rPr>
          <w:rtl w:val="true"/>
        </w:rPr>
        <w:t>דאהר וקשר עמו קשר להניח מטען חבלה כדי לגרום למותם של חיילי צה</w:t>
      </w:r>
      <w:r>
        <w:rPr>
          <w:rtl w:val="true"/>
        </w:rPr>
        <w:t>"</w:t>
      </w:r>
      <w:r>
        <w:rPr>
          <w:rtl w:val="true"/>
        </w:rPr>
        <w:t>ל בשל היותם ישראלים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הקשר הנ</w:t>
      </w:r>
      <w:r>
        <w:rPr>
          <w:rtl w:val="true"/>
        </w:rPr>
        <w:t>"</w:t>
      </w:r>
      <w:r>
        <w:rPr>
          <w:rtl w:val="true"/>
        </w:rPr>
        <w:t>ל ולשם קידומו</w:t>
      </w:r>
      <w:r>
        <w:rPr>
          <w:rtl w:val="true"/>
        </w:rPr>
        <w:t xml:space="preserve">, </w:t>
      </w:r>
      <w:r>
        <w:rPr>
          <w:rtl w:val="true"/>
        </w:rPr>
        <w:t>הראה אבו</w:t>
      </w:r>
      <w:r>
        <w:rPr>
          <w:rtl w:val="true"/>
        </w:rPr>
        <w:t>-</w:t>
      </w:r>
      <w:r>
        <w:rPr>
          <w:rtl w:val="true"/>
        </w:rPr>
        <w:t xml:space="preserve">דאהר לנאשם מטען חבלה שמשקלו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והמופעל על ידי חוטים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ואף זאת במסגרת הקשר ולשם קידומו</w:t>
      </w:r>
      <w:r>
        <w:rPr>
          <w:rtl w:val="true"/>
        </w:rPr>
        <w:t xml:space="preserve">, </w:t>
      </w:r>
      <w:r>
        <w:rPr>
          <w:rtl w:val="true"/>
        </w:rPr>
        <w:t>ערכו אבו</w:t>
      </w:r>
      <w:r>
        <w:rPr>
          <w:rtl w:val="true"/>
        </w:rPr>
        <w:t>-</w:t>
      </w:r>
      <w:r>
        <w:rPr>
          <w:rtl w:val="true"/>
        </w:rPr>
        <w:t>דאהר והנאשם תצפיות על תנועת כוחות צה</w:t>
      </w:r>
      <w:r>
        <w:rPr>
          <w:rtl w:val="true"/>
        </w:rPr>
        <w:t>"</w:t>
      </w:r>
      <w:r>
        <w:rPr>
          <w:rtl w:val="true"/>
        </w:rPr>
        <w:t>ל באזור הגבול</w:t>
      </w:r>
      <w:r>
        <w:rPr>
          <w:rtl w:val="true"/>
        </w:rPr>
        <w:t xml:space="preserve">, </w:t>
      </w:r>
      <w:r>
        <w:rPr>
          <w:rtl w:val="true"/>
        </w:rPr>
        <w:t>כדי להניח את המטען ליד גדר הגבול ולהפעילו נגד חיילי צה</w:t>
      </w:r>
      <w:r>
        <w:rPr>
          <w:rtl w:val="true"/>
        </w:rPr>
        <w:t>"</w:t>
      </w:r>
      <w:r>
        <w:rPr>
          <w:rtl w:val="true"/>
        </w:rPr>
        <w:t>ל ולגרום למותם</w:t>
      </w:r>
      <w:r>
        <w:rPr>
          <w:rtl w:val="true"/>
        </w:rPr>
        <w:t xml:space="preserve">. </w:t>
      </w:r>
      <w:r>
        <w:rPr>
          <w:rtl w:val="true"/>
        </w:rPr>
        <w:t>מאחר ובמקום היו כוחות רבים של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החליטו הנאשם ואבו</w:t>
      </w:r>
      <w:r>
        <w:rPr>
          <w:rtl w:val="true"/>
        </w:rPr>
        <w:t>-</w:t>
      </w:r>
      <w:r>
        <w:rPr>
          <w:rtl w:val="true"/>
        </w:rPr>
        <w:t>דאהר לוותר על תוכניתם להנחת המטען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מעשים אלה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בעבירות של קשירת קשר לפשע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  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ועבירות בנשק </w:t>
      </w:r>
      <w:r>
        <w:rPr>
          <w:rtl w:val="true"/>
        </w:rPr>
        <w:t>(</w:t>
      </w:r>
      <w:r>
        <w:rPr>
          <w:rtl w:val="true"/>
        </w:rPr>
        <w:t>החזקת נשק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 טיעוניה לעונש</w:t>
      </w:r>
      <w:r>
        <w:rPr>
          <w:rtl w:val="true"/>
        </w:rPr>
        <w:t xml:space="preserve">, </w:t>
      </w:r>
      <w:r>
        <w:rPr>
          <w:rtl w:val="true"/>
        </w:rPr>
        <w:t>עמדה התובעת המלומדה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גז</w:t>
      </w:r>
      <w:r>
        <w:rPr>
          <w:rtl w:val="true"/>
        </w:rPr>
        <w:t xml:space="preserve">, </w:t>
      </w:r>
      <w:r>
        <w:rPr>
          <w:rtl w:val="true"/>
        </w:rPr>
        <w:t>על החומרה הרבה שבמעשי הנאשם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 במי שפעל ממניעים אידיאולוגיים קיצוניים</w:t>
      </w:r>
      <w:r>
        <w:rPr>
          <w:rtl w:val="true"/>
        </w:rPr>
        <w:t xml:space="preserve">, </w:t>
      </w:r>
      <w:r>
        <w:rPr>
          <w:rtl w:val="true"/>
        </w:rPr>
        <w:t>כאשר הראיה לכך היא שעוד בטרם הצטרפותו לארגון הטרור</w:t>
      </w:r>
      <w:r>
        <w:rPr>
          <w:rtl w:val="true"/>
        </w:rPr>
        <w:t xml:space="preserve">, </w:t>
      </w:r>
      <w:r>
        <w:rPr>
          <w:rtl w:val="true"/>
        </w:rPr>
        <w:t>החל בפעילות חמורה מאוד כנגד בטחון המדינה בכך</w:t>
      </w:r>
      <w:r>
        <w:rPr>
          <w:rtl w:val="true"/>
        </w:rPr>
        <w:t xml:space="preserve">, </w:t>
      </w:r>
      <w:r>
        <w:rPr>
          <w:rtl w:val="true"/>
        </w:rPr>
        <w:t xml:space="preserve">שקשר קשר עם אחר להניח מטען חבלה במשקל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שהחזיק עם אחר</w:t>
      </w:r>
      <w:r>
        <w:rPr>
          <w:rtl w:val="true"/>
        </w:rPr>
        <w:t xml:space="preserve">, </w:t>
      </w:r>
      <w:r>
        <w:rPr>
          <w:rtl w:val="true"/>
        </w:rPr>
        <w:t>וערך תצפיות על כוחות צה</w:t>
      </w:r>
      <w:r>
        <w:rPr>
          <w:rtl w:val="true"/>
        </w:rPr>
        <w:t>"</w:t>
      </w:r>
      <w:r>
        <w:rPr>
          <w:rtl w:val="true"/>
        </w:rPr>
        <w:t>ל כדי לממש את הקשר</w:t>
      </w:r>
      <w:r>
        <w:rPr>
          <w:rtl w:val="true"/>
        </w:rPr>
        <w:t xml:space="preserve">. </w:t>
      </w:r>
      <w:r>
        <w:rPr>
          <w:rtl w:val="true"/>
        </w:rPr>
        <w:t>מאוחר יותר</w:t>
      </w:r>
      <w:r>
        <w:rPr>
          <w:rtl w:val="true"/>
        </w:rPr>
        <w:t xml:space="preserve">, </w:t>
      </w:r>
      <w:r>
        <w:rPr>
          <w:rtl w:val="true"/>
        </w:rPr>
        <w:t>אף הצטרף הנאשם כחבר בארגון טרור ובמסגרת זו</w:t>
      </w:r>
      <w:r>
        <w:rPr>
          <w:rtl w:val="true"/>
        </w:rPr>
        <w:t xml:space="preserve">, </w:t>
      </w:r>
      <w:r>
        <w:rPr>
          <w:rtl w:val="true"/>
        </w:rPr>
        <w:t>ביצע תצפיות על תנועת כוחות צה</w:t>
      </w:r>
      <w:r>
        <w:rPr>
          <w:rtl w:val="true"/>
        </w:rPr>
        <w:t>"</w:t>
      </w:r>
      <w:r>
        <w:rPr>
          <w:rtl w:val="true"/>
        </w:rPr>
        <w:t>ל על מנת שפעיל אחר בארגון יוכל לירות על 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תכנוניו של הנאשם לא צלחו לאחר שאותו פעיל נהרג</w:t>
      </w:r>
      <w:r>
        <w:rPr>
          <w:rtl w:val="true"/>
        </w:rPr>
        <w:t xml:space="preserve">, </w:t>
      </w:r>
      <w:r>
        <w:rPr>
          <w:rtl w:val="true"/>
        </w:rPr>
        <w:t>עת הניח מטען חבלה כנגד כוחות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 הדגישה</w:t>
      </w:r>
      <w:r>
        <w:rPr>
          <w:rtl w:val="true"/>
        </w:rPr>
        <w:t xml:space="preserve">, </w:t>
      </w:r>
      <w:r>
        <w:rPr>
          <w:rtl w:val="true"/>
        </w:rPr>
        <w:t>את החומרה שבעבירת מסירת ידיעות לאוייב</w:t>
      </w:r>
      <w:r>
        <w:rPr>
          <w:rtl w:val="true"/>
        </w:rPr>
        <w:t xml:space="preserve">, </w:t>
      </w:r>
      <w:r>
        <w:rPr>
          <w:rtl w:val="true"/>
        </w:rPr>
        <w:t>כאשר בכך נוטלים חלק במאמצי ארגון הטרור לפגוע בבטחון המדינה ותושביה</w:t>
      </w:r>
      <w:r>
        <w:rPr>
          <w:rtl w:val="true"/>
        </w:rPr>
        <w:t xml:space="preserve">. </w:t>
      </w:r>
      <w:r>
        <w:rPr>
          <w:rtl w:val="true"/>
        </w:rPr>
        <w:t>קל וחומר כאשר מדובר במסירת מידע לזרועות הצבאיות של ארגון טרור</w:t>
      </w:r>
      <w:r>
        <w:rPr>
          <w:rtl w:val="true"/>
        </w:rPr>
        <w:t xml:space="preserve">, </w:t>
      </w:r>
      <w:r>
        <w:rPr>
          <w:rtl w:val="true"/>
        </w:rPr>
        <w:t>כמו במקרה שבפנינו</w:t>
      </w:r>
      <w:r>
        <w:rPr>
          <w:rtl w:val="true"/>
        </w:rPr>
        <w:t xml:space="preserve">. </w:t>
      </w:r>
      <w:r>
        <w:rPr>
          <w:rtl w:val="true"/>
        </w:rPr>
        <w:t>הנאשם ידע</w:t>
      </w:r>
      <w:r>
        <w:rPr>
          <w:rtl w:val="true"/>
        </w:rPr>
        <w:t xml:space="preserve">, </w:t>
      </w:r>
      <w:r>
        <w:rPr>
          <w:rtl w:val="true"/>
        </w:rPr>
        <w:t>כי ישתמשו באינפורמציה שמסר כדי לבצע פיגועים כנגד מדינת ישראל ויש להענישו בחומרה על כך</w:t>
      </w:r>
      <w:r>
        <w:rPr>
          <w:rtl w:val="true"/>
        </w:rPr>
        <w:t xml:space="preserve">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 xml:space="preserve">קשירת הקשר של הנאשם להניח מטען חבלה במשקל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מגבשת עבירה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מן הרף העליון של קשירת קשר לרצח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שכן כאמור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הקשר הבשיל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המטען היה בידי הנאשם וחברו לפעולה והשניים ביצעו תצפיות על מנת להוציא את הפיגוע אל הפועל</w:t>
      </w:r>
      <w:r>
        <w:rPr>
          <w:b/>
          <w:bCs/>
          <w:sz w:val="22"/>
          <w:szCs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כדבריה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נוכח מעשים אלה</w:t>
      </w:r>
      <w:r>
        <w:rPr>
          <w:rtl w:val="true"/>
        </w:rPr>
        <w:t xml:space="preserve">, </w:t>
      </w:r>
      <w:r>
        <w:rPr>
          <w:rtl w:val="true"/>
        </w:rPr>
        <w:t>ביקשה התובעת להטיל על הנאשם ענישה מרתיעה ומשמעותית שתהלום את חומרת מעשיו – הן ענישה בדרך של מאסר בפועל ממושך והן בדרך של מאסר על תנאי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 טיעוניו לעונש</w:t>
      </w:r>
      <w:r>
        <w:rPr>
          <w:rtl w:val="true"/>
        </w:rPr>
        <w:t xml:space="preserve">, </w:t>
      </w:r>
      <w:r>
        <w:rPr>
          <w:rtl w:val="true"/>
        </w:rPr>
        <w:t>ציין הסנגור 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דראושה</w:t>
      </w:r>
      <w:r>
        <w:rPr>
          <w:rtl w:val="true"/>
        </w:rPr>
        <w:t xml:space="preserve">, </w:t>
      </w:r>
      <w:r>
        <w:rPr>
          <w:rtl w:val="true"/>
        </w:rPr>
        <w:t>כי הנאשם צעיר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1987</w:t>
      </w:r>
      <w:r>
        <w:rPr>
          <w:rtl w:val="true"/>
        </w:rPr>
        <w:t xml:space="preserve"> </w:t>
      </w:r>
      <w:r>
        <w:rPr>
          <w:rtl w:val="true"/>
        </w:rPr>
        <w:t>וללא כל עבר מכל סוג שהוא</w:t>
      </w:r>
      <w:r>
        <w:rPr>
          <w:rtl w:val="true"/>
        </w:rPr>
        <w:t xml:space="preserve">. </w:t>
      </w:r>
      <w:r>
        <w:rPr>
          <w:rtl w:val="true"/>
        </w:rPr>
        <w:t>מדובר במעצרו הראשון והוא הודה בפני ביהמ</w:t>
      </w:r>
      <w:r>
        <w:rPr>
          <w:rtl w:val="true"/>
        </w:rPr>
        <w:t>"</w:t>
      </w:r>
      <w:r>
        <w:rPr>
          <w:rtl w:val="true"/>
        </w:rPr>
        <w:t>ש טרם שמיעת ראיות ומטבע הדברים חסך בזמן שיפוטי יקר</w:t>
      </w:r>
      <w:r>
        <w:rPr>
          <w:rtl w:val="true"/>
        </w:rPr>
        <w:t xml:space="preserve">. </w:t>
      </w:r>
      <w:r>
        <w:rPr>
          <w:rtl w:val="true"/>
        </w:rPr>
        <w:t>הנאשם גם הודה במהלך חקירתו במשטרה</w:t>
      </w:r>
      <w:r>
        <w:rPr>
          <w:rtl w:val="true"/>
        </w:rPr>
        <w:t xml:space="preserve">, </w:t>
      </w:r>
      <w:r>
        <w:rPr>
          <w:rtl w:val="true"/>
        </w:rPr>
        <w:t>ויש על כן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שלא למצות עמו את הדין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הוסיף וציין</w:t>
      </w:r>
      <w:r>
        <w:rPr>
          <w:rtl w:val="true"/>
        </w:rPr>
        <w:t xml:space="preserve">, </w:t>
      </w:r>
      <w:r>
        <w:rPr>
          <w:rtl w:val="true"/>
        </w:rPr>
        <w:t>כי מעשי הנאשם נעשו לאחר ששוכנע על ידי אחרים לעשות כן</w:t>
      </w:r>
      <w:r>
        <w:rPr>
          <w:rtl w:val="true"/>
        </w:rPr>
        <w:t xml:space="preserve">. </w:t>
      </w:r>
      <w:r>
        <w:rPr>
          <w:rtl w:val="true"/>
        </w:rPr>
        <w:t>הוא היווה אך בורג קטן בשרשרת הביצועים הארוכה ולא היה חלק מהגרעין הקשה של אותם ארגונים המבקשים לפגוע בישראל</w:t>
      </w:r>
      <w:r>
        <w:rPr>
          <w:rtl w:val="true"/>
        </w:rPr>
        <w:t xml:space="preserve">. </w:t>
      </w:r>
      <w:r>
        <w:rPr>
          <w:rtl w:val="true"/>
        </w:rPr>
        <w:t>מעשיו היוו רק תחילת ביצוע של תכנון</w:t>
      </w:r>
      <w:r>
        <w:rPr>
          <w:rtl w:val="true"/>
        </w:rPr>
        <w:t xml:space="preserve">, </w:t>
      </w:r>
      <w:r>
        <w:rPr>
          <w:rtl w:val="true"/>
        </w:rPr>
        <w:t>כאשר אסף מידע כללי בלבד</w:t>
      </w:r>
      <w:r>
        <w:rPr>
          <w:rtl w:val="true"/>
        </w:rPr>
        <w:t xml:space="preserve">, </w:t>
      </w:r>
      <w:r>
        <w:rPr>
          <w:rtl w:val="true"/>
        </w:rPr>
        <w:t>מידע שבסופו של דבר לא תרם לפגיעה כלשהי מאחר ואותו אדם לו מסר את המידע – נהרג</w:t>
      </w:r>
      <w:r>
        <w:rPr>
          <w:rtl w:val="true"/>
        </w:rPr>
        <w:t xml:space="preserve">. </w:t>
      </w:r>
      <w:r>
        <w:rPr>
          <w:rtl w:val="true"/>
        </w:rPr>
        <w:t>גם התצפיות נשוא האישום השני לא הביאו לתוצאה כלשהי או לפגיעה מכל סוג שהוא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הוסיף וטען</w:t>
      </w:r>
      <w:r>
        <w:rPr>
          <w:rtl w:val="true"/>
        </w:rPr>
        <w:t xml:space="preserve">, </w:t>
      </w:r>
      <w:r>
        <w:rPr>
          <w:rtl w:val="true"/>
        </w:rPr>
        <w:t>כי בהתיחס לאישום הראשון</w:t>
      </w:r>
      <w:r>
        <w:rPr>
          <w:rtl w:val="true"/>
        </w:rPr>
        <w:t xml:space="preserve">, </w:t>
      </w:r>
      <w:r>
        <w:rPr>
          <w:rtl w:val="true"/>
        </w:rPr>
        <w:t>ולטענת הנאשם</w:t>
      </w:r>
      <w:r>
        <w:rPr>
          <w:rtl w:val="true"/>
        </w:rPr>
        <w:t xml:space="preserve">, </w:t>
      </w:r>
      <w:r>
        <w:rPr>
          <w:rtl w:val="true"/>
        </w:rPr>
        <w:t>הנאשם קיבל עבור מעשיו סך של כ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סכום קטן המעיד על מצבו הכלכלי הקשה ועל ניצולם של אותם גורמים מצב זה</w:t>
      </w:r>
      <w:r>
        <w:rPr>
          <w:rtl w:val="true"/>
        </w:rPr>
        <w:t xml:space="preserve">. </w:t>
      </w:r>
      <w:r>
        <w:rPr>
          <w:rtl w:val="true"/>
        </w:rPr>
        <w:t>לא היה מדובר במניע אידיאולוגי</w:t>
      </w:r>
      <w:r>
        <w:rPr>
          <w:rtl w:val="true"/>
        </w:rPr>
        <w:t xml:space="preserve">, </w:t>
      </w:r>
      <w:r>
        <w:rPr>
          <w:rtl w:val="true"/>
        </w:rPr>
        <w:t>לדברי הסנגור ועל כן הנאשם לא היווה סיכון גדול למדינת ישראל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בהערה נציין</w:t>
      </w:r>
      <w:r>
        <w:rPr>
          <w:rtl w:val="true"/>
        </w:rPr>
        <w:t xml:space="preserve">, </w:t>
      </w:r>
      <w:r>
        <w:rPr>
          <w:rtl w:val="true"/>
        </w:rPr>
        <w:t>כי התובעת הגיבה לדבריו אלה של הסנגור וטענה כי לפי אמרתו של הנאשם הוא קיבל את הכסף האמור על מעשים שאינם כלולים בכתב האישום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בשים לב לעברו הנקי של הנאשם והנסיבות שציין</w:t>
      </w:r>
      <w:r>
        <w:rPr>
          <w:rtl w:val="true"/>
        </w:rPr>
        <w:t xml:space="preserve">, </w:t>
      </w:r>
      <w:r>
        <w:rPr>
          <w:rtl w:val="true"/>
        </w:rPr>
        <w:t>ביקש הסנגור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שלא למצות את הדין עם 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 התגורר טרם מעצרו עם הוריו</w:t>
      </w:r>
      <w:r>
        <w:rPr>
          <w:rtl w:val="true"/>
        </w:rPr>
        <w:t xml:space="preserve">,  </w:t>
      </w:r>
      <w:r>
        <w:rPr>
          <w:rtl w:val="true"/>
        </w:rPr>
        <w:t>פנה לביהמ</w:t>
      </w:r>
      <w:r>
        <w:rPr>
          <w:rtl w:val="true"/>
        </w:rPr>
        <w:t>"</w:t>
      </w:r>
      <w:r>
        <w:rPr>
          <w:rtl w:val="true"/>
        </w:rPr>
        <w:t>ש וטען</w:t>
      </w:r>
      <w:r>
        <w:rPr>
          <w:rtl w:val="true"/>
        </w:rPr>
        <w:t xml:space="preserve">, </w:t>
      </w:r>
      <w:r>
        <w:rPr>
          <w:rtl w:val="true"/>
        </w:rPr>
        <w:t>כי כשנה לפני מעצרו</w:t>
      </w:r>
      <w:r>
        <w:rPr>
          <w:rtl w:val="true"/>
        </w:rPr>
        <w:t xml:space="preserve">, </w:t>
      </w:r>
      <w:r>
        <w:rPr>
          <w:rtl w:val="true"/>
        </w:rPr>
        <w:t>הפסיק את הפעילויות נשוא כתב 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כל מה שעשה היה בשביל כסף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בגלל המצב הכלכלי הקשה</w:t>
      </w:r>
      <w:r>
        <w:rPr>
          <w:b/>
          <w:bCs/>
          <w:sz w:val="22"/>
          <w:szCs w:val="22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באי כוח הצדדים הגישו פסיקה ענפה</w:t>
      </w:r>
      <w:r>
        <w:rPr>
          <w:rtl w:val="true"/>
        </w:rPr>
        <w:t xml:space="preserve">, </w:t>
      </w:r>
      <w:r>
        <w:rPr>
          <w:rtl w:val="true"/>
        </w:rPr>
        <w:t>כל אחד מהם פסיקה אשר לטעמו יש בה כדי לבסס את העמדה העונשית שביקש כי נאמץ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יש לראות בחומרה רבה את מעשיו של הנאשם</w:t>
      </w:r>
      <w:r>
        <w:rPr>
          <w:rtl w:val="true"/>
        </w:rPr>
        <w:t xml:space="preserve">. </w:t>
      </w:r>
      <w:r>
        <w:rPr>
          <w:rtl w:val="true"/>
        </w:rPr>
        <w:t>לא רק שהוא הצטרף לארגון הטרור</w:t>
      </w:r>
      <w:r>
        <w:rPr>
          <w:rtl w:val="true"/>
        </w:rPr>
        <w:t xml:space="preserve">, </w:t>
      </w:r>
      <w:r>
        <w:rPr>
          <w:rtl w:val="true"/>
        </w:rPr>
        <w:t>אלא שבמסגרת זו גם אסף מידע על תנועת כוחות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מידע שמסר לפעיל ארגון הטרור הג</w:t>
      </w:r>
      <w:r>
        <w:rPr>
          <w:rtl w:val="true"/>
        </w:rPr>
        <w:t>'</w:t>
      </w:r>
      <w:r>
        <w:rPr>
          <w:rtl w:val="true"/>
        </w:rPr>
        <w:t>יהאד האיסלאמי על מנת שיוכל לנצל אותו כדי לירות ולפגוע בחיילי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בנוסף על כך</w:t>
      </w:r>
      <w:r>
        <w:rPr>
          <w:rtl w:val="true"/>
        </w:rPr>
        <w:t xml:space="preserve">, </w:t>
      </w:r>
      <w:r>
        <w:rPr>
          <w:rtl w:val="true"/>
        </w:rPr>
        <w:t>ועוד בטרם הצטרף לאירגון הטרור</w:t>
      </w:r>
      <w:r>
        <w:rPr>
          <w:rtl w:val="true"/>
        </w:rPr>
        <w:t xml:space="preserve">, </w:t>
      </w:r>
      <w:r>
        <w:rPr>
          <w:rtl w:val="true"/>
        </w:rPr>
        <w:t>הוא אף קשר קשר עם פעיל נוסף של ארגון טרור זה</w:t>
      </w:r>
      <w:r>
        <w:rPr>
          <w:rtl w:val="true"/>
        </w:rPr>
        <w:t xml:space="preserve">, </w:t>
      </w:r>
      <w:r>
        <w:rPr>
          <w:rtl w:val="true"/>
        </w:rPr>
        <w:t>קשר אשר מטרתו הייתה להניח מטען חבלה ולפגוע בחיילי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הנאשם ושותפו לקשר ניסו לממש את מטרתם המשותפת ואף החזיקו לצורך כך במטען חבלה במשקל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וקיימו תצפיות כדי לאתר את המקום והזמן המתאימים ביותר לממש את זממם</w:t>
      </w:r>
      <w:r>
        <w:rPr>
          <w:rtl w:val="true"/>
        </w:rPr>
        <w:t xml:space="preserve">. </w:t>
      </w:r>
      <w:r>
        <w:rPr>
          <w:rtl w:val="true"/>
        </w:rPr>
        <w:t>רק בנס לא הצליח הנאשם לממש – לא את מטרותיו נשוא האישום הראשון</w:t>
      </w:r>
      <w:r>
        <w:rPr>
          <w:rtl w:val="true"/>
        </w:rPr>
        <w:t xml:space="preserve">, </w:t>
      </w:r>
      <w:r>
        <w:rPr>
          <w:rtl w:val="true"/>
        </w:rPr>
        <w:t>מאחר ופעיל הטרור לו מסר את האינפורמציה נהרג בעת שניסה להניח מטען חבלה</w:t>
      </w:r>
      <w:r>
        <w:rPr>
          <w:rtl w:val="true"/>
        </w:rPr>
        <w:t xml:space="preserve">, </w:t>
      </w:r>
      <w:r>
        <w:rPr>
          <w:rtl w:val="true"/>
        </w:rPr>
        <w:t>ואף לא את מטרותיו נשוא האישום השני</w:t>
      </w:r>
      <w:r>
        <w:rPr>
          <w:rtl w:val="true"/>
        </w:rPr>
        <w:t xml:space="preserve">, </w:t>
      </w:r>
      <w:r>
        <w:rPr>
          <w:rtl w:val="true"/>
        </w:rPr>
        <w:t>וזאת לאור נוכחותם המסיבית של חיילי צה</w:t>
      </w:r>
      <w:r>
        <w:rPr>
          <w:rtl w:val="true"/>
        </w:rPr>
        <w:t>"</w:t>
      </w:r>
      <w:r>
        <w:rPr>
          <w:rtl w:val="true"/>
        </w:rPr>
        <w:t>ל באזור בו תכננו להניח את המטען רב העוצמה שבו החזיקו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הנאשם היווה חוליה חיונית שבלעדיה לא ניתן היה לבצע פיגועים כנגד אזרחי המדינה ותושביה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בחלק מהאירועים הנאשם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התכונן לקראת פעילותו במסגרת ארגון הטרור ו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אסף מידע כדי שאחר יוכל לבצע פיגועי ירי כנגד 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אבל בארוע נשוא האישום השני הוא כבר היה פעיל עת החזיק במטען חבלה רב עצמה</w:t>
      </w:r>
      <w:r>
        <w:rPr>
          <w:rtl w:val="true"/>
        </w:rPr>
        <w:t xml:space="preserve">, </w:t>
      </w:r>
      <w:r>
        <w:rPr>
          <w:rtl w:val="true"/>
        </w:rPr>
        <w:t>ביחד עם אחר ושוב עשה פעולות על מנת לממש את רצונו להטמין את מטען החבלה ולהפעילו נגד 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 שביצע הנאשם הן בנפשנו והן נוגעות לעצם קיומה של מדינת ישראל ולבטחונם של אזרחיה</w:t>
      </w:r>
      <w:r>
        <w:rPr>
          <w:rtl w:val="true"/>
        </w:rPr>
        <w:t xml:space="preserve">, </w:t>
      </w:r>
      <w:r>
        <w:rPr>
          <w:rtl w:val="true"/>
        </w:rPr>
        <w:t>תושביה וחייליה</w:t>
      </w:r>
      <w:r>
        <w:rPr>
          <w:rtl w:val="true"/>
        </w:rPr>
        <w:t xml:space="preserve">. </w:t>
      </w:r>
      <w:r>
        <w:rPr>
          <w:rtl w:val="true"/>
        </w:rPr>
        <w:t>אל לנו לשכוח שאנו מצויים בתקופה שהיא עקובה מדם</w:t>
      </w:r>
      <w:r>
        <w:rPr>
          <w:rtl w:val="true"/>
        </w:rPr>
        <w:t xml:space="preserve">, </w:t>
      </w:r>
      <w:r>
        <w:rPr>
          <w:rtl w:val="true"/>
        </w:rPr>
        <w:t>וגם בתי המשפט מצווים לנקוט כל אמצעי אשר לעיל ידם כדי לצמצם את היקפם של מעשי הטרור</w:t>
      </w:r>
      <w:r>
        <w:rPr>
          <w:rtl w:val="true"/>
        </w:rPr>
        <w:t xml:space="preserve">. </w:t>
      </w:r>
      <w:r>
        <w:rPr>
          <w:rtl w:val="true"/>
        </w:rPr>
        <w:t>עלינו לצאת במלחמת חורמה כנגד פעולות הטרור</w:t>
      </w:r>
      <w:r>
        <w:rPr>
          <w:rtl w:val="true"/>
        </w:rPr>
        <w:t xml:space="preserve">, </w:t>
      </w:r>
      <w:r>
        <w:rPr>
          <w:rtl w:val="true"/>
        </w:rPr>
        <w:t>ובזירה המשפטית על ביהמ</w:t>
      </w:r>
      <w:r>
        <w:rPr>
          <w:rtl w:val="true"/>
        </w:rPr>
        <w:t>"</w:t>
      </w:r>
      <w:r>
        <w:rPr>
          <w:rtl w:val="true"/>
        </w:rPr>
        <w:t xml:space="preserve">ש לעשות כמיטב יכולתו כדי לשבור את </w:t>
      </w:r>
      <w:r>
        <w:rPr>
          <w:rtl w:val="true"/>
        </w:rPr>
        <w:t>"</w:t>
      </w:r>
      <w:r>
        <w:rPr>
          <w:rtl w:val="true"/>
        </w:rPr>
        <w:t>שרשרת המוות</w:t>
      </w:r>
      <w:r>
        <w:rPr>
          <w:rtl w:val="true"/>
        </w:rPr>
        <w:t xml:space="preserve">", </w:t>
      </w:r>
      <w:r>
        <w:rPr>
          <w:rtl w:val="true"/>
        </w:rPr>
        <w:t xml:space="preserve">כל חוליה וחוליה שבה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ר</w:t>
      </w:r>
      <w:r>
        <w:rPr>
          <w:szCs w:val="20"/>
          <w:rtl w:val="true"/>
        </w:rPr>
        <w:t xml:space="preserve">' </w:t>
      </w:r>
      <w:hyperlink r:id="rId15">
        <w:r>
          <w:rPr>
            <w:rStyle w:val="Hyperlink"/>
            <w:szCs w:val="20"/>
            <w:rtl w:val="true"/>
          </w:rPr>
          <w:t>ת</w:t>
        </w:r>
        <w:r>
          <w:rPr>
            <w:rStyle w:val="Hyperlink"/>
            <w:szCs w:val="20"/>
            <w:rtl w:val="true"/>
          </w:rPr>
          <w:t>"</w:t>
        </w:r>
        <w:r>
          <w:rPr>
            <w:rStyle w:val="Hyperlink"/>
            <w:szCs w:val="20"/>
            <w:rtl w:val="true"/>
          </w:rPr>
          <w:t xml:space="preserve">פ </w:t>
        </w:r>
        <w:r>
          <w:rPr>
            <w:rStyle w:val="Hyperlink"/>
            <w:szCs w:val="20"/>
            <w:rtl w:val="true"/>
          </w:rPr>
          <w:t>(</w:t>
        </w:r>
        <w:r>
          <w:rPr>
            <w:rStyle w:val="Hyperlink"/>
            <w:szCs w:val="20"/>
            <w:rtl w:val="true"/>
          </w:rPr>
          <w:t>חיפה</w:t>
        </w:r>
        <w:r>
          <w:rPr>
            <w:rStyle w:val="Hyperlink"/>
            <w:szCs w:val="20"/>
            <w:rtl w:val="true"/>
          </w:rPr>
          <w:t xml:space="preserve">) </w:t>
        </w:r>
        <w:r>
          <w:rPr>
            <w:rStyle w:val="Hyperlink"/>
            <w:szCs w:val="20"/>
          </w:rPr>
          <w:t>189/03</w:t>
        </w:r>
      </w:hyperlink>
      <w:r>
        <w:rPr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מדינת ישראל נ</w:t>
      </w:r>
      <w:r>
        <w:rPr>
          <w:b/>
          <w:bCs/>
          <w:szCs w:val="20"/>
          <w:rtl w:val="true"/>
        </w:rPr>
        <w:t xml:space="preserve">' </w:t>
      </w:r>
      <w:r>
        <w:rPr>
          <w:b/>
          <w:b/>
          <w:bCs/>
          <w:szCs w:val="20"/>
          <w:rtl w:val="true"/>
        </w:rPr>
        <w:t>רג</w:t>
      </w:r>
      <w:r>
        <w:rPr>
          <w:b/>
          <w:bCs/>
          <w:szCs w:val="20"/>
          <w:rtl w:val="true"/>
        </w:rPr>
        <w:t>'</w:t>
      </w:r>
      <w:r>
        <w:rPr>
          <w:b/>
          <w:b/>
          <w:bCs/>
          <w:szCs w:val="20"/>
          <w:rtl w:val="true"/>
        </w:rPr>
        <w:t>בי</w:t>
      </w:r>
      <w:r>
        <w:rPr>
          <w:b/>
          <w:bCs/>
          <w:szCs w:val="20"/>
          <w:rtl w:val="true"/>
        </w:rPr>
        <w:t>,</w:t>
      </w:r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תק</w:t>
      </w:r>
      <w:r>
        <w:rPr>
          <w:szCs w:val="20"/>
          <w:rtl w:val="true"/>
        </w:rPr>
        <w:t>'-</w:t>
      </w:r>
      <w:r>
        <w:rPr>
          <w:szCs w:val="20"/>
          <w:rtl w:val="true"/>
        </w:rPr>
        <w:t>מח</w:t>
      </w:r>
      <w:r>
        <w:rPr>
          <w:szCs w:val="20"/>
          <w:rtl w:val="true"/>
        </w:rPr>
        <w:t xml:space="preserve">' </w:t>
      </w:r>
      <w:r>
        <w:rPr>
          <w:szCs w:val="20"/>
        </w:rPr>
        <w:t>2004</w:t>
      </w:r>
      <w:r>
        <w:rPr>
          <w:szCs w:val="20"/>
          <w:rtl w:val="true"/>
        </w:rPr>
        <w:t>(</w:t>
      </w:r>
      <w:r>
        <w:rPr>
          <w:szCs w:val="20"/>
        </w:rPr>
        <w:t>1</w:t>
      </w:r>
      <w:r>
        <w:rPr>
          <w:szCs w:val="20"/>
          <w:rtl w:val="true"/>
        </w:rPr>
        <w:t>)</w:t>
      </w:r>
      <w:r>
        <w:rPr>
          <w:szCs w:val="20"/>
        </w:rPr>
        <w:t>873</w:t>
      </w:r>
      <w:r>
        <w:rPr>
          <w:szCs w:val="20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ab/>
      </w:r>
      <w:r>
        <w:rPr>
          <w:rtl w:val="true"/>
        </w:rPr>
        <w:t>לא היווה חוליה שולית באירועים נשוא כתב האישום – לא באירועים נשוא האישום הראשון ובוודאי שלא באירועים נשוא האישום השני</w:t>
      </w:r>
      <w:r>
        <w:rPr>
          <w:rtl w:val="true"/>
        </w:rPr>
        <w:t xml:space="preserve">. </w:t>
      </w:r>
      <w:r>
        <w:rPr>
          <w:rtl w:val="true"/>
        </w:rPr>
        <w:t>איסוף המידע על מנת ששאדי יוכל לבצע פיגועים כנגד 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ההצטרפות כחבר בארגון טרור והניסיון</w:t>
      </w:r>
      <w:r>
        <w:rPr>
          <w:rtl w:val="true"/>
        </w:rPr>
        <w:t xml:space="preserve">, </w:t>
      </w:r>
      <w:r>
        <w:rPr>
          <w:rtl w:val="true"/>
        </w:rPr>
        <w:t>תוך קשירת קשר</w:t>
      </w:r>
      <w:r>
        <w:rPr>
          <w:rtl w:val="true"/>
        </w:rPr>
        <w:t xml:space="preserve">, </w:t>
      </w:r>
      <w:r>
        <w:rPr>
          <w:rtl w:val="true"/>
        </w:rPr>
        <w:t>להטמין מטען חבלה רב עצמה</w:t>
      </w:r>
      <w:r>
        <w:rPr>
          <w:rtl w:val="true"/>
        </w:rPr>
        <w:t xml:space="preserve">, </w:t>
      </w:r>
      <w:r>
        <w:rPr>
          <w:rtl w:val="true"/>
        </w:rPr>
        <w:t>תוך סיוע לארגון טרור אשר שם לו כמטרה לפגוע באזרחי המדינה</w:t>
      </w:r>
      <w:r>
        <w:rPr>
          <w:rtl w:val="true"/>
        </w:rPr>
        <w:t xml:space="preserve">, </w:t>
      </w:r>
      <w:r>
        <w:rPr>
          <w:rtl w:val="true"/>
        </w:rPr>
        <w:t>אינם מעשים של מה בכך</w:t>
      </w:r>
      <w:r>
        <w:rPr>
          <w:rtl w:val="true"/>
        </w:rPr>
        <w:t xml:space="preserve">. </w:t>
      </w:r>
      <w:r>
        <w:rPr>
          <w:rtl w:val="true"/>
        </w:rPr>
        <w:t>אכן מטען החבלה לא הונח בסופו של דבר</w:t>
      </w:r>
      <w:r>
        <w:rPr>
          <w:rtl w:val="true"/>
        </w:rPr>
        <w:t xml:space="preserve">, </w:t>
      </w:r>
      <w:r>
        <w:rPr>
          <w:rtl w:val="true"/>
        </w:rPr>
        <w:t>אך הדבר לא היה בשל חרטה פנימית של הנאשם</w:t>
      </w:r>
      <w:r>
        <w:rPr>
          <w:rtl w:val="true"/>
        </w:rPr>
        <w:t xml:space="preserve">, </w:t>
      </w:r>
      <w:r>
        <w:rPr>
          <w:rtl w:val="true"/>
        </w:rPr>
        <w:t>אלא כיוון שאובייקטיבית לא הצליח לבצע את זממו יחד עם שותפו לקשר</w:t>
      </w:r>
      <w:r>
        <w:rPr>
          <w:rtl w:val="true"/>
        </w:rPr>
        <w:t xml:space="preserve">. </w:t>
      </w:r>
      <w:r>
        <w:rPr>
          <w:rtl w:val="true"/>
        </w:rPr>
        <w:t>רבים היו עלולים להיפגע כפועל יוצא ממעשיו של הנאשם וחבריו ולכן</w:t>
      </w:r>
      <w:r>
        <w:rPr>
          <w:rtl w:val="true"/>
        </w:rPr>
        <w:t xml:space="preserve">, </w:t>
      </w:r>
      <w:r>
        <w:rPr>
          <w:rtl w:val="true"/>
        </w:rPr>
        <w:t>בענישתו</w:t>
      </w:r>
      <w:r>
        <w:rPr>
          <w:rtl w:val="true"/>
        </w:rPr>
        <w:t xml:space="preserve">, </w:t>
      </w:r>
      <w:r>
        <w:rPr>
          <w:rtl w:val="true"/>
        </w:rPr>
        <w:t>יש להעביר מסר מתאים גם לציבור בכללותו וגם לנאשם עצמו</w:t>
      </w:r>
      <w:r>
        <w:rPr>
          <w:rtl w:val="true"/>
        </w:rPr>
        <w:t xml:space="preserve">,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 לא יקל ראש עם מעשים שכאלה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עלינו להתחשב בהודאתו של הנאשם ובנסיבותיו האישיות ובעיקר בגילו הצעיר ובכך שאין לו הרשעות קודמות וכי הביע חרטה על מעשיו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נוכח כל האמור לעיל אנו גוזרים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המעצר – </w:t>
      </w:r>
      <w:r>
        <w:rPr/>
        <w:t>22/5/08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והתנאי שהנאשם לא יעבור כל עבירה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 היום 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ט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ביולי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 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54678313-1122/08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07"/>
        <w:gridCol w:w="493"/>
        <w:gridCol w:w="2103"/>
        <w:gridCol w:w="530"/>
        <w:gridCol w:w="2261"/>
      </w:tblGrid>
      <w:tr>
        <w:trPr/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 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ואגו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u w:val="single"/>
        </w:rPr>
      </w:pPr>
      <w:r>
        <w:rPr>
          <w:rFonts w:cs="David"/>
          <w:color w:val="000000"/>
          <w:rtl w:val="true"/>
        </w:rPr>
        <w:t>הודעה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למנויים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על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עריכה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ושינויים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במסמכי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פסיקה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חקיקה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ועוד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באתר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נבו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 xml:space="preserve">- </w:t>
      </w:r>
      <w:r>
        <w:rPr>
          <w:rFonts w:cs="David"/>
          <w:color w:val="000000"/>
          <w:rtl w:val="true"/>
        </w:rPr>
        <w:t>הקש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rFonts w:cs="David"/>
          <w:color w:val="0000FF"/>
          <w:u w:val="single"/>
        </w:rPr>
      </w:pPr>
      <w:r>
        <w:rPr>
          <w:rFonts w:cs="David"/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/Users/liorb/Downloads/study2025-p2/m08001122.doc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1122/08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סבת אכרם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Arial" w:hAnsi="Arial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DocumentMap">
    <w:name w:val="Document Map"/>
    <w:basedOn w:val="Normal"/>
    <w:qFormat/>
    <w:pPr>
      <w:shd w:fill="000080" w:val="clear"/>
      <w:ind w:hanging="0" w:start="0" w:end="0"/>
      <w:jc w:val="both"/>
    </w:pPr>
    <w:rPr>
      <w:rFonts w:ascii="Tahoma" w:hAnsi="Tahoma" w:cs="Tahoma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1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2515" TargetMode="External"/><Relationship Id="rId7" Type="http://schemas.openxmlformats.org/officeDocument/2006/relationships/hyperlink" Target="http://www.nevo.co.il/law/72515/3" TargetMode="External"/><Relationship Id="rId8" Type="http://schemas.openxmlformats.org/officeDocument/2006/relationships/hyperlink" Target="http://www.nevo.co.il/law/70301/11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2515/3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case/2234097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2016-07-25T14:27:00Z</dcterms:created>
  <dc:creator> </dc:creator>
  <dc:description/>
  <cp:keywords/>
  <dc:language>en-IL</dc:language>
  <cp:lastModifiedBy>run</cp:lastModifiedBy>
  <dcterms:modified xsi:type="dcterms:W3CDTF">2016-07-25T14:27:00Z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סבת אכרם</vt:lpwstr>
  </property>
  <property fmtid="{D5CDD505-2E9C-101B-9397-08002B2CF9AE}" pid="4" name="CASESLISTTMP1">
    <vt:lpwstr>2234097</vt:lpwstr>
  </property>
  <property fmtid="{D5CDD505-2E9C-101B-9397-08002B2CF9AE}" pid="5" name="CITY">
    <vt:lpwstr>ב"ש</vt:lpwstr>
  </property>
  <property fmtid="{D5CDD505-2E9C-101B-9397-08002B2CF9AE}" pid="6" name="DATE">
    <vt:lpwstr>20090712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יפה כ#ץ;ו. מרוז;א. ואגו</vt:lpwstr>
  </property>
  <property fmtid="{D5CDD505-2E9C-101B-9397-08002B2CF9AE}" pid="10" name="LAWLISTTMP1">
    <vt:lpwstr>70301/111;499.a.1;144.a</vt:lpwstr>
  </property>
  <property fmtid="{D5CDD505-2E9C-101B-9397-08002B2CF9AE}" pid="11" name="LAWLISTTMP2">
    <vt:lpwstr>72515/003</vt:lpwstr>
  </property>
  <property fmtid="{D5CDD505-2E9C-101B-9397-08002B2CF9AE}" pid="12" name="LAWYER">
    <vt:lpwstr>מורן גז;פמ#ד;דראושה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1122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m08001122 htm</vt:lpwstr>
  </property>
  <property fmtid="{D5CDD505-2E9C-101B-9397-08002B2CF9AE}" pid="37" name="TYPE">
    <vt:lpwstr>2</vt:lpwstr>
  </property>
  <property fmtid="{D5CDD505-2E9C-101B-9397-08002B2CF9AE}" pid="38" name="TYPE_ABS_DATE">
    <vt:lpwstr>390020090712</vt:lpwstr>
  </property>
  <property fmtid="{D5CDD505-2E9C-101B-9397-08002B2CF9AE}" pid="39" name="TYPE_N_DATE">
    <vt:lpwstr>39020090712</vt:lpwstr>
  </property>
  <property fmtid="{D5CDD505-2E9C-101B-9397-08002B2CF9AE}" pid="40" name="VOLUME">
    <vt:lpwstr/>
  </property>
  <property fmtid="{D5CDD505-2E9C-101B-9397-08002B2CF9AE}" pid="41" name="WORDNUMPAGES">
    <vt:lpwstr>6</vt:lpwstr>
  </property>
</Properties>
</file>