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bookmarkStart w:id="0" w:name="צד_ג"/>
      <w:bookmarkEnd w:id="0"/>
      <w:r>
        <w:rPr>
          <w:rFonts w:ascii="Arial" w:hAnsi="Arial" w:cs="Arial"/>
          <w:b/>
          <w:b/>
          <w:bCs/>
          <w:szCs w:val="32"/>
          <w:rtl w:val="true"/>
        </w:rPr>
        <w:t>בתי המשפט</w:t>
      </w:r>
      <w:r>
        <w:rPr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33"/>
        <w:gridCol w:w="4281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בית משפט מחוזי באר 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פח </w:t>
            </w:r>
            <w:r>
              <w:rPr>
                <w:rFonts w:cs="Arial" w:ascii="Arial" w:hAnsi="Arial"/>
                <w:b/>
                <w:bCs/>
                <w:sz w:val="24"/>
              </w:rPr>
              <w:t>001131/05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color w:val="000000"/>
                <w:sz w:val="24"/>
                <w:sz w:val="24"/>
                <w:rtl w:val="true"/>
              </w:rPr>
              <w:t xml:space="preserve">פח  </w:t>
            </w:r>
            <w:r>
              <w:rPr>
                <w:rFonts w:cs="Arial" w:ascii="Arial" w:hAnsi="Arial"/>
                <w:b/>
                <w:bCs/>
                <w:color w:val="000000"/>
                <w:sz w:val="24"/>
              </w:rPr>
              <w:t>001132/05</w:t>
            </w:r>
          </w:p>
        </w:tc>
      </w:tr>
      <w:tr>
        <w:trPr>
          <w:trHeight w:val="286" w:hRule="atLeast"/>
        </w:trPr>
        <w:tc>
          <w:tcPr>
            <w:tcW w:w="13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rFonts w:ascii="Arial" w:hAnsi="Arial" w:cs="Arial"/>
                <w:b/>
                <w:bCs/>
                <w:sz w:val="24"/>
              </w:rPr>
            </w:pPr>
            <w:bookmarkStart w:id="1" w:name="LastJudge"/>
            <w:bookmarkEnd w:id="1"/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בפני הרכב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2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spacing w:lineRule="auto" w:line="24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כב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השופטת ר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יפה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כ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ץ </w:t>
            </w:r>
            <w:r>
              <w:rPr>
                <w:rFonts w:cs="Arial" w:ascii="Arial" w:hAnsi="Arial"/>
                <w:rtl w:val="true"/>
              </w:rPr>
              <w:t xml:space="preserve">- </w:t>
            </w:r>
            <w:r>
              <w:rPr>
                <w:rFonts w:ascii="Arial" w:hAnsi="Arial" w:cs="Arial"/>
                <w:rtl w:val="true"/>
              </w:rPr>
              <w:t>אב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</w:p>
          <w:p>
            <w:pPr>
              <w:pStyle w:val="Heading4"/>
              <w:spacing w:lineRule="auto" w:line="24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כב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השופטת ו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 xml:space="preserve">מרוז </w:t>
            </w:r>
          </w:p>
          <w:p>
            <w:pPr>
              <w:pStyle w:val="Heading4"/>
              <w:spacing w:lineRule="auto" w:line="24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כב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השופט א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ואגו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  <w:rtl w:val="true"/>
              </w:rPr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  <w:t>27/12/2007</w:t>
            </w:r>
          </w:p>
        </w:tc>
      </w:tr>
    </w:tbl>
    <w:p>
      <w:pPr>
        <w:pStyle w:val="Header"/>
        <w:spacing w:lineRule="auto" w:line="240"/>
        <w:ind w:end="0"/>
        <w:jc w:val="start"/>
        <w:rPr>
          <w:rFonts w:ascii="Arial" w:hAnsi="Arial" w:cs="Arial"/>
          <w:szCs w:val="20"/>
        </w:rPr>
      </w:pPr>
      <w:r>
        <w:rPr>
          <w:rFonts w:cs="Arial" w:ascii="Arial" w:hAnsi="Arial"/>
          <w:szCs w:val="20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237"/>
        <w:gridCol w:w="458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מדינת 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4" w:name="FirstLawyer"/>
            <w:bookmarkStart w:id="5" w:name="בא_כוח_א"/>
            <w:bookmarkStart w:id="6" w:name="FirstLawyer"/>
            <w:bookmarkStart w:id="7" w:name="בא_כוח_א"/>
            <w:bookmarkEnd w:id="6"/>
            <w:bookmarkEnd w:id="7"/>
          </w:p>
        </w:tc>
        <w:tc>
          <w:tcPr>
            <w:tcW w:w="23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  <w:tc>
          <w:tcPr>
            <w:tcW w:w="4583" w:type="dxa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על ידי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חלפון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פמ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napToGrid w:val="false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Style11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  ג  ד</w:t>
            </w:r>
          </w:p>
          <w:p>
            <w:pPr>
              <w:pStyle w:val="Style11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8" w:name="שם_ב"/>
            <w:bookmarkStart w:id="9" w:name="שם_ב"/>
            <w:bookmarkEnd w:id="9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נג</w:t>
            </w:r>
            <w:r>
              <w:rPr>
                <w:rFonts w:cs="Arial" w:ascii="Arial" w:hAnsi="Arial"/>
                <w:rtl w:val="true"/>
              </w:rPr>
              <w:t>'</w:t>
            </w:r>
            <w:r>
              <w:rPr>
                <w:rFonts w:ascii="Arial" w:hAnsi="Arial" w:cs="Arial"/>
                <w:rtl w:val="true"/>
              </w:rPr>
              <w:t>אר סעיד</w:t>
            </w:r>
          </w:p>
          <w:p>
            <w:pPr>
              <w:pStyle w:val="Style11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אל קון אחמד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10" w:name="בא_כוח_ב"/>
            <w:bookmarkStart w:id="11" w:name="בא_כוח_ב"/>
            <w:bookmarkEnd w:id="11"/>
          </w:p>
        </w:tc>
        <w:tc>
          <w:tcPr>
            <w:tcW w:w="23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  <w:tc>
          <w:tcPr>
            <w:tcW w:w="4583" w:type="dxa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על ידי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קעואר פידא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07-04-2011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1465/08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סעיד נג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אר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שרף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ל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חביב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ל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צמל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דיון בהסכמה </w:t>
      </w:r>
    </w:p>
    <w:p>
      <w:pPr>
        <w:pStyle w:val="Normal"/>
        <w:ind w:end="0"/>
        <w:jc w:val="start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2" w:name="Links_Start"/>
      <w:bookmarkStart w:id="13" w:name="Links_Start"/>
      <w:bookmarkEnd w:id="13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07-04-2011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1465/08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סעיד נג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אר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שרף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ל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חביב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ל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צמל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דיון בהסכמה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לפסק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11-04-2011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1465/08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סעיד נג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אר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ובראן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י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דנציגר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יעל שרף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לביב חביב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לאה  צמל </w:t>
      </w:r>
    </w:p>
    <w:p>
      <w:pPr>
        <w:pStyle w:val="Normal"/>
        <w:ind w:end="0"/>
        <w:jc w:val="start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  <w:bookmarkStart w:id="14" w:name="Links_End"/>
      <w:bookmarkStart w:id="15" w:name="Links_End"/>
      <w:bookmarkEnd w:id="15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6" w:name="Links_Start"/>
      <w:bookmarkStart w:id="17" w:name="LawTable"/>
      <w:bookmarkStart w:id="18" w:name="Links_Start"/>
      <w:bookmarkStart w:id="19" w:name="LawTable"/>
      <w:bookmarkEnd w:id="18"/>
      <w:bookmarkEnd w:id="1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פקודת מניעת טרור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  <w:bookmarkStart w:id="20" w:name="LawTable_End"/>
      <w:bookmarkStart w:id="21" w:name="LawTable_End"/>
      <w:bookmarkEnd w:id="21"/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22" w:name="צד_ג"/>
      <w:bookmarkStart w:id="23" w:name="PsakDin"/>
      <w:bookmarkStart w:id="24" w:name="סוג_מסמך"/>
      <w:bookmarkEnd w:id="22"/>
      <w:bookmarkEnd w:id="23"/>
      <w:bookmarkEnd w:id="24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bookmarkStart w:id="25" w:name="PsakDin"/>
      <w:bookmarkEnd w:id="25"/>
      <w:r>
        <w:rPr>
          <w:rFonts w:ascii="Arial" w:hAnsi="Arial" w:cs="Arial"/>
          <w:b/>
          <w:b/>
          <w:bCs/>
          <w:u w:val="single"/>
          <w:rtl w:val="true"/>
        </w:rPr>
        <w:t>כב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השופטת ר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</w:rPr>
        <w:t>יפה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ascii="Arial" w:hAnsi="Arial" w:cs="Arial"/>
          <w:b/>
          <w:b/>
          <w:bCs/>
          <w:u w:val="single"/>
          <w:rtl w:val="true"/>
        </w:rPr>
        <w:t>כ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ץ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אב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ד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הסדר טיעון שנערך בין הצדדים אוחדו הדיונים בשני התיקים שבכותרת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הוגש כתב אישום מתוקן בעניינם של שני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הודו בעובדות שבכתב האישום המתוקן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והורשעו בהתאם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היה הסדר לעניין העונש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ind w:start="720" w:end="0"/>
        <w:jc w:val="both"/>
        <w:rPr/>
      </w:pPr>
      <w:bookmarkStart w:id="26" w:name="ABSTRACT_START"/>
      <w:bookmarkEnd w:id="26"/>
      <w:r>
        <w:rPr>
          <w:rFonts w:ascii="Arial" w:hAnsi="Arial" w:cs="Arial"/>
          <w:b/>
          <w:b/>
          <w:bCs/>
          <w:rtl w:val="true"/>
        </w:rPr>
        <w:t xml:space="preserve">במסגרת האישום הראשון המתייחס לנאשם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הודה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במהלך חודש מאי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נפגש בביתו שברפיח עם אחמד אלו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זלוף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אחמד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ועם אחמד עסא המכונה עבד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חכים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עבד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חכים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שהינם חברי ארגון החמא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ארגון שהוכרז כארגון טרוריסטי </w:t>
      </w:r>
      <w:bookmarkStart w:id="27" w:name="ABSTRACT_END"/>
      <w:bookmarkEnd w:id="27"/>
      <w:r>
        <w:rPr>
          <w:rFonts w:ascii="Arial" w:hAnsi="Arial" w:cs="Arial"/>
          <w:rtl w:val="true"/>
        </w:rPr>
        <w:t xml:space="preserve">בהכרזה מיום </w:t>
      </w:r>
      <w:r>
        <w:rPr>
          <w:rFonts w:cs="Arial" w:ascii="Arial" w:hAnsi="Arial"/>
        </w:rPr>
        <w:t>22/6/89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הארגון</w:t>
      </w:r>
      <w:r>
        <w:rPr>
          <w:rFonts w:cs="Arial" w:ascii="Arial" w:hAnsi="Arial"/>
          <w:rtl w:val="true"/>
        </w:rPr>
        <w:t xml:space="preserve">").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אחמד ועבד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חכים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נשלחו אליו על ידי פתחי וביקשו את עזרתו לקבלת מידע על חוף הרחצה באזור המואסי לצורך בדיקת אפשרות לבצע פיגוע שנועד לפגוע בבטחון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אחמד ועבד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חכים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הציגו לנאשם תרשים שהוכן על ידי פתחי של חוף הרחצה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הכיר את חוף הרחצה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הסביר לאחמד ולעבד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חכים על מבנה המקום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הזמינו השניים את הנאשם לביתו של עבד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חכים שברפיח ושם נפגשו כולם עם שני פעילים של ארגון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יהד האיסלמי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גם ארגון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יהד האיסמלי הוכרז בתאריך </w:t>
      </w:r>
      <w:r>
        <w:rPr>
          <w:rFonts w:cs="Arial" w:ascii="Arial" w:hAnsi="Arial"/>
        </w:rPr>
        <w:t>22/6/89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כארגון טרוריסטי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אשר היו אמורים להשתתף בפיגוע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בביתו של עבד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חכים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מסר הנאשם לאחמד ולעבד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חכים ולשני פעילי ארגון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יהד האיסלמי מידע על חוף הרחצה במואסי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שהוא נעזר בתרשים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על מנת שיוכלו לבדוק אפשרות לבצע פיגוע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והכל במטרה לפגוע בבטחון המדינה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היות ובמעשיו אלה נתן הנאשם שרות להתאחדות בלתי מותרת כדי לפגוע בבטחון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הורשע בעבירה של מתן שרות להתאחדות בלתי מותרת לפי סעיף   </w:t>
      </w:r>
      <w:r>
        <w:rPr>
          <w:rFonts w:cs="Arial" w:ascii="Arial" w:hAnsi="Arial"/>
        </w:rPr>
        <w:t>85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color w:val="000000"/>
          <w:rtl w:val="true"/>
        </w:rPr>
        <w:t>תקנות ההגנה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שעת חרום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1945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במסגרת האישום השני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המיוחס אף הוא לנאשם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הודה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בתאריך </w:t>
      </w:r>
      <w:r>
        <w:rPr>
          <w:rFonts w:cs="Arial" w:ascii="Arial" w:hAnsi="Arial"/>
        </w:rPr>
        <w:t>22/9/05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פנה אליו חסן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נג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אר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חסן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והציע לו לעסוק יחד איתו בהברחת רובים מסוג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 ממצריים לרצועת עזה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נעתר להצעה וקשר עם חסן קשר להבריח כלי נשק ממצריים לרצועת עזה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הקשר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ולשם קידומו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הפליגו הנאשם וחסן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23/9/05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בסירתו של חסן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לאזור חוף ימית שבמצריים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ירדו לחוף ושם נפגשו עם אדם בשם יוסף אלרמילי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תושב מצריים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יוסף אלרמילי מסר לחסן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במצריים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רובי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ובמסגרת הקשר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העבירו חסן והנאשם את הרובים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בסירתו של חסן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לרפיח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ושם מסר חסן את הרובים לתושב רפיח בשם עארף אשאער המכונה 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חמדי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היות ובמעשיו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הוביל הנאשם נשק והיות ובמעשים אלה יש כדי לסכן חיי אזרחים ישראליים ותושבי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הורשע בביצוע 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הובלת נשק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רישא ל</w:t>
      </w:r>
      <w:hyperlink r:id="rId7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במסגרת האישום השלישי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המיוחס לשני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הודו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במועד סמוך ליום </w:t>
      </w:r>
      <w:r>
        <w:rPr>
          <w:rFonts w:cs="Arial" w:ascii="Arial" w:hAnsi="Arial"/>
        </w:rPr>
        <w:t>12/9/05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קשר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קשר עם חסן ועם אחרים וביניהם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להבריח ממצריים לרצועת עזה את קרוב משפחתו של אחד הקושרים בשם אחמד 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חתלה המכונה 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חמיד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קרוב המשפחה הוא עבדאללה 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חתלה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קשרו קשר להבריח כלי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במסגרת הקשר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ולשם קידומו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הפליגו הנאשמים בסירה מרפיח לחוף ימית בסיני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שבתחום מצריים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ושם פגשו את עבדאללה 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חתלה ואת יוסף אלרמילי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אלרמילי מסר לנאשמים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רובים מסוג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 והם הפליגו מחוף מצריים לחוף רפיח שברצועת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עמם עבדאללה 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חתלה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הרובים האמורים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ברפיח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מסרו הנאשמים את הרובים לאבו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חמיד ולשותפו 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תאופיק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היות ובמעשיהם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הובילו הנאשמים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מעשים שיש בהם כדי לסכן חיי אזרחים ישראליים ויש בהם כדי לפגוע בבטחון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הם הורשעו בביצוע 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הובלת נשק</w:t>
      </w:r>
      <w:r>
        <w:rPr>
          <w:rFonts w:cs="Arial" w:ascii="Arial" w:hAnsi="Arial"/>
          <w:rtl w:val="true"/>
        </w:rPr>
        <w:t xml:space="preserve">) – 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רישא ל</w:t>
      </w:r>
      <w:hyperlink r:id="rId8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במסגרת האישום הרביעי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המיוחס לשני הנאשמים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הודו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במסגרת הקשר המצויין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הם יצאו בתאריך </w:t>
      </w:r>
      <w:r>
        <w:rPr>
          <w:rFonts w:cs="Arial" w:ascii="Arial" w:hAnsi="Arial"/>
        </w:rPr>
        <w:t>30/11/05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18:00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דרך הים מרפיח למצריים כדי להביא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כשהגיעו למצריים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הודיע להם אלרמילי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במקום פועלת המשטרה המצרית ולכן החליטו הנאשמים לחזור חזרה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בדרכם חזרה ובהיותם 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בסביבות השעה </w:t>
      </w:r>
      <w:r>
        <w:rPr>
          <w:rFonts w:cs="Arial" w:ascii="Arial" w:hAnsi="Arial"/>
        </w:rPr>
        <w:t>21:30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נתפסו הנאשמים על ידי חיל הים הישראלי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היות ובמעשיהם אלה ניסו הנאשמים להוביל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מעשים שיש בהם כדי לסכן חיי אזרחים ישראליים ויש בהם כדי לסכן את בטחון המדינה וסדרי המשטר 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הם הורשעו בעבירות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נסיון להובלת נשק</w:t>
      </w:r>
      <w:r>
        <w:rPr>
          <w:rFonts w:cs="Arial" w:ascii="Arial" w:hAnsi="Arial"/>
          <w:rtl w:val="true"/>
        </w:rPr>
        <w:t xml:space="preserve">), 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רישא בצרוף סעיף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 xml:space="preserve">במסגרת האישום החמישי המיוחס לנאשם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הודה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במהלך חודש אוגוסט או ספטמבר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פנה אליו פעיל ארגון החמא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בשם נעים חסונה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והציע לו להצטרף לארגון ולהשתתף בפעולותיו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נענה להצעתו של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והצטרף לארגון ואף קשר עם חסונה קשר להשתתף בפעילות הארגון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קשר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תלה הנאשם דגלים של ארגון החמא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ודגלי פלשתין במהלך מערכת הבחירות לעיריית רפיח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היות ובמעשיו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היה חבר בארגון טרוריסטי ובכך פגע בבטחון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הורשע בביצוע עבירה של חברות בארגון טרוריסטי לפי סעיף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rtl w:val="true"/>
          </w:rPr>
          <w:t>פקודת מניעת טרור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טיעוניה לעונש עמדה התובעת המלומדה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חלפון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החומרה הרבה שבמעשי 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פרטה באריכות את כל העבירות שביצעו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ביחד ואם לחוד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וסברה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מעשים אלה מצדיקים ענישה חמורה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 התובעת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מאמצי הסיכול של כוחות הבטחון בנוגע להברחת כלי נשק דרך הים הם רבים – הן באמצעים והן בכוח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באופן אינהרנטי קיימת מורכבות לאתר את ההברחות האלה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מדובר ברצועת חוף ארוכה ממנה יוצאים המבריחים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הסיכוי שהם לוקחים על עצמם להיתפס נמוך ביחס לסיכוי להשיג את המטרה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נדרשת הרתעה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אותה ניתן להשיג על ידי ענישה מחמירה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התובעת הוסיפה והדגישה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בנוסף להברחת כלי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נטל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חלק פעיל בבדיקת אפשרות להוציא פיגוע תופת אל הפועל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על ידי איסוף מודיעין תוך ניצול ההכרות שלו עם מקום ביצוע הפשע המתוכנן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תכנונים שכאלה יש לגדוע על ידי הענשה חמורה של כל מי שלוקח חלק בתכנונם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מבלי המסייעים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היה להוציא פעולות שכאלה אל הפועל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התובעת הוסיפה באשר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העובדה שהיה חבר בארגון החמא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בה כדי להוות אלמנט נוסף להחמרה בעונשו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החברות בארגון זה היא עבירה חמורה לכשעצמה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הסנגור המלומד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קעואר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האירועים נשוא האישומים הדנים בהברחת הנשק ובנסיון להברחת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קשורים כולם לאותו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בכדי לא הורשעו הנאשמים בעבירות של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בהובלת נשק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יצאה להם כל טובת הנאה מהובלת הנשק וכל שעשו היה לבצע שרות לאותו חסן אל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נג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כל הפעולות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נעשו בתוככי עזה ואחרי ההתנתקות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הנאשמים נוצלו על ידי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שביקשו לנצל את כשרונם כדייגים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חשבו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 הנראה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לתומם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כאשר מדינת ישראל התנתקה מרצועת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נשק והובלתו ממצריים לתוך עזה אינה עבירה כנגד מדינת ישראל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הוסיף הסנגור וטען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ההובלה נעשתה בלא קשר לארגון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עבור סוחר נשק הקשור לעניינים פליליים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על רקע האנרכיה השוררת היום בעזה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 מאז ההתנתקות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הסנגור ציין את המצב הכלכלי הקשה של הנאשמים ושל דייגים אחרים כמותו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כשמאז ההתנתקות אינם יכולים יותר לעסוק בדייג בשל המניעה הביטחונית שמטילה מדינת ישראל על חופי עזה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המצוקה הכלכלית הזו היא שהביאה את הנאשמים להבריח את כלי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כמצויין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כשהדגש הושם על ידו על הברחת כלי הנשק ממצריים לעזה ולא למדינת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אם כי הסנגור הסכים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שכל הובלת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עלולה לסכן את בטחון מדינת ישראל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בסיכום דבריו ביקש הסנגור להקל עם הנאשמים ולא לגזור עליהם עונש מאסר אשר יעלה על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ביקש שלא להוסיף על דברי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ואילו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טען בשמו ובשם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מכבד את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ואת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וכי זו לו הפעם הראשונה בה הבריח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עשה זאת בשל בערותו ואי ידיעת החוק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הבטיח שההברחה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היא גם האחרונה וביקש לאפשר לו לחזור במהרה לפרנס את משפחתו – את ילדיו ואת אחיו החולים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הגישו לעיוננו פסיקה ענפה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אחד מהם פסיקה המלמדת על רמת הענישה שביקשו שנטיל על הנאשמים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אין חולק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מעשי שני הנאשמים חמורים ביותר וכי שניהם העמידו את מדינת ישראל ותושביה בפני סכנות של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העביר בשתי הזדמנויות נשק ממצריים לרצועת עזה ופעם נוספת ניסה לעשות 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לראשונה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12/09/5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האירוע נשוא האישום השלישי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הפליג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ביחד עם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ובעקבות קשר שקשרו עם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מרפיח לחוף ימית שבמצריים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שם קיבלו לידיהם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רובי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 אותם הביאו לרצועת עזה ומסרום לידי האחרים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בפעם השנייה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23/09/05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האירוע נשוא האישום השני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הפליג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יחד עם שותף בשם חסן בסירה לאזור חוף ימית שבמצריים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השניים העמיסו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רובי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 על הסירה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הביאו אותם לעזה ומסרו אותם לידי אחר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בפעם השלישית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30/11/05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האירוע נשוא האישום הרביעי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ניסיונם של הנאשמים להגיע ממצריים חזרה לעזה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שהתכוונו שוב להבריח רובים לעזה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במצריים נאמר להם שכוחות הביטחון נמצאים באזור ועל כן חזרו בידיים ריקות – לא עלה יפה והם נתפסו על ידי כוחות הביטחון של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עם תפיסתם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מסלול הברחה זה של שני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נגדע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במתן שירות לאירגוני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שמסר לפעילי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יהד האיסלמי והחמ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אינפורמציה מדוייקת אודות חוף הרחצה באזור המואסי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תכננו אירגוני הטרור לבצע פיגוע במטרה לפגוע בתושבי המדינה ובביטחון המדינה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השתתף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ביחד עם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בהברחה אחת של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רובי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 ממצריים לעזה ובניסיון נוסף להברחה של נשק – ניסיון שנגדע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מעצרם של השניים בסירתם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עבר עבירה נוספת של חברות באירגון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לאחר שבחודש ספטמבר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החודש בו ביצע את העברת כלי הנשק ממצריים לישראל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הצטרף כחבר באירגון החמ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ואף קשר קשר עם חבר ארגון הטרור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להשתתף בפעילויות של האירגון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זו תלה דגלים של ארגון הטרור ושל פלסטין במהלך מערכת הבחירות לעיריית רפיח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ספק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מעשים אלה חמורים וכי הנאשמים כיוונו את מעשיהם הרעים כדי לפגוע בבטחון מדינת ישראל ובתושביה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זה ציין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העליון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גרוניס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כדלהלן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240"/>
        <w:ind w:start="1440" w:end="1276"/>
        <w:jc w:val="both"/>
        <w:rPr>
          <w:rFonts w:ascii="Arial" w:hAnsi="Arial" w:cs="Arial"/>
          <w:b/>
          <w:bCs/>
          <w:spacing w:val="10"/>
          <w:sz w:val="22"/>
          <w:szCs w:val="22"/>
        </w:rPr>
      </w:pP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בשנים האחרונות נתונה מדינת ישראל במציאות ביטחונית קשה וכואבת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המדינה חשופה להתקפות טרור קשות ורצחניות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הגובות מחיר כבד בחיי אדם של חיילים ואזרחים כאחד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...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לא נדרשת מומחיות רבה כדי להבין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כי הספקה רציפה של כלי נשק ותחמושת תורמת להתמשכותו של גל האלימות והטרור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נתיבי הברחת הנשק והתחמושת מהווים עורק המזין את הפעילות הטרוריסטית ועל כן הם חלק בלתי נפרד ממנה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מאליו יובן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כי החומרה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 xml:space="preserve">הסיכון והתיעוב הנודעים למעשי הטרור עצמם אוצלים גם על ענישתם של אלו המעורבים בשלבים המוקדמים 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-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 xml:space="preserve">אך החיוניים 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-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של שרשרת הטרור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. </w:t>
      </w:r>
    </w:p>
    <w:p>
      <w:pPr>
        <w:pStyle w:val="Normal"/>
        <w:spacing w:lineRule="auto" w:line="240"/>
        <w:ind w:start="1440" w:end="1276"/>
        <w:jc w:val="both"/>
        <w:rPr>
          <w:rFonts w:ascii="Arial" w:hAnsi="Arial" w:cs="Arial"/>
          <w:b/>
          <w:bCs/>
          <w:spacing w:val="10"/>
          <w:sz w:val="22"/>
          <w:szCs w:val="22"/>
        </w:rPr>
      </w:pP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תופעה מדאיגה וחמורה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...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הינה של הברחת נשק דרך הגבול עם חבל סיני שבמצריים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... </w:t>
      </w:r>
    </w:p>
    <w:p>
      <w:pPr>
        <w:pStyle w:val="Normal"/>
        <w:spacing w:lineRule="auto" w:line="240"/>
        <w:ind w:start="1440" w:end="1276"/>
        <w:jc w:val="both"/>
        <w:rPr/>
      </w:pP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המדינה בערעורה עמדה על הגורמים המתמרצים את העוסקים במלאכת ההברחה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ביניהם חדירוּת הגבול והגמול הכספי הצפוי למבריחים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שהינו גורם פיתוי משמעותי על רקע המצב הכלכלי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שומה על בית המשפט להציב משקל נגד בדמותה של ענישה קשה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כואבת ומרתיעה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אכן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בשנים האחרונות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נוכח אירועי הטרור ההולכים ומתגברים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ניכרת בפסיקה מגמה של החמרה בענישה בגין עבירות נשק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לרבות ייבוא נשק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...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פסיקתו של בית משפט זה חילחלה כלפי מטה והעונשים הנגזרים בבתי המשפט המחוזיים משקפים גם הם רמת ענישה מחמירה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העובדה שמניעיהם של המעורבים בשלבים שונים של שרשרת ההברחה הינם כלכליים ולא אידיאולוגיים אינה יכולה להוות גורם משמעותי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ודאי שלא מכריע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לקולה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>..."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 </w:t>
      </w:r>
      <w:r>
        <w:rPr>
          <w:rFonts w:cs="Arial" w:ascii="Arial" w:hAnsi="Arial"/>
          <w:spacing w:val="10"/>
          <w:szCs w:val="20"/>
          <w:rtl w:val="true"/>
        </w:rPr>
        <w:t>(</w:t>
      </w:r>
      <w:r>
        <w:rPr>
          <w:rFonts w:ascii="Arial" w:hAnsi="Arial" w:cs="Arial"/>
          <w:spacing w:val="10"/>
          <w:szCs w:val="20"/>
          <w:rtl w:val="true"/>
        </w:rPr>
        <w:t>ר</w:t>
      </w:r>
      <w:r>
        <w:rPr>
          <w:rFonts w:cs="Arial" w:ascii="Arial" w:hAnsi="Arial"/>
          <w:spacing w:val="10"/>
          <w:szCs w:val="20"/>
          <w:rtl w:val="true"/>
        </w:rPr>
        <w:t xml:space="preserve">' </w:t>
      </w:r>
      <w:hyperlink r:id="rId11">
        <w:r>
          <w:rPr>
            <w:rStyle w:val="Hyperlink"/>
            <w:rFonts w:ascii="Arial" w:hAnsi="Arial" w:cs="Arial"/>
            <w:spacing w:val="10"/>
            <w:szCs w:val="20"/>
            <w:rtl w:val="true"/>
          </w:rPr>
          <w:t>ע</w:t>
        </w:r>
        <w:r>
          <w:rPr>
            <w:rStyle w:val="Hyperlink"/>
            <w:rFonts w:cs="Arial" w:ascii="Arial" w:hAnsi="Arial"/>
            <w:spacing w:val="10"/>
            <w:szCs w:val="20"/>
            <w:rtl w:val="true"/>
          </w:rPr>
          <w:t>"</w:t>
        </w:r>
        <w:r>
          <w:rPr>
            <w:rStyle w:val="Hyperlink"/>
            <w:rFonts w:ascii="Arial" w:hAnsi="Arial" w:cs="Arial"/>
            <w:spacing w:val="10"/>
            <w:szCs w:val="20"/>
            <w:rtl w:val="true"/>
          </w:rPr>
          <w:t xml:space="preserve">פ </w:t>
        </w:r>
        <w:r>
          <w:rPr>
            <w:rStyle w:val="Hyperlink"/>
            <w:rFonts w:cs="Arial" w:ascii="Arial" w:hAnsi="Arial"/>
            <w:spacing w:val="10"/>
            <w:szCs w:val="20"/>
          </w:rPr>
          <w:t>4043/05</w:t>
        </w:r>
      </w:hyperlink>
      <w:r>
        <w:rPr>
          <w:rFonts w:cs="Arial" w:ascii="Arial" w:hAnsi="Arial"/>
          <w:spacing w:val="1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bCs/>
          <w:spacing w:val="10"/>
          <w:szCs w:val="20"/>
          <w:rtl w:val="true"/>
        </w:rPr>
        <w:t>מדינת ישראל נ</w:t>
      </w:r>
      <w:r>
        <w:rPr>
          <w:rFonts w:cs="Arial" w:ascii="Arial" w:hAnsi="Arial"/>
          <w:b/>
          <w:bCs/>
          <w:spacing w:val="10"/>
          <w:szCs w:val="20"/>
          <w:rtl w:val="true"/>
        </w:rPr>
        <w:t xml:space="preserve">' </w:t>
      </w:r>
      <w:r>
        <w:rPr>
          <w:rFonts w:ascii="Arial" w:hAnsi="Arial" w:cs="Arial"/>
          <w:b/>
          <w:b/>
          <w:bCs/>
          <w:spacing w:val="10"/>
          <w:szCs w:val="20"/>
          <w:rtl w:val="true"/>
        </w:rPr>
        <w:t>בניית ואח</w:t>
      </w:r>
      <w:r>
        <w:rPr>
          <w:rFonts w:cs="Arial" w:ascii="Arial" w:hAnsi="Arial"/>
          <w:b/>
          <w:bCs/>
          <w:spacing w:val="10"/>
          <w:szCs w:val="20"/>
          <w:rtl w:val="true"/>
        </w:rPr>
        <w:t>'</w:t>
      </w:r>
      <w:r>
        <w:rPr>
          <w:rFonts w:cs="Arial" w:ascii="Arial" w:hAnsi="Arial"/>
          <w:spacing w:val="10"/>
          <w:szCs w:val="20"/>
          <w:rtl w:val="true"/>
        </w:rPr>
        <w:t xml:space="preserve">, </w:t>
      </w:r>
      <w:r>
        <w:rPr>
          <w:rFonts w:ascii="Arial" w:hAnsi="Arial" w:cs="Arial"/>
          <w:spacing w:val="10"/>
          <w:szCs w:val="20"/>
          <w:rtl w:val="true"/>
        </w:rPr>
        <w:t xml:space="preserve">פורסם ביום </w:t>
      </w:r>
      <w:r>
        <w:rPr>
          <w:rFonts w:cs="Arial" w:ascii="Arial" w:hAnsi="Arial"/>
          <w:spacing w:val="10"/>
          <w:szCs w:val="20"/>
        </w:rPr>
        <w:t>10/08/06</w:t>
      </w:r>
      <w:r>
        <w:rPr>
          <w:rFonts w:cs="Arial" w:ascii="Arial" w:hAnsi="Arial"/>
          <w:spacing w:val="10"/>
          <w:szCs w:val="20"/>
          <w:rtl w:val="true"/>
        </w:rPr>
        <w:t>).</w:t>
      </w:r>
    </w:p>
    <w:p>
      <w:pPr>
        <w:pStyle w:val="Normal"/>
        <w:spacing w:lineRule="auto" w:line="240"/>
        <w:ind w:start="1440" w:end="1276"/>
        <w:jc w:val="both"/>
        <w:rPr>
          <w:rFonts w:ascii="Arial" w:hAnsi="Arial" w:cs="Arial"/>
          <w:spacing w:val="10"/>
          <w:szCs w:val="20"/>
        </w:rPr>
      </w:pPr>
      <w:r>
        <w:rPr>
          <w:rFonts w:cs="Arial" w:ascii="Arial" w:hAnsi="Arial"/>
          <w:spacing w:val="10"/>
          <w:szCs w:val="20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  <w:tab/>
      </w:r>
    </w:p>
    <w:p>
      <w:pPr>
        <w:pStyle w:val="Normal"/>
        <w:ind w:firstLine="720" w:end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 w:val="24"/>
          <w:rtl w:val="true"/>
        </w:rPr>
        <w:t>וכך פסק ביהמ</w:t>
      </w:r>
      <w:r>
        <w:rPr>
          <w:rFonts w:cs="Arial" w:ascii="Arial" w:hAnsi="Arial"/>
          <w:sz w:val="24"/>
          <w:rtl w:val="true"/>
        </w:rPr>
        <w:t>"</w:t>
      </w:r>
      <w:r>
        <w:rPr>
          <w:rFonts w:ascii="Arial" w:hAnsi="Arial" w:cs="Arial"/>
          <w:sz w:val="24"/>
          <w:sz w:val="24"/>
          <w:rtl w:val="true"/>
        </w:rPr>
        <w:t xml:space="preserve">ש העליון </w:t>
      </w:r>
      <w:r>
        <w:rPr>
          <w:rFonts w:cs="Arial" w:ascii="Arial" w:hAnsi="Arial"/>
          <w:sz w:val="24"/>
          <w:rtl w:val="true"/>
        </w:rPr>
        <w:t>(</w:t>
      </w:r>
      <w:r>
        <w:rPr>
          <w:rFonts w:ascii="Arial" w:hAnsi="Arial" w:cs="Arial"/>
          <w:sz w:val="24"/>
          <w:sz w:val="24"/>
          <w:rtl w:val="true"/>
        </w:rPr>
        <w:t>הפעם מפי כב</w:t>
      </w:r>
      <w:r>
        <w:rPr>
          <w:rFonts w:cs="Arial" w:ascii="Arial" w:hAnsi="Arial"/>
          <w:sz w:val="24"/>
          <w:rtl w:val="true"/>
        </w:rPr>
        <w:t xml:space="preserve">' </w:t>
      </w:r>
      <w:r>
        <w:rPr>
          <w:rFonts w:ascii="Arial" w:hAnsi="Arial" w:cs="Arial"/>
          <w:sz w:val="24"/>
          <w:sz w:val="24"/>
          <w:rtl w:val="true"/>
        </w:rPr>
        <w:t>הנשיא ברק</w:t>
      </w:r>
      <w:r>
        <w:rPr>
          <w:rFonts w:cs="Arial" w:ascii="Arial" w:hAnsi="Arial"/>
          <w:sz w:val="24"/>
          <w:rtl w:val="true"/>
        </w:rPr>
        <w:t xml:space="preserve">) </w:t>
      </w:r>
      <w:r>
        <w:rPr>
          <w:rFonts w:ascii="Arial" w:hAnsi="Arial" w:cs="Arial"/>
          <w:sz w:val="24"/>
          <w:sz w:val="24"/>
          <w:rtl w:val="true"/>
        </w:rPr>
        <w:t>בעניין אחר</w:t>
      </w:r>
      <w:r>
        <w:rPr>
          <w:rFonts w:cs="Arial" w:ascii="Arial" w:hAnsi="Arial"/>
          <w:sz w:val="24"/>
          <w:rtl w:val="true"/>
        </w:rPr>
        <w:t>:</w:t>
      </w:r>
    </w:p>
    <w:p>
      <w:pPr>
        <w:pStyle w:val="Normal"/>
        <w:spacing w:lineRule="auto" w:line="240"/>
        <w:ind w:start="1440" w:end="127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עבירות הנשק בהן הורשעו המשיבים הן עבירות חמורות ביותר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על העונש המוטל בגינן להיות חמור אף הוא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כדי לשקף רמה גבוהה של הרתעה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...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הדברים נכונים ביתר שאת לעת הזו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השימוש ההולך וגובר בחצי האי סיני כנתיב להברחות נשק לשטחי ישראל והרשות הפלשתינית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והחשש המיידי והוודאי שנשק זה יביא לשפיכות דמים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מצריכים ענישה מחמירה</w:t>
      </w:r>
      <w:r>
        <w:rPr>
          <w:rFonts w:cs="Arial" w:ascii="Arial" w:hAnsi="Arial"/>
          <w:b/>
          <w:bCs/>
          <w:sz w:val="22"/>
          <w:szCs w:val="22"/>
          <w:rtl w:val="true"/>
        </w:rPr>
        <w:t>. "</w:t>
      </w:r>
      <w:r>
        <w:rPr>
          <w:rFonts w:ascii="Arial" w:hAnsi="Arial" w:cs="Arial"/>
          <w:b/>
          <w:b/>
          <w:bCs/>
          <w:i/>
          <w:i/>
          <w:iCs/>
          <w:sz w:val="22"/>
          <w:sz w:val="22"/>
          <w:szCs w:val="22"/>
          <w:rtl w:val="true"/>
        </w:rPr>
        <w:t>היום</w:t>
      </w:r>
      <w:r>
        <w:rPr>
          <w:rFonts w:cs="Arial" w:ascii="Arial" w:hAnsi="Arial"/>
          <w:b/>
          <w:bCs/>
          <w:i/>
          <w:i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i/>
          <w:i/>
          <w:iCs/>
          <w:sz w:val="22"/>
          <w:sz w:val="22"/>
          <w:szCs w:val="22"/>
          <w:rtl w:val="true"/>
        </w:rPr>
        <w:t>במצב בו נמצאת מדינת ישראל</w:t>
      </w:r>
      <w:r>
        <w:rPr>
          <w:rFonts w:cs="Arial" w:ascii="Arial" w:hAnsi="Arial"/>
          <w:b/>
          <w:bCs/>
          <w:i/>
          <w:i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i/>
          <w:i/>
          <w:iCs/>
          <w:sz w:val="22"/>
          <w:sz w:val="22"/>
          <w:szCs w:val="22"/>
          <w:rtl w:val="true"/>
        </w:rPr>
        <w:t>טמונה בעבירות של סחר בנשק ויבוא נשק לארץ סכנת חיים של ממש</w:t>
      </w:r>
      <w:r>
        <w:rPr>
          <w:rFonts w:cs="Arial" w:ascii="Arial" w:hAnsi="Arial"/>
          <w:b/>
          <w:bCs/>
          <w:i/>
          <w:i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i/>
          <w:i/>
          <w:iCs/>
          <w:sz w:val="22"/>
          <w:sz w:val="22"/>
          <w:szCs w:val="22"/>
          <w:rtl w:val="true"/>
        </w:rPr>
        <w:t>ונראה כי סכנה זו רק מחמירה והולכת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" </w:t>
      </w:r>
      <w:r>
        <w:rPr>
          <w:rFonts w:cs="Arial" w:ascii="Arial" w:hAnsi="Arial"/>
          <w:szCs w:val="20"/>
          <w:rtl w:val="true"/>
        </w:rPr>
        <w:t>(</w:t>
      </w:r>
      <w:r>
        <w:rPr>
          <w:rFonts w:ascii="Arial" w:hAnsi="Arial" w:cs="Arial"/>
          <w:szCs w:val="20"/>
          <w:rtl w:val="true"/>
        </w:rPr>
        <w:t>גזר דינו של בית המשפט המחוזי</w:t>
      </w:r>
      <w:r>
        <w:rPr>
          <w:rFonts w:cs="Arial" w:ascii="Arial" w:hAnsi="Arial"/>
          <w:szCs w:val="20"/>
          <w:rtl w:val="true"/>
        </w:rPr>
        <w:t>)</w:t>
      </w:r>
      <w:r>
        <w:rPr>
          <w:rFonts w:cs="Arial" w:ascii="Arial" w:hAnsi="Arial"/>
          <w:b/>
          <w:bCs/>
          <w:sz w:val="22"/>
          <w:szCs w:val="22"/>
          <w:rtl w:val="true"/>
        </w:rPr>
        <w:t>. "</w:t>
      </w:r>
      <w:r>
        <w:rPr>
          <w:rFonts w:ascii="Arial" w:hAnsi="Arial" w:cs="Arial"/>
          <w:b/>
          <w:b/>
          <w:bCs/>
          <w:i/>
          <w:i/>
          <w:iCs/>
          <w:sz w:val="22"/>
          <w:sz w:val="22"/>
          <w:szCs w:val="22"/>
          <w:rtl w:val="true"/>
        </w:rPr>
        <w:t>מניעת הברחות אלה</w:t>
      </w:r>
      <w:r>
        <w:rPr>
          <w:rFonts w:cs="Arial" w:ascii="Arial" w:hAnsi="Arial"/>
          <w:b/>
          <w:bCs/>
          <w:i/>
          <w:iCs/>
          <w:sz w:val="22"/>
          <w:szCs w:val="22"/>
          <w:rtl w:val="true"/>
        </w:rPr>
        <w:t xml:space="preserve">... </w:t>
      </w:r>
      <w:r>
        <w:rPr>
          <w:rFonts w:ascii="Arial" w:hAnsi="Arial" w:cs="Arial"/>
          <w:b/>
          <w:b/>
          <w:bCs/>
          <w:i/>
          <w:i/>
          <w:iCs/>
          <w:sz w:val="22"/>
          <w:sz w:val="22"/>
          <w:szCs w:val="22"/>
          <w:rtl w:val="true"/>
        </w:rPr>
        <w:t>יש בה</w:t>
      </w:r>
      <w:r>
        <w:rPr>
          <w:rFonts w:cs="Arial" w:ascii="Arial" w:hAnsi="Arial"/>
          <w:b/>
          <w:bCs/>
          <w:i/>
          <w:i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i/>
          <w:i/>
          <w:iCs/>
          <w:sz w:val="22"/>
          <w:sz w:val="22"/>
          <w:szCs w:val="22"/>
          <w:rtl w:val="true"/>
        </w:rPr>
        <w:t>בבירור</w:t>
      </w:r>
      <w:r>
        <w:rPr>
          <w:rFonts w:cs="Arial" w:ascii="Arial" w:hAnsi="Arial"/>
          <w:b/>
          <w:bCs/>
          <w:i/>
          <w:i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i/>
          <w:i/>
          <w:iCs/>
          <w:sz w:val="22"/>
          <w:sz w:val="22"/>
          <w:szCs w:val="22"/>
          <w:rtl w:val="true"/>
        </w:rPr>
        <w:t>כדי לסכל עשרות ואף מאות פיגועים בעתיד</w:t>
      </w:r>
      <w:r>
        <w:rPr>
          <w:rFonts w:cs="Arial" w:ascii="Arial" w:hAnsi="Arial"/>
          <w:b/>
          <w:bCs/>
          <w:i/>
          <w:i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i/>
          <w:i/>
          <w:iCs/>
          <w:sz w:val="22"/>
          <w:sz w:val="22"/>
          <w:szCs w:val="22"/>
          <w:rtl w:val="true"/>
        </w:rPr>
        <w:t>ותחסוך שפיכות דמים בקרב הישראלים והפלסטינים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" </w:t>
      </w:r>
      <w:r>
        <w:rPr>
          <w:rFonts w:cs="Arial" w:ascii="Arial" w:hAnsi="Arial"/>
          <w:szCs w:val="20"/>
          <w:rtl w:val="true"/>
        </w:rPr>
        <w:t>(</w:t>
      </w:r>
      <w:hyperlink r:id="rId12">
        <w:r>
          <w:rPr>
            <w:rStyle w:val="Hyperlink"/>
            <w:rFonts w:ascii="Arial" w:hAnsi="Arial" w:cs="Arial"/>
            <w:szCs w:val="20"/>
            <w:rtl w:val="true"/>
          </w:rPr>
          <w:t>ת</w:t>
        </w:r>
        <w:r>
          <w:rPr>
            <w:rStyle w:val="Hyperlink"/>
            <w:rFonts w:cs="Arial" w:ascii="Arial" w:hAnsi="Arial"/>
            <w:szCs w:val="20"/>
            <w:rtl w:val="true"/>
          </w:rPr>
          <w:t>.</w:t>
        </w:r>
        <w:r>
          <w:rPr>
            <w:rStyle w:val="Hyperlink"/>
            <w:rFonts w:ascii="Arial" w:hAnsi="Arial" w:cs="Arial"/>
            <w:szCs w:val="20"/>
            <w:rtl w:val="true"/>
          </w:rPr>
          <w:t>פ</w:t>
        </w:r>
        <w:r>
          <w:rPr>
            <w:rStyle w:val="Hyperlink"/>
            <w:rFonts w:cs="Arial" w:ascii="Arial" w:hAnsi="Arial"/>
            <w:szCs w:val="20"/>
            <w:rtl w:val="true"/>
          </w:rPr>
          <w:t>. (</w:t>
        </w:r>
        <w:r>
          <w:rPr>
            <w:rStyle w:val="Hyperlink"/>
            <w:rFonts w:ascii="Arial" w:hAnsi="Arial" w:cs="Arial"/>
            <w:szCs w:val="20"/>
            <w:rtl w:val="true"/>
          </w:rPr>
          <w:t>ב</w:t>
        </w:r>
        <w:r>
          <w:rPr>
            <w:rStyle w:val="Hyperlink"/>
            <w:rFonts w:cs="Arial" w:ascii="Arial" w:hAnsi="Arial"/>
            <w:szCs w:val="20"/>
            <w:rtl w:val="true"/>
          </w:rPr>
          <w:t>"</w:t>
        </w:r>
        <w:r>
          <w:rPr>
            <w:rStyle w:val="Hyperlink"/>
            <w:rFonts w:ascii="Arial" w:hAnsi="Arial" w:cs="Arial"/>
            <w:szCs w:val="20"/>
            <w:rtl w:val="true"/>
          </w:rPr>
          <w:t>ש</w:t>
        </w:r>
        <w:r>
          <w:rPr>
            <w:rStyle w:val="Hyperlink"/>
            <w:rFonts w:cs="Arial" w:ascii="Arial" w:hAnsi="Arial"/>
            <w:szCs w:val="20"/>
            <w:rtl w:val="true"/>
          </w:rPr>
          <w:t xml:space="preserve">) </w:t>
        </w:r>
        <w:r>
          <w:rPr>
            <w:rStyle w:val="Hyperlink"/>
            <w:rFonts w:cs="Arial" w:ascii="Arial" w:hAnsi="Arial"/>
            <w:szCs w:val="20"/>
          </w:rPr>
          <w:t>8076/04</w:t>
        </w:r>
      </w:hyperlink>
      <w:r>
        <w:rPr>
          <w:rFonts w:cs="Arial" w:ascii="Arial" w:hAnsi="Arial"/>
          <w:szCs w:val="20"/>
          <w:rtl w:val="true"/>
        </w:rPr>
        <w:t xml:space="preserve"> </w:t>
      </w:r>
      <w:r>
        <w:rPr>
          <w:rFonts w:ascii="Arial" w:hAnsi="Arial" w:cs="Arial"/>
          <w:szCs w:val="20"/>
          <w:rtl w:val="true"/>
        </w:rPr>
        <w:t>מדינת ישראל נ</w:t>
      </w:r>
      <w:r>
        <w:rPr>
          <w:rFonts w:cs="Arial" w:ascii="Arial" w:hAnsi="Arial"/>
          <w:szCs w:val="20"/>
          <w:rtl w:val="true"/>
        </w:rPr>
        <w:t xml:space="preserve">' </w:t>
      </w:r>
      <w:r>
        <w:rPr>
          <w:rFonts w:ascii="Arial" w:hAnsi="Arial" w:cs="Arial"/>
          <w:szCs w:val="20"/>
          <w:rtl w:val="true"/>
        </w:rPr>
        <w:t xml:space="preserve">בניית </w:t>
      </w:r>
      <w:r>
        <w:rPr>
          <w:rFonts w:cs="Arial" w:ascii="Arial" w:hAnsi="Arial"/>
          <w:szCs w:val="20"/>
          <w:rtl w:val="true"/>
        </w:rPr>
        <w:t>(</w:t>
      </w:r>
      <w:r>
        <w:rPr>
          <w:rFonts w:ascii="Arial" w:hAnsi="Arial" w:cs="Arial"/>
          <w:szCs w:val="20"/>
          <w:rtl w:val="true"/>
        </w:rPr>
        <w:t>לא פורסם</w:t>
      </w:r>
      <w:r>
        <w:rPr>
          <w:rFonts w:cs="Arial" w:ascii="Arial" w:hAnsi="Arial"/>
          <w:szCs w:val="20"/>
          <w:rtl w:val="true"/>
        </w:rPr>
        <w:t>))</w:t>
      </w:r>
      <w:r>
        <w:rPr>
          <w:rFonts w:cs="Arial" w:ascii="Arial" w:hAnsi="Arial"/>
          <w:b/>
          <w:bCs/>
          <w:sz w:val="22"/>
          <w:szCs w:val="22"/>
          <w:rtl w:val="true"/>
        </w:rPr>
        <w:t>.</w:t>
      </w:r>
      <w:r>
        <w:rPr>
          <w:rFonts w:cs="Arial" w:ascii="Arial" w:hAnsi="Arial"/>
          <w:b/>
          <w:bCs/>
          <w:color w:val="FFFFFF"/>
          <w:sz w:val="22"/>
          <w:szCs w:val="22"/>
          <w:rtl w:val="true"/>
        </w:rPr>
        <w:t>.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i/>
          <w:i/>
          <w:iCs/>
          <w:sz w:val="22"/>
          <w:sz w:val="22"/>
          <w:szCs w:val="22"/>
          <w:rtl w:val="true"/>
        </w:rPr>
        <w:t xml:space="preserve">מדובר בכלי נשק אשר הסכנה המוחשית הקרובה לוודאות </w:t>
      </w:r>
      <w:r>
        <w:rPr>
          <w:rFonts w:cs="Arial" w:ascii="Arial" w:hAnsi="Arial"/>
          <w:b/>
          <w:bCs/>
          <w:i/>
          <w:iCs/>
          <w:sz w:val="22"/>
          <w:szCs w:val="22"/>
          <w:rtl w:val="true"/>
        </w:rPr>
        <w:t>(</w:t>
      </w:r>
      <w:r>
        <w:rPr>
          <w:rFonts w:ascii="Arial" w:hAnsi="Arial" w:cs="Arial"/>
          <w:b/>
          <w:b/>
          <w:bCs/>
          <w:i/>
          <w:i/>
          <w:iCs/>
          <w:sz w:val="22"/>
          <w:sz w:val="22"/>
          <w:szCs w:val="22"/>
          <w:rtl w:val="true"/>
        </w:rPr>
        <w:t>אם לא וודאות</w:t>
      </w:r>
      <w:r>
        <w:rPr>
          <w:rFonts w:cs="Arial" w:ascii="Arial" w:hAnsi="Arial"/>
          <w:b/>
          <w:bCs/>
          <w:i/>
          <w:i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i/>
          <w:i/>
          <w:iCs/>
          <w:sz w:val="22"/>
          <w:sz w:val="22"/>
          <w:szCs w:val="22"/>
          <w:rtl w:val="true"/>
        </w:rPr>
        <w:t>לחלוטין</w:t>
      </w:r>
      <w:r>
        <w:rPr>
          <w:rFonts w:cs="Arial" w:ascii="Arial" w:hAnsi="Arial"/>
          <w:b/>
          <w:bCs/>
          <w:i/>
          <w:iCs/>
          <w:sz w:val="22"/>
          <w:szCs w:val="22"/>
          <w:rtl w:val="true"/>
        </w:rPr>
        <w:t xml:space="preserve">) </w:t>
      </w:r>
      <w:r>
        <w:rPr>
          <w:rFonts w:ascii="Arial" w:hAnsi="Arial" w:cs="Arial"/>
          <w:b/>
          <w:b/>
          <w:bCs/>
          <w:i/>
          <w:i/>
          <w:iCs/>
          <w:sz w:val="22"/>
          <w:sz w:val="22"/>
          <w:szCs w:val="22"/>
          <w:rtl w:val="true"/>
        </w:rPr>
        <w:t>הטמונה בהם</w:t>
      </w:r>
      <w:r>
        <w:rPr>
          <w:rFonts w:cs="Arial" w:ascii="Arial" w:hAnsi="Arial"/>
          <w:b/>
          <w:bCs/>
          <w:i/>
          <w:i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i/>
          <w:i/>
          <w:iCs/>
          <w:sz w:val="22"/>
          <w:sz w:val="22"/>
          <w:szCs w:val="22"/>
          <w:rtl w:val="true"/>
        </w:rPr>
        <w:t>כי יעדם הוא לידי גורמים עוינים שישתמשו בהם לביצוע הרג וטרור נגד אזרחי המדינה ותושביה –  הינה ניבטת וגלויה</w:t>
      </w:r>
      <w:r>
        <w:rPr>
          <w:rFonts w:cs="Arial" w:ascii="Arial" w:hAnsi="Arial"/>
          <w:b/>
          <w:bCs/>
          <w:i/>
          <w:iCs/>
          <w:sz w:val="22"/>
          <w:szCs w:val="22"/>
          <w:rtl w:val="true"/>
        </w:rPr>
        <w:t xml:space="preserve">,  </w:t>
      </w:r>
      <w:r>
        <w:rPr>
          <w:rFonts w:ascii="Arial" w:hAnsi="Arial" w:cs="Arial"/>
          <w:b/>
          <w:b/>
          <w:bCs/>
          <w:i/>
          <w:i/>
          <w:iCs/>
          <w:sz w:val="22"/>
          <w:sz w:val="22"/>
          <w:szCs w:val="22"/>
          <w:rtl w:val="true"/>
        </w:rPr>
        <w:t>בעליל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" </w:t>
      </w:r>
      <w:r>
        <w:rPr>
          <w:rFonts w:cs="Arial" w:ascii="Arial" w:hAnsi="Arial"/>
          <w:szCs w:val="20"/>
          <w:rtl w:val="true"/>
        </w:rPr>
        <w:t>(</w:t>
      </w:r>
      <w:hyperlink r:id="rId13">
        <w:r>
          <w:rPr>
            <w:rStyle w:val="Hyperlink"/>
            <w:rFonts w:ascii="Arial" w:hAnsi="Arial" w:cs="Arial"/>
            <w:szCs w:val="20"/>
            <w:rtl w:val="true"/>
          </w:rPr>
          <w:t>ת</w:t>
        </w:r>
        <w:r>
          <w:rPr>
            <w:rStyle w:val="Hyperlink"/>
            <w:rFonts w:cs="Arial" w:ascii="Arial" w:hAnsi="Arial"/>
            <w:szCs w:val="20"/>
            <w:rtl w:val="true"/>
          </w:rPr>
          <w:t>.</w:t>
        </w:r>
        <w:r>
          <w:rPr>
            <w:rStyle w:val="Hyperlink"/>
            <w:rFonts w:ascii="Arial" w:hAnsi="Arial" w:cs="Arial"/>
            <w:szCs w:val="20"/>
            <w:rtl w:val="true"/>
          </w:rPr>
          <w:t xml:space="preserve">פ </w:t>
        </w:r>
        <w:r>
          <w:rPr>
            <w:rStyle w:val="Hyperlink"/>
            <w:rFonts w:cs="Arial" w:ascii="Arial" w:hAnsi="Arial"/>
            <w:szCs w:val="20"/>
            <w:rtl w:val="true"/>
          </w:rPr>
          <w:t>(</w:t>
        </w:r>
        <w:r>
          <w:rPr>
            <w:rStyle w:val="Hyperlink"/>
            <w:rFonts w:ascii="Arial" w:hAnsi="Arial" w:cs="Arial"/>
            <w:szCs w:val="20"/>
            <w:rtl w:val="true"/>
          </w:rPr>
          <w:t>ב</w:t>
        </w:r>
        <w:r>
          <w:rPr>
            <w:rStyle w:val="Hyperlink"/>
            <w:rFonts w:cs="Arial" w:ascii="Arial" w:hAnsi="Arial"/>
            <w:szCs w:val="20"/>
            <w:rtl w:val="true"/>
          </w:rPr>
          <w:t>"</w:t>
        </w:r>
        <w:r>
          <w:rPr>
            <w:rStyle w:val="Hyperlink"/>
            <w:rFonts w:ascii="Arial" w:hAnsi="Arial" w:cs="Arial"/>
            <w:szCs w:val="20"/>
            <w:rtl w:val="true"/>
          </w:rPr>
          <w:t>ש</w:t>
        </w:r>
        <w:r>
          <w:rPr>
            <w:rStyle w:val="Hyperlink"/>
            <w:rFonts w:cs="Arial" w:ascii="Arial" w:hAnsi="Arial"/>
            <w:szCs w:val="20"/>
            <w:rtl w:val="true"/>
          </w:rPr>
          <w:t xml:space="preserve">) </w:t>
        </w:r>
        <w:r>
          <w:rPr>
            <w:rStyle w:val="Hyperlink"/>
            <w:rFonts w:cs="Arial" w:ascii="Arial" w:hAnsi="Arial"/>
            <w:szCs w:val="20"/>
          </w:rPr>
          <w:t>8174/04</w:t>
        </w:r>
      </w:hyperlink>
      <w:r>
        <w:rPr>
          <w:rFonts w:cs="Arial" w:ascii="Arial" w:hAnsi="Arial"/>
          <w:szCs w:val="20"/>
          <w:rtl w:val="true"/>
        </w:rPr>
        <w:t xml:space="preserve"> </w:t>
      </w:r>
      <w:r>
        <w:rPr>
          <w:rFonts w:ascii="Arial" w:hAnsi="Arial" w:cs="Arial"/>
          <w:szCs w:val="20"/>
          <w:rtl w:val="true"/>
        </w:rPr>
        <w:t>מדינת ישראל נ</w:t>
      </w:r>
      <w:r>
        <w:rPr>
          <w:rFonts w:cs="Arial" w:ascii="Arial" w:hAnsi="Arial"/>
          <w:szCs w:val="20"/>
          <w:rtl w:val="true"/>
        </w:rPr>
        <w:t xml:space="preserve">' </w:t>
      </w:r>
      <w:r>
        <w:rPr>
          <w:rFonts w:ascii="Arial" w:hAnsi="Arial" w:cs="Arial"/>
          <w:szCs w:val="20"/>
          <w:rtl w:val="true"/>
        </w:rPr>
        <w:t xml:space="preserve">מוהנא </w:t>
      </w:r>
      <w:r>
        <w:rPr>
          <w:rFonts w:cs="Arial" w:ascii="Arial" w:hAnsi="Arial"/>
          <w:szCs w:val="20"/>
          <w:rtl w:val="true"/>
        </w:rPr>
        <w:t>(</w:t>
      </w:r>
      <w:r>
        <w:rPr>
          <w:rFonts w:ascii="Arial" w:hAnsi="Arial" w:cs="Arial"/>
          <w:szCs w:val="20"/>
          <w:rtl w:val="true"/>
        </w:rPr>
        <w:t>לא פורסם</w:t>
      </w:r>
      <w:r>
        <w:rPr>
          <w:rFonts w:cs="Arial" w:ascii="Arial" w:hAnsi="Arial"/>
          <w:szCs w:val="20"/>
          <w:rtl w:val="true"/>
        </w:rPr>
        <w:t>))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בנתיב הברחות זה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מהווים תושבי חצי האי סיני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cs="Arial" w:ascii="Arial" w:hAnsi="Arial"/>
          <w:b/>
          <w:bCs/>
          <w:i/>
          <w:i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i/>
          <w:i/>
          <w:iCs/>
          <w:sz w:val="22"/>
          <w:sz w:val="22"/>
          <w:szCs w:val="22"/>
          <w:rtl w:val="true"/>
        </w:rPr>
        <w:t>המצויים בכל נקיק ורגב אדמה ברחבי סיני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",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חוליה חיונית בשרשרת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...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גם כשהם משמשים בלדרים בלבד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סיועם הכרחי להעברת הנשק ממצריים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ענישה ממשית על עבריינים אלו עשויה לעצור את קיומו של נתיב הברחות זה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..." </w:t>
      </w:r>
      <w:r>
        <w:rPr>
          <w:rFonts w:cs="Arial" w:ascii="Arial" w:hAnsi="Arial"/>
          <w:szCs w:val="20"/>
          <w:rtl w:val="true"/>
        </w:rPr>
        <w:t>(</w:t>
      </w:r>
      <w:r>
        <w:rPr>
          <w:rFonts w:ascii="Arial" w:hAnsi="Arial" w:cs="Arial"/>
          <w:szCs w:val="20"/>
          <w:rtl w:val="true"/>
        </w:rPr>
        <w:t>ר</w:t>
      </w:r>
      <w:r>
        <w:rPr>
          <w:rFonts w:cs="Arial" w:ascii="Arial" w:hAnsi="Arial"/>
          <w:szCs w:val="20"/>
          <w:rtl w:val="true"/>
        </w:rPr>
        <w:t xml:space="preserve">' </w:t>
      </w:r>
      <w:hyperlink r:id="rId14">
        <w:r>
          <w:rPr>
            <w:rStyle w:val="Hyperlink"/>
            <w:rFonts w:ascii="Arial" w:hAnsi="Arial" w:cs="Arial"/>
            <w:szCs w:val="20"/>
            <w:rtl w:val="true"/>
          </w:rPr>
          <w:t>ע</w:t>
        </w:r>
        <w:r>
          <w:rPr>
            <w:rStyle w:val="Hyperlink"/>
            <w:rFonts w:cs="Arial" w:ascii="Arial" w:hAnsi="Arial"/>
            <w:szCs w:val="20"/>
            <w:rtl w:val="true"/>
          </w:rPr>
          <w:t>"</w:t>
        </w:r>
        <w:r>
          <w:rPr>
            <w:rStyle w:val="Hyperlink"/>
            <w:rFonts w:ascii="Arial" w:hAnsi="Arial" w:cs="Arial"/>
            <w:szCs w:val="20"/>
            <w:rtl w:val="true"/>
          </w:rPr>
          <w:t xml:space="preserve">פ </w:t>
        </w:r>
        <w:r>
          <w:rPr>
            <w:rStyle w:val="Hyperlink"/>
            <w:rFonts w:cs="Arial" w:ascii="Arial" w:hAnsi="Arial"/>
            <w:szCs w:val="20"/>
          </w:rPr>
          <w:t>11475/04</w:t>
        </w:r>
      </w:hyperlink>
      <w:r>
        <w:rPr>
          <w:rFonts w:cs="Arial" w:ascii="Arial" w:hAnsi="Arial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bCs/>
          <w:szCs w:val="20"/>
          <w:rtl w:val="true"/>
        </w:rPr>
        <w:t>מדינת ישראל נ</w:t>
      </w:r>
      <w:r>
        <w:rPr>
          <w:rFonts w:cs="Arial" w:ascii="Arial" w:hAnsi="Arial"/>
          <w:b/>
          <w:bCs/>
          <w:szCs w:val="20"/>
          <w:rtl w:val="true"/>
        </w:rPr>
        <w:t xml:space="preserve">' </w:t>
      </w:r>
      <w:r>
        <w:rPr>
          <w:rFonts w:ascii="Arial" w:hAnsi="Arial" w:cs="Arial"/>
          <w:b/>
          <w:b/>
          <w:bCs/>
          <w:szCs w:val="20"/>
          <w:rtl w:val="true"/>
        </w:rPr>
        <w:t>סוארכה ואחר</w:t>
      </w:r>
      <w:r>
        <w:rPr>
          <w:rFonts w:cs="Arial" w:ascii="Arial" w:hAnsi="Arial"/>
          <w:szCs w:val="20"/>
          <w:rtl w:val="true"/>
        </w:rPr>
        <w:t xml:space="preserve">, </w:t>
      </w:r>
      <w:r>
        <w:rPr>
          <w:rFonts w:ascii="Arial" w:hAnsi="Arial" w:cs="Arial"/>
          <w:szCs w:val="20"/>
          <w:rtl w:val="true"/>
        </w:rPr>
        <w:t xml:space="preserve">פסק דין מיום </w:t>
      </w:r>
      <w:r>
        <w:rPr>
          <w:rFonts w:cs="Arial" w:ascii="Arial" w:hAnsi="Arial"/>
          <w:szCs w:val="20"/>
        </w:rPr>
        <w:t>07/11/05</w:t>
      </w:r>
      <w:r>
        <w:rPr>
          <w:rFonts w:cs="Arial" w:ascii="Arial" w:hAnsi="Arial"/>
          <w:szCs w:val="20"/>
          <w:rtl w:val="true"/>
        </w:rPr>
        <w:t>).</w:t>
      </w:r>
    </w:p>
    <w:p>
      <w:pPr>
        <w:pStyle w:val="Normal"/>
        <w:ind w:end="0"/>
        <w:jc w:val="both"/>
        <w:rPr>
          <w:rFonts w:ascii="Arial" w:hAnsi="Arial" w:cs="Arial"/>
          <w:sz w:val="24"/>
          <w:szCs w:val="22"/>
        </w:rPr>
      </w:pPr>
      <w:r>
        <w:rPr>
          <w:rFonts w:cs="Arial" w:ascii="Arial" w:hAnsi="Arial"/>
          <w:sz w:val="24"/>
          <w:szCs w:val="22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ובענייננו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אמנם נטען על ידי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הנאשמים לא ידעו שהברחת הנשק אסורה או כי עלולים להשתמש בנשק כנגד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שהרי הנשק הוברח ממצריים לעזה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שטענה זו מיתממת נוכח המציאות  של העימות המזויין באזורנו ונוכח האישומים הנוספים המיוחסים לשני הנאשמים – אם מתן שירות לאירגון טרור ואם חברות באירגון שכזה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במציאות בה אנו חיים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שהיה על הנאשמים לדעת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שיש אפשרות ברמה גבוהה של סבירות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שהנשק שהבריחו יגיע לידי העוסקים בפעילות טרוריסטית כנגד מדינת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המניע העיקרי של הנאשמים היה בצע כסף ולא אידיאולוגיה כפי שנטען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שאין בכך כדי להפחית באופן משמעותי את מידת החומרה הנשקפת ממעשי הנאשמים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במציאות הקשה בה מצויה היום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מוטלת חובה על בתי המשפט להעניש בחומרה את המורשעים בעבירות הקשורות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 שעה שהדבר נעשה באופן חוזר וכעבירות נילוות לעבירות של מתן שירות לאירגון טרור או חברות בארגון 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אם אין הוכחה ישירה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שהרובים שהוברחו היו מיועדים לידיהם של מחבלים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שיש לתת משקל לסוג הנשק ולכמותם של הרובים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וכאשר מדובר בהברחת רובים מסוג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שהיה במקרים נשוא האירועים שבפנינו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וצריך להניח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שהנשק יגיע לידי גורמים עויינים את ישראל וכי הוא מיועד לפגיעה באזרחי המדינה ובתושביה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גם כאשר המבריחים שנתפסו אינם אלא בלדרים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בלבד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והיות והשירות שניתן על ידם הינו חיוני והכרחי לשרשרת העברת הנשק לידיים העוינות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הענישה צריכה להיות קשה ומכאיבה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מתוך תקווה שתביא להרתעה של אלה העוסקים בהברחות של כלי 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מובן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כתמיד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חייבת להיות אינדבידואלית ועל כן עלינו להתחשב במצבם האישי הקשה של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שטען הסנגור המלומד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לאור חומרת העבירות ולאור שיקולי ההרתעה והסכנה שהנאשמים העמידו את תושבי מדינת ישראל בפניה – הנסיבות האישות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קשות ככל שיהיו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מתגמדות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לזכור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שהנשק שהוברח עלול היה לגרום להרג רב המדינת ישראל וכי טמונה בו סכנה וודאית לביטחון הציבור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bookmarkStart w:id="28" w:name="סוג_מסמך"/>
      <w:bookmarkEnd w:id="28"/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אשר על כן אנו גוזרים על הנאשם מס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את העונשים הבאים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למשך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שיימנה מיום מעצרו – </w:t>
      </w:r>
      <w:r>
        <w:rPr>
          <w:rFonts w:cs="Arial" w:ascii="Arial" w:hAnsi="Arial"/>
        </w:rPr>
        <w:t>30/11/05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על תנאי למשך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והתנאי שהנאשם לא יעבור כל עבירה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מסוג פשע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על הנאשם מס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אנו גוזרים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למשך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שיימנה מיום מעצרו – </w:t>
      </w:r>
      <w:r>
        <w:rPr>
          <w:rFonts w:cs="Arial" w:ascii="Arial" w:hAnsi="Arial"/>
        </w:rPr>
        <w:t>30/11/05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על תנאי למשך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והתנאי שהנאשם לא יעבור כל עבירה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מסוג פשע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  <w:bookmarkStart w:id="29" w:name="Decision1"/>
      <w:bookmarkStart w:id="30" w:name="Decision1"/>
      <w:bookmarkEnd w:id="30"/>
    </w:p>
    <w:p>
      <w:pPr>
        <w:pStyle w:val="Normal"/>
        <w:suppressLineNumbers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ניתנה היום יד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בטבת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תשס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ח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23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בדצמבר </w:t>
      </w:r>
      <w:r>
        <w:rPr>
          <w:rFonts w:cs="Arial" w:ascii="Arial" w:hAnsi="Arial"/>
          <w:b/>
          <w:bCs/>
        </w:rPr>
        <w:t>2007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Arial" w:hAnsi="Arial" w:cs="David"/>
          <w:color w:val="000000"/>
          <w:sz w:val="22"/>
          <w:szCs w:val="22"/>
        </w:rPr>
      </w:pPr>
      <w:r>
        <w:rPr>
          <w:rFonts w:cs="David" w:ascii="Arial" w:hAnsi="Arial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ר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יפה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כ</w:t>
      </w:r>
      <w:r>
        <w:rPr>
          <w:rFonts w:cs="David"/>
          <w:color w:val="000000"/>
          <w:sz w:val="22"/>
          <w:szCs w:val="22"/>
          <w:rtl w:val="true"/>
        </w:rPr>
        <w:t>"</w:t>
      </w:r>
      <w:r>
        <w:rPr>
          <w:color w:val="000000"/>
          <w:sz w:val="22"/>
          <w:sz w:val="22"/>
          <w:szCs w:val="22"/>
          <w:rtl w:val="true"/>
        </w:rPr>
        <w:t>ץ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54678313-1131/05</w:t>
      </w:r>
    </w:p>
    <w:p>
      <w:pPr>
        <w:pStyle w:val="Normal"/>
        <w:ind w:end="0"/>
        <w:jc w:val="both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tblW w:w="789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61"/>
        <w:gridCol w:w="530"/>
        <w:gridCol w:w="2103"/>
        <w:gridCol w:w="493"/>
        <w:gridCol w:w="2507"/>
      </w:tblGrid>
      <w:tr>
        <w:trPr/>
        <w:tc>
          <w:tcPr>
            <w:tcW w:w="2261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ואגו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53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103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מרוז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49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507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31" w:name="Decision1"/>
      <w:bookmarkEnd w:id="31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5"/>
      <w:footerReference w:type="default" r:id="rId16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9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/Users/liorb/Downloads/study2025-p2/m05001131-364.doc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1131/05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אר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סעיד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ruller4">
    <w:name w:val="ruller4"/>
    <w:basedOn w:val="Normal"/>
    <w:qFormat/>
    <w:pPr>
      <w:overflowPunct w:val="false"/>
      <w:autoSpaceDE w:val="false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760300" TargetMode="External"/><Relationship Id="rId3" Type="http://schemas.openxmlformats.org/officeDocument/2006/relationships/hyperlink" Target="http://www.nevo.co.il/case/5760300" TargetMode="External"/><Relationship Id="rId4" Type="http://schemas.openxmlformats.org/officeDocument/2006/relationships/hyperlink" Target="http://www.nevo.co.il/case/5760300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2515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2515" TargetMode="External"/><Relationship Id="rId11" Type="http://schemas.openxmlformats.org/officeDocument/2006/relationships/hyperlink" Target="http://www.nevo.co.il/case/5735726" TargetMode="External"/><Relationship Id="rId12" Type="http://schemas.openxmlformats.org/officeDocument/2006/relationships/hyperlink" Target="http://www.nevo.co.il/case/2237501" TargetMode="External"/><Relationship Id="rId13" Type="http://schemas.openxmlformats.org/officeDocument/2006/relationships/hyperlink" Target="http://www.nevo.co.il/case/380100" TargetMode="External"/><Relationship Id="rId14" Type="http://schemas.openxmlformats.org/officeDocument/2006/relationships/hyperlink" Target="http://www.nevo.co.il/case/6180844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2016-03-23T11:02:00Z</dcterms:created>
  <dc:creator> </dc:creator>
  <dc:description/>
  <cp:keywords/>
  <dc:language>en-IL</dc:language>
  <cp:lastModifiedBy>hofit</cp:lastModifiedBy>
  <dcterms:modified xsi:type="dcterms:W3CDTF">2016-03-23T11:02:00Z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נג'אר סעיד;אל קון אחמד</vt:lpwstr>
  </property>
  <property fmtid="{D5CDD505-2E9C-101B-9397-08002B2CF9AE}" pid="4" name="CASESLISTTMP1">
    <vt:lpwstr>5760300:3;5735726;2237501;380100;6180844</vt:lpwstr>
  </property>
  <property fmtid="{D5CDD505-2E9C-101B-9397-08002B2CF9AE}" pid="5" name="CITY">
    <vt:lpwstr>ב"ש</vt:lpwstr>
  </property>
  <property fmtid="{D5CDD505-2E9C-101B-9397-08002B2CF9AE}" pid="6" name="DATE">
    <vt:lpwstr>20071227</vt:lpwstr>
  </property>
  <property fmtid="{D5CDD505-2E9C-101B-9397-08002B2CF9AE}" pid="7" name="DELEMATA">
    <vt:lpwstr>http://elyon2.court.gov.il/scripts9/mgrqispi93.dll?Appname=eScourt&amp;Prgname=GetFileDetails&amp;Arguments=-N2008-001465-0</vt:lpwstr>
  </property>
  <property fmtid="{D5CDD505-2E9C-101B-9397-08002B2CF9AE}" pid="8" name="ISABSTRACT">
    <vt:lpwstr>Y</vt:lpwstr>
  </property>
  <property fmtid="{D5CDD505-2E9C-101B-9397-08002B2CF9AE}" pid="9" name="JUDGE">
    <vt:lpwstr>ר. יפה כ#ץ;ו. מרוז;א. ואגו</vt:lpwstr>
  </property>
  <property fmtid="{D5CDD505-2E9C-101B-9397-08002B2CF9AE}" pid="10" name="LAWLISTTMP1">
    <vt:lpwstr>70301:3</vt:lpwstr>
  </property>
  <property fmtid="{D5CDD505-2E9C-101B-9397-08002B2CF9AE}" pid="11" name="LAWLISTTMP2">
    <vt:lpwstr>72515</vt:lpwstr>
  </property>
  <property fmtid="{D5CDD505-2E9C-101B-9397-08002B2CF9AE}" pid="12" name="LAWYER">
    <vt:lpwstr>חלפון;קעואר פידא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>http://www.nevo.co.il/Psika_word/elyon/08014650-o06.doc;להחלטה בעליון (07-04-2011)#עפ 1465/08 סעיד נג'אר נ' מדינת ישראל#שופטים: א' א' לוי#עו''ד: שרף, ל' חביב, ל' צמל, דיון בהסכמה</vt:lpwstr>
  </property>
  <property fmtid="{D5CDD505-2E9C-101B-9397-08002B2CF9AE}" pid="17" name="LINKK2">
    <vt:lpwstr>http://www.nevo.co.il/Psika_word/elyon/08014650-o06.doc;להחלטה בעליון (07-04-2011)#עפ 1465/08 סעיד נג'אר נ' מדינת ישראל#שופטים: א' א' לוי#עו''ד: שרף, ל' חביב, ל' צמל, דיון בהסכמה</vt:lpwstr>
  </property>
  <property fmtid="{D5CDD505-2E9C-101B-9397-08002B2CF9AE}" pid="18" name="LINKK3">
    <vt:lpwstr>http://www.nevo.co.il/Psika_word/elyon/08014650-o07.doc;לפסק-דין בעליון (11-04-2011)#עפ 1465/08 סעיד נג'אר נ' מדינת ישראל#שופטים: א' א' לוי, ס' ג'ובראן, י' דנציגר#עו''ד: יעל שרף, לביב חביב, לאה  צמל</vt:lpwstr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תפח;תפח</vt:lpwstr>
  </property>
  <property fmtid="{D5CDD505-2E9C-101B-9397-08002B2CF9AE}" pid="29" name="PROCNUM">
    <vt:lpwstr>1131;1132</vt:lpwstr>
  </property>
  <property fmtid="{D5CDD505-2E9C-101B-9397-08002B2CF9AE}" pid="30" name="PROCYEAR">
    <vt:lpwstr>05;05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N_DATE">
    <vt:lpwstr>39020071227</vt:lpwstr>
  </property>
  <property fmtid="{D5CDD505-2E9C-101B-9397-08002B2CF9AE}" pid="34" name="VOLUME">
    <vt:lpwstr/>
  </property>
  <property fmtid="{D5CDD505-2E9C-101B-9397-08002B2CF9AE}" pid="35" name="WORDNUMPAGES">
    <vt:lpwstr>9</vt:lpwstr>
  </property>
</Properties>
</file>