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סוג_מסמך"/>
      <w:bookmarkStart w:id="1" w:name="סוג_מסמך"/>
      <w:bookmarkEnd w:id="1"/>
    </w:p>
    <w:p>
      <w:pPr>
        <w:pStyle w:val="Normal"/>
        <w:spacing w:lineRule="auto" w:line="240"/>
        <w:ind w:end="0"/>
        <w:jc w:val="center"/>
        <w:rPr/>
      </w:pPr>
      <w:r>
        <w:rPr>
          <w:rFonts w:ascii="Arial" w:hAnsi="Arial" w:cs="Arial"/>
          <w:b/>
          <w:b/>
          <w:bCs/>
          <w:szCs w:val="32"/>
          <w:rtl w:val="true"/>
        </w:rPr>
        <w:t>בתי המשפט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3"/>
        <w:gridCol w:w="821"/>
        <w:gridCol w:w="2092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rFonts w:ascii="Arial" w:hAnsi="Arial" w:cs="Arial"/>
                <w:b/>
                <w:bCs/>
                <w:spacing w:val="110"/>
                <w:sz w:val="24"/>
              </w:rPr>
            </w:pPr>
            <w:r>
              <w:rPr>
                <w:rFonts w:cs="Arial" w:ascii="Arial" w:hAnsi="Arial"/>
                <w:b/>
                <w:bCs/>
                <w:spacing w:val="110"/>
                <w:sz w:val="24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בית משפט מחוזי באר שבע</w:t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 xml:space="preserve">פח </w:t>
            </w:r>
            <w:r>
              <w:rPr>
                <w:rFonts w:cs="Arial" w:ascii="Arial" w:hAnsi="Arial"/>
                <w:b/>
                <w:bCs/>
                <w:sz w:val="24"/>
              </w:rPr>
              <w:t>001163/06</w:t>
            </w:r>
          </w:p>
        </w:tc>
      </w:tr>
      <w:tr>
        <w:trPr>
          <w:trHeight w:val="195" w:hRule="atLeast"/>
          <w:cantSplit w:val="true"/>
        </w:trPr>
        <w:tc>
          <w:tcPr>
            <w:tcW w:w="5609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</w:r>
          </w:p>
        </w:tc>
        <w:tc>
          <w:tcPr>
            <w:tcW w:w="291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start"/>
              <w:rPr>
                <w:rFonts w:ascii="Arial" w:hAnsi="Arial" w:cs="Arial"/>
                <w:b/>
                <w:bCs/>
                <w:sz w:val="24"/>
              </w:rPr>
            </w:pPr>
            <w:bookmarkStart w:id="2" w:name="LastJudge"/>
            <w:bookmarkEnd w:id="2"/>
            <w:r>
              <w:rPr>
                <w:rFonts w:ascii="Arial" w:hAnsi="Arial" w:cs="Arial"/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rFonts w:cs="Arial" w:ascii="Arial" w:hAnsi="Arial"/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יפה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כ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 xml:space="preserve">ץ 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אב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ו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 xml:space="preserve">מרוז 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שופטת</w:t>
            </w:r>
          </w:p>
          <w:p>
            <w:pPr>
              <w:pStyle w:val="Heading4"/>
              <w:spacing w:lineRule="auto" w:line="24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</w:t>
            </w:r>
            <w:r>
              <w:rPr>
                <w:rFonts w:cs="Arial" w:ascii="Arial" w:hAnsi="Arial"/>
                <w:rtl w:val="true"/>
              </w:rPr>
              <w:t xml:space="preserve">. </w:t>
            </w:r>
            <w:r>
              <w:rPr>
                <w:rFonts w:ascii="Arial" w:hAnsi="Arial" w:cs="Arial"/>
                <w:rtl w:val="true"/>
              </w:rPr>
              <w:t>ואגו</w:t>
            </w:r>
            <w:r>
              <w:rPr>
                <w:rFonts w:cs="Arial" w:ascii="Arial" w:hAnsi="Arial"/>
                <w:rtl w:val="true"/>
              </w:rPr>
              <w:t xml:space="preserve">- </w:t>
            </w:r>
            <w:r>
              <w:rPr>
                <w:rFonts w:ascii="Arial" w:hAnsi="Arial" w:cs="Arial"/>
                <w:rtl w:val="true"/>
              </w:rPr>
              <w:t>שופט</w:t>
            </w:r>
          </w:p>
        </w:tc>
        <w:tc>
          <w:tcPr>
            <w:tcW w:w="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  <w:rtl w:val="true"/>
              </w:rPr>
            </w:r>
          </w:p>
        </w:tc>
        <w:tc>
          <w:tcPr>
            <w:tcW w:w="209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cs="Arial" w:ascii="Arial" w:hAnsi="Arial"/>
                <w:b/>
                <w:bCs/>
                <w:sz w:val="24"/>
              </w:rPr>
              <w:t>28/02/2007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ascii="Arial" w:hAnsi="Arial" w:cs="Arial"/>
          <w:b/>
          <w:bCs/>
          <w:sz w:val="24"/>
        </w:rPr>
      </w:pPr>
      <w:r>
        <w:rPr>
          <w:rFonts w:cs="Arial" w:ascii="Arial" w:hAnsi="Arial"/>
          <w:b/>
          <w:bCs/>
          <w:sz w:val="24"/>
          <w:rtl w:val="true"/>
        </w:rPr>
      </w:r>
    </w:p>
    <w:p>
      <w:pPr>
        <w:pStyle w:val="Header"/>
        <w:spacing w:lineRule="auto" w:line="240"/>
        <w:ind w:end="0"/>
        <w:jc w:val="start"/>
        <w:rPr>
          <w:rFonts w:ascii="Arial" w:hAnsi="Arial" w:cs="Arial"/>
          <w:b/>
          <w:bCs/>
          <w:sz w:val="24"/>
          <w:szCs w:val="20"/>
        </w:rPr>
      </w:pPr>
      <w:r>
        <w:rPr>
          <w:rFonts w:cs="Arial" w:ascii="Arial" w:hAnsi="Arial"/>
          <w:b/>
          <w:bCs/>
          <w:sz w:val="24"/>
          <w:szCs w:val="20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szCs w:val="20"/>
          <w:u w:val="none"/>
        </w:rPr>
      </w:pPr>
      <w:r>
        <w:rPr>
          <w:rFonts w:cs="Arial" w:ascii="Arial" w:hAnsi="Arial"/>
          <w:szCs w:val="20"/>
          <w:u w:val="non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3458"/>
        <w:gridCol w:w="142"/>
        <w:gridCol w:w="12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  <w:szCs w:val="26"/>
              </w:rPr>
            </w:pPr>
            <w:bookmarkStart w:id="3" w:name="FirstAppellant"/>
            <w:bookmarkStart w:id="4" w:name="שם_א"/>
            <w:bookmarkEnd w:id="3"/>
            <w:bookmarkEnd w:id="4"/>
            <w:r>
              <w:rPr>
                <w:rFonts w:ascii="Arial" w:hAnsi="Arial" w:cs="Arial"/>
                <w:rtl w:val="true"/>
              </w:rPr>
              <w:t>בעניין</w:t>
            </w:r>
            <w:r>
              <w:rPr>
                <w:rFonts w:cs="Arial" w:ascii="Arial" w:hAnsi="Arial"/>
                <w:rtl w:val="true"/>
              </w:rPr>
              <w:t>:</w:t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מדינת ישראל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5" w:name="FirstLawyer"/>
            <w:bookmarkStart w:id="6" w:name="בא_כוח_א"/>
            <w:bookmarkStart w:id="7" w:name="FirstLawyer"/>
            <w:bookmarkStart w:id="8" w:name="בא_כוח_א"/>
            <w:bookmarkEnd w:id="7"/>
            <w:bookmarkEnd w:id="8"/>
          </w:p>
        </w:tc>
        <w:tc>
          <w:tcPr>
            <w:tcW w:w="3600" w:type="dxa"/>
            <w:gridSpan w:val="2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מונטיליו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סגל</w:t>
            </w:r>
            <w:r>
              <w:rPr>
                <w:rFonts w:cs="Arial" w:ascii="Arial" w:hAnsi="Arial"/>
                <w:rtl w:val="true"/>
              </w:rPr>
              <w:t xml:space="preserve">, </w:t>
            </w:r>
            <w:r>
              <w:rPr>
                <w:rFonts w:ascii="Arial" w:hAnsi="Arial" w:cs="Arial"/>
                <w:rtl w:val="true"/>
              </w:rPr>
              <w:t>פמ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1220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  ג  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9" w:name="שם_ב"/>
            <w:bookmarkStart w:id="10" w:name="שם_ב"/>
            <w:bookmarkEnd w:id="10"/>
          </w:p>
        </w:tc>
        <w:tc>
          <w:tcPr>
            <w:tcW w:w="4820" w:type="dxa"/>
            <w:gridSpan w:val="3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כפארנה אמג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  <w:szCs w:val="26"/>
              </w:rPr>
            </w:pPr>
            <w:r>
              <w:rPr>
                <w:rFonts w:cs="Arial" w:ascii="Arial" w:hAnsi="Arial"/>
                <w:szCs w:val="26"/>
                <w:rtl w:val="true"/>
              </w:rPr>
            </w:r>
            <w:bookmarkStart w:id="11" w:name="בא_כוח_ב"/>
            <w:bookmarkStart w:id="12" w:name="בא_כוח_ב"/>
            <w:bookmarkEnd w:id="12"/>
          </w:p>
        </w:tc>
        <w:tc>
          <w:tcPr>
            <w:tcW w:w="3458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 מחמד ג</w:t>
            </w:r>
            <w:r>
              <w:rPr>
                <w:rFonts w:cs="Arial" w:ascii="Arial" w:hAnsi="Arial"/>
                <w:rtl w:val="true"/>
              </w:rPr>
              <w:t>'</w:t>
            </w:r>
            <w:r>
              <w:rPr>
                <w:rFonts w:ascii="Arial" w:hAnsi="Arial" w:cs="Arial"/>
                <w:rtl w:val="true"/>
              </w:rPr>
              <w:t>אברין</w:t>
            </w:r>
          </w:p>
        </w:tc>
        <w:tc>
          <w:tcPr>
            <w:tcW w:w="1362" w:type="dxa"/>
            <w:gridSpan w:val="2"/>
            <w:tcBorders/>
          </w:tcPr>
          <w:p>
            <w:pPr>
              <w:pStyle w:val="Style10"/>
              <w:snapToGrid w:val="false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הנאשם</w:t>
            </w:r>
          </w:p>
        </w:tc>
      </w:tr>
    </w:tbl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  <w:bookmarkStart w:id="13" w:name="LawTable"/>
      <w:bookmarkStart w:id="14" w:name="LawTable"/>
      <w:bookmarkEnd w:id="14"/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פקודת מניעת טרור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3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</w:p>
    <w:p>
      <w:pPr>
        <w:pStyle w:val="Heading1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sz w:val="24"/>
          <w:szCs w:val="24"/>
          <w:u w:val="none"/>
        </w:rPr>
      </w:pPr>
      <w:r>
        <w:rPr>
          <w:rFonts w:cs="Arial" w:ascii="Arial" w:hAnsi="Arial"/>
          <w:b w:val="false"/>
          <w:bCs w:val="false"/>
          <w:sz w:val="24"/>
          <w:szCs w:val="24"/>
          <w:u w:val="none"/>
          <w:rtl w:val="true"/>
        </w:rPr>
      </w:r>
      <w:bookmarkStart w:id="15" w:name="LawTable_End"/>
      <w:bookmarkStart w:id="16" w:name="LawTable_End"/>
      <w:bookmarkEnd w:id="16"/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b w:val="false"/>
          <w:bCs w:val="false"/>
          <w:u w:val="none"/>
        </w:rPr>
      </w:pPr>
      <w:r>
        <w:rPr>
          <w:rFonts w:cs="Arial" w:ascii="Arial" w:hAnsi="Arial"/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rFonts w:ascii="Arial" w:hAnsi="Arial" w:cs="Arial"/>
          <w:u w:val="none"/>
        </w:rPr>
      </w:pPr>
      <w:r>
        <w:rPr>
          <w:rFonts w:cs="Arial" w:ascii="Arial" w:hAnsi="Arial"/>
          <w:u w:val="none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17" w:name="סוג_מסמך"/>
      <w:bookmarkStart w:id="18" w:name="PsakDin"/>
      <w:bookmarkEnd w:id="17"/>
      <w:bookmarkEnd w:id="18"/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>גזר דין</w:t>
      </w:r>
    </w:p>
    <w:p>
      <w:pPr>
        <w:pStyle w:val="Normal"/>
        <w:ind w:end="0"/>
        <w:jc w:val="both"/>
        <w:rPr>
          <w:rFonts w:ascii="Arial" w:hAnsi="Arial" w:cs="Arial"/>
        </w:rPr>
      </w:pPr>
      <w:bookmarkStart w:id="19" w:name="PsakDin"/>
      <w:bookmarkEnd w:id="19"/>
      <w:r>
        <w:rPr>
          <w:rFonts w:ascii="Arial" w:hAnsi="Arial" w:cs="Arial"/>
          <w:b/>
          <w:b/>
          <w:bCs/>
          <w:u w:val="single"/>
          <w:rtl w:val="true"/>
        </w:rPr>
        <w:t>השופטת ר</w:t>
      </w:r>
      <w:r>
        <w:rPr>
          <w:rFonts w:cs="Arial" w:ascii="Arial" w:hAnsi="Arial"/>
          <w:b/>
          <w:bCs/>
          <w:u w:val="single"/>
          <w:rtl w:val="true"/>
        </w:rPr>
        <w:t xml:space="preserve">. </w:t>
      </w:r>
      <w:r>
        <w:rPr>
          <w:rFonts w:ascii="Arial" w:hAnsi="Arial" w:cs="Arial"/>
          <w:b/>
          <w:b/>
          <w:bCs/>
          <w:u w:val="single"/>
          <w:rtl w:val="true"/>
        </w:rPr>
        <w:t>יפה</w:t>
      </w:r>
      <w:r>
        <w:rPr>
          <w:rFonts w:cs="Arial" w:ascii="Arial" w:hAnsi="Arial"/>
          <w:b/>
          <w:bCs/>
          <w:u w:val="single"/>
          <w:rtl w:val="true"/>
        </w:rPr>
        <w:t>-</w:t>
      </w:r>
      <w:r>
        <w:rPr>
          <w:rFonts w:ascii="Arial" w:hAnsi="Arial" w:cs="Arial"/>
          <w:b/>
          <w:b/>
          <w:bCs/>
          <w:u w:val="single"/>
          <w:rtl w:val="true"/>
        </w:rPr>
        <w:t>כ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ץ</w:t>
      </w:r>
      <w:r>
        <w:rPr>
          <w:rFonts w:cs="Arial" w:ascii="Arial" w:hAnsi="Arial"/>
          <w:b/>
          <w:bCs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u w:val="single"/>
          <w:rtl w:val="true"/>
        </w:rPr>
        <w:t>אב</w:t>
      </w:r>
      <w:r>
        <w:rPr>
          <w:rFonts w:cs="Arial" w:ascii="Arial" w:hAnsi="Arial"/>
          <w:b/>
          <w:bCs/>
          <w:u w:val="single"/>
          <w:rtl w:val="true"/>
        </w:rPr>
        <w:t>"</w:t>
      </w:r>
      <w:r>
        <w:rPr>
          <w:rFonts w:ascii="Arial" w:hAnsi="Arial" w:cs="Arial"/>
          <w:b/>
          <w:b/>
          <w:bCs/>
          <w:u w:val="single"/>
          <w:rtl w:val="true"/>
        </w:rPr>
        <w:t>ד</w:t>
      </w:r>
      <w:r>
        <w:rPr>
          <w:rFonts w:cs="Arial" w:ascii="Arial" w:hAnsi="Arial"/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תוקן כתב האישום המקורי שהוגש כנגד הנאשם והוא הודה בעובדות שבכתב האישום המתוקן והורשע בהתאם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הסדר הטיעון לא כלל הסכמה לעניין העונש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bookmarkStart w:id="20" w:name="ABSTRACT_START"/>
      <w:bookmarkEnd w:id="20"/>
      <w:r>
        <w:rPr>
          <w:rFonts w:ascii="Arial" w:hAnsi="Arial" w:cs="Arial"/>
          <w:rtl w:val="true"/>
        </w:rPr>
        <w:t>בהתאם לעובדות כתב האישום המתוקן בו הודה הנאשם עולה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מדוייק שאינו ידוע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גוייס הנאשם לארגון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bookmarkStart w:id="21" w:name="ABSTRACT_END"/>
      <w:bookmarkEnd w:id="21"/>
      <w:r>
        <w:rPr>
          <w:rFonts w:ascii="Arial" w:hAnsi="Arial" w:cs="Arial"/>
          <w:rtl w:val="true"/>
        </w:rPr>
        <w:t xml:space="preserve">ארגון שהוכרז בתאריך </w:t>
      </w:r>
      <w:r>
        <w:rPr>
          <w:rFonts w:cs="Arial" w:ascii="Arial" w:hAnsi="Arial"/>
        </w:rPr>
        <w:t>22/6/89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כארגון טרור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גוייס לארגון על ידי בן דודו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 הארגון בשם ראמי זווידי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והצטרף לפלג של הארגון הקרוי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אוסרה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ועסק עם חברי האוסרה בשעורי דת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במועד כלשהו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מעצרו של ראמי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חדל הנאשם מפעילותו בארגון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לאחר מכן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פנה אל הנאשם איברהים זווידי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אביו של ראמי ופעיל בארגון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אף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איברהים זווידי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וביקש מהנאשם לחזור ולהצטרף לפעילות בארגון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נענה לבקשתו של איברהים ולמשך שבועיים חזר לארגון יחד עם פעילים נוספים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הנאשם לארגון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שיש בו כדי לפגוע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הורשע בעבירה של חברות בארגון טרוריסטי לפי </w:t>
      </w:r>
      <w:hyperlink r:id="rId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hyperlink r:id="rId8">
        <w:r>
          <w:rPr>
            <w:rStyle w:val="Hyperlink"/>
            <w:rFonts w:ascii="Arial" w:hAnsi="Arial" w:cs="Arial"/>
            <w:rtl w:val="true"/>
          </w:rPr>
          <w:t>פקודת מניעת טרור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ח – </w:t>
      </w:r>
      <w:r>
        <w:rPr>
          <w:rFonts w:cs="Arial" w:ascii="Arial" w:hAnsi="Arial"/>
        </w:rPr>
        <w:t>1948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במסגרת האישום השני של כתב האישום הודה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במהלך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במועד כלשהו שאינו ידוע במדוייק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ברצועת עזה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קשרו חמישה פעילים של ארגון החמאס קשר להניח מטען חבלה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לגרום למותם של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במסגרת הקשר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ולשם קידומו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הביאו הקושרים מטען חבלה המכיל חומר נפץ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rtl w:val="true"/>
        </w:rPr>
        <w:t>המטען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 xml:space="preserve">מטען חבלה נוסף וטיל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שהינו טיל 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 שמיועד לפגיעה בכלי 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לקירבת ביתו של דודו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התגורר גם בנו של הדוד בשם עבד עללא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ובני משפחתו התנגדו להנחת הטיל בקירבת 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חששו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אם יפגעו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בקרבת ביתו של עבד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יפגעו חיילי צה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 גם בבני משפחתם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מהתנגדות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החליטו הקושרים לוותר על הנחת המטען במקום האמור והנאשם הצטרף לאחד הקושרים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בשם מוחמד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ויחד עמו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הוציא את המטען מהמקום שם הוחבא ונשא אותו לקירבת ביתו של דודו איברהים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לשמור עליו עבור מוחמד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בקרבת ביתו של איברהים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השאירו הקושרים את המטען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המטען הנוסף ואת הטיל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ובסופו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הגיעו אל הנאשם פעילי ארגון החמאס ולקחו ממקום המחבוא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שני המטענים והטיל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במעשיו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סייע הנאשם בהחזקת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שלא כדין נשק והחזיק בנשק עבור ארגון טרוריסטי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שיש בו כדי לפגוע בבטחון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ולכן הורשע בעבירות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סיוע להחזקת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ריישא ל</w:t>
      </w:r>
      <w:hyperlink r:id="rId10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ז – 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עבירות בנשק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נשיאת נשק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לפי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ריישא לחוק הנ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במסגרת טיעוניה לעונש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עמדה התובעת המלומדה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מונטיליו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סגל על החומרה הרבה שבמעשי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הצטרפותו לארגון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אוסרה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משמעותו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מקבל עליו את האידיאולוגיה של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ושהוא מוכן לפעול במסגרת התנועה הטרוריסטית ולהיות חלק מהאורגנים שלה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כל פעילות 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מאפשרת לפעילים הקיצוניים לפעול באופן ישיר נגד מדינת ישראל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start="72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התובעת הוסיפה וטענה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עמדת המדינה היא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שכל איבר מאיברי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בצורה זו או אחרת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סכנה לבטחון מדינת ישראל שכן ידוע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שם לו כיעד עליון את המטרה להשמיד את מדינת ישראל ולפגוע בבטחונה ובבטחון אזרחיה ותושביה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התובעת הדגישה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גם כאשר הנאשם לא היה חבר פעיל בארגון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במהלך 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עדיין סייע לפעילות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הצטרף אל הקושרים וסייע להם לשמור על מטעני חבלה וטיל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שהיו אמורים לפגוע באמצעותם בבטחון המדינה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מכאן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שהנאשם גם אם הפסיק את חברותו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שאידיאולוגית עדיין היה מקושר אליו והיה מוכן לסייע לארגון גם בלא להיות חבר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נוכח התקופה הקשה בו נמצאת 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סברה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יש לתת עדיפות לעקרון ההרתעה וזאת על ידי ענישה מרתיעה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כדי לגרום לאחרים לשקול היטב בטרם יצטרפו ובטרם יסייעו לפעילות של ארגון טרור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התובעת להטיל על הנאשם עונש של מאסר בפועל ממושך ומאסר על תנאי ארוך ומרתיע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הסניגור המלומד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אברין מחמד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התייחס בתחילת טיעוניו למקומו של ארגון האוסרה במסגרת ההיררכית של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מדובר בהתארגנויות שנעשות במסגדים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שם מלמדים את חברי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המשפחה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כך מכונה האירגון בפי חבריו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לימודי דת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בפעילים בני כל הגילאים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יושבים יחדיו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לומדים קוראן ותורה שבעל פה מדברי הנביא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מבלי שיש תמיכה כספית של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 בארגון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לא כפר בכך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שמדובר בארגון אשר הוכרז כארגון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לעמדתו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פעילות הארגון אינה מהווה סיכון ממשי מיידי לתושבי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הגם שהסכים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מתוך חברי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אוסרה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מגייסים גם את הפעילים האחרים של ארגון החמא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הדגיש את העובדה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הנאשם היה חבר בארגון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אוסרה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תקופה קצרה בלבד במהלך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עזב מיוזמתו את הארגון ולא עשה כל פעילות אסורה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פרט לכך שקיבל שעורי דת במסגרת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כאשר הנאשם הצטרף לאירגון שוב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לאחר שעזב אותו לראשונה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שהיה הדבר לתקופה של שבועיים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ועל פי בקשת דודו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שהוא איש 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שניסה לקרב את הנאשם לפעילות שבמסגד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גם הארוע נשוא האישום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מלמד על חומרה רבה מצידו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נהפוך הוא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שרצה הנאשם במעשיו הוא להרחיק את הסכנה מביתו ומסיבה זו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הצטרף אל הקושרים ונטל את אמצעי הלחימה למקום מרוחק 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בפעולה ספונטנית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רגעית וחד פעמית וללא מטרה של פגיעה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מתוך מטרה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להגן על בני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לדברי הסנגור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מדובר בנאשם בן </w:t>
      </w:r>
      <w:r>
        <w:rPr>
          <w:rFonts w:cs="Arial" w:ascii="Arial" w:hAnsi="Arial"/>
        </w:rPr>
        <w:t>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התחתן בסוף 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הקים 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לו שני ילדים קטנים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ללא עבר פלילי – לא בטחוני ולא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ובטרם מעצרו עבד כמכונאי ברצועת עזה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ביקש להתחשב בעובדה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נגרם כל נזק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בנפש ולא ברכוש ממעשי הנאשם ולכן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 שלא למצות עמו את הדין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הסניגור המלומד צרף לטיעוניו אסופת פסקי דין מהם ביקש ללמוד על רמת ענישה נמוכה בהרבה מזו המבוקשת על ידי המדינה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הנאשם פנה אף הוא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ש וסיפר כיצד נגרר אחרי בני משפחתו בשנת </w:t>
      </w:r>
      <w:r>
        <w:rPr>
          <w:rFonts w:cs="Arial" w:ascii="Arial" w:hAnsi="Arial"/>
        </w:rPr>
        <w:t>2003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והצטרף לאוסרה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עזב את הארגון מרצונו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וגם עזב אותו לאחר שנתבקש על ידי דודו לשבת וללמוד את הקוראן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פנה לחיים רגילים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בנה 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התחתן והצליח בעבודתו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והדגיש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בפולטיקה ודברים כאלה אני לא נכנס ולא מתעניין</w:t>
      </w:r>
      <w:r>
        <w:rPr>
          <w:rFonts w:cs="Arial" w:ascii="Arial" w:hAnsi="Arial"/>
          <w:b/>
          <w:bCs/>
          <w:rtl w:val="true"/>
        </w:rPr>
        <w:t xml:space="preserve">... </w:t>
      </w:r>
      <w:r>
        <w:rPr>
          <w:rFonts w:ascii="Arial" w:hAnsi="Arial" w:cs="Arial"/>
          <w:b/>
          <w:b/>
          <w:bCs/>
          <w:rtl w:val="true"/>
        </w:rPr>
        <w:t>אני מצטער על זה שנכנסתי לאוסרה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עבירה של חברות בארגון טרור נבחנת בשני רבדים של חומרה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האחד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חברות בארגון ונקיטת פעולות אקטיביות במסגרתו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והשני – חברות גרידא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בלא נקיטת פעולות נוספות במסגרתו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ר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לעניין זה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hyperlink r:id="rId12"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ת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"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 xml:space="preserve">פ 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>(</w:t>
        </w:r>
        <w:r>
          <w:rPr>
            <w:rStyle w:val="Hyperlink"/>
            <w:rFonts w:ascii="Arial" w:hAnsi="Arial" w:cs="Arial"/>
            <w:sz w:val="22"/>
            <w:sz w:val="22"/>
            <w:szCs w:val="22"/>
            <w:rtl w:val="true"/>
          </w:rPr>
          <w:t>ירושלים</w:t>
        </w:r>
        <w:r>
          <w:rPr>
            <w:rStyle w:val="Hyperlink"/>
            <w:rFonts w:cs="Arial" w:ascii="Arial" w:hAnsi="Arial"/>
            <w:sz w:val="22"/>
            <w:szCs w:val="22"/>
            <w:rtl w:val="true"/>
          </w:rPr>
          <w:t xml:space="preserve">) </w:t>
        </w:r>
        <w:r>
          <w:rPr>
            <w:rStyle w:val="Hyperlink"/>
            <w:rFonts w:cs="Arial" w:ascii="Arial" w:hAnsi="Arial"/>
            <w:sz w:val="22"/>
            <w:szCs w:val="22"/>
          </w:rPr>
          <w:t>1221/01</w:t>
        </w:r>
      </w:hyperlink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 נ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עומר עוויס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תק</w:t>
      </w:r>
      <w:r>
        <w:rPr>
          <w:rFonts w:cs="Arial" w:ascii="Arial" w:hAnsi="Arial"/>
          <w:sz w:val="22"/>
          <w:szCs w:val="22"/>
          <w:rtl w:val="true"/>
        </w:rPr>
        <w:t>'-</w:t>
      </w:r>
      <w:r>
        <w:rPr>
          <w:rFonts w:ascii="Arial" w:hAnsi="Arial" w:cs="Arial"/>
          <w:sz w:val="22"/>
          <w:sz w:val="22"/>
          <w:szCs w:val="22"/>
          <w:rtl w:val="true"/>
        </w:rPr>
        <w:t>מח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cs="Arial" w:ascii="Arial" w:hAnsi="Arial"/>
          <w:sz w:val="22"/>
          <w:szCs w:val="22"/>
        </w:rPr>
        <w:t>2002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cs="Arial" w:ascii="Arial" w:hAnsi="Arial"/>
          <w:sz w:val="22"/>
          <w:szCs w:val="22"/>
        </w:rPr>
        <w:t>1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sz w:val="22"/>
          <w:szCs w:val="22"/>
        </w:rPr>
        <w:t>10937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מפי כב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השופט גל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נופל בגדרו של הרובד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שמטבע הדברים הוא חמור פחות מהרובד הראשון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יחד 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חברות בארגון טרור היא חמורה לכשעצמה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שהרי בעצם החברות יש כדי להעצים ולהאדיר את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לתת לו תמיכה ולעודד את פעילותו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הפרט המצטרף לארגון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בעצם הצטרפותו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מאפשר את פעילות הארגון על כל רבדיה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כולל פעילותם של הקיצוניים שבין החברים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פוגעים בבטחון מדינת ישראל ותושביה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החברות בארגון הטרור גם אם היא התמצתה בלימודי דת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מהווה תמיכה בארגון ופגיעה בבטחון המדינה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מובן מאליו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בכל מקרה יש לבחון מעבר לחברות הפורמלית בארגון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את מהות והיקף הפעילות של אותו חבר בארגון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יש ופעילות במסגרת ארגון טרור כמו 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אוסרה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>אינה אלא מסווה לפעילות המכוונת נגד בטחון המדינה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ויש ומדובר בפעילות של לימודים בלבד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פעילות מהסוג האחרון אינה מותרת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פעם גם פעילות שכזו מיועדת לגיוס ולקרוב החברים כדי להביאם בעתיד להצטרף לשורות הפעילות בחמא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ככל שמדובר בהערכת חומרת העבירות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כמובן מקום לאבחן בין השניים </w:t>
      </w:r>
      <w:r>
        <w:rPr>
          <w:rFonts w:cs="Arial" w:ascii="Arial" w:hAnsi="Arial"/>
          <w:sz w:val="22"/>
          <w:szCs w:val="22"/>
          <w:rtl w:val="true"/>
        </w:rPr>
        <w:t>(</w:t>
      </w:r>
      <w:r>
        <w:rPr>
          <w:rFonts w:ascii="Arial" w:hAnsi="Arial" w:cs="Arial"/>
          <w:sz w:val="22"/>
          <w:sz w:val="22"/>
          <w:szCs w:val="22"/>
          <w:rtl w:val="true"/>
        </w:rPr>
        <w:t>ר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לענין זה גם ערעור דן יחיד אזח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 xml:space="preserve">ע </w:t>
      </w:r>
      <w:r>
        <w:rPr>
          <w:rFonts w:cs="Arial" w:ascii="Arial" w:hAnsi="Arial"/>
          <w:sz w:val="22"/>
          <w:szCs w:val="22"/>
        </w:rPr>
        <w:t>17/00</w:t>
      </w:r>
      <w:r>
        <w:rPr>
          <w:rFonts w:cs="Arial" w:ascii="Arial" w:hAnsi="Arial"/>
          <w:sz w:val="22"/>
          <w:szCs w:val="22"/>
          <w:rtl w:val="true"/>
        </w:rPr>
        <w:t xml:space="preserve"> + </w:t>
      </w:r>
      <w:r>
        <w:rPr>
          <w:rFonts w:cs="Arial" w:ascii="Arial" w:hAnsi="Arial"/>
          <w:sz w:val="22"/>
          <w:szCs w:val="22"/>
        </w:rPr>
        <w:t>15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sz w:val="22"/>
          <w:sz w:val="22"/>
          <w:szCs w:val="22"/>
          <w:rtl w:val="true"/>
        </w:rPr>
        <w:t>בית משפט צבאי לערעורים באיו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ש ובאזח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ע</w:t>
      </w:r>
      <w:r>
        <w:rPr>
          <w:rFonts w:cs="Arial" w:ascii="Arial" w:hAnsi="Arial"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מדינת ישראל נגד אבו מערוף</w:t>
      </w:r>
      <w:r>
        <w:rPr>
          <w:rFonts w:cs="Arial" w:ascii="Arial" w:hAnsi="Arial"/>
          <w:sz w:val="22"/>
          <w:szCs w:val="22"/>
          <w:u w:val="single"/>
          <w:rtl w:val="true"/>
        </w:rPr>
        <w:t>,</w:t>
      </w:r>
      <w:r>
        <w:rPr>
          <w:rFonts w:cs="Arial" w:ascii="Arial" w:hAnsi="Arial"/>
          <w:sz w:val="22"/>
          <w:szCs w:val="22"/>
          <w:rtl w:val="true"/>
        </w:rPr>
        <w:t xml:space="preserve"> </w:t>
      </w:r>
      <w:r>
        <w:rPr>
          <w:rFonts w:ascii="Arial" w:hAnsi="Arial" w:cs="Arial"/>
          <w:sz w:val="22"/>
          <w:sz w:val="22"/>
          <w:szCs w:val="22"/>
          <w:rtl w:val="true"/>
        </w:rPr>
        <w:t>בפני כב</w:t>
      </w:r>
      <w:r>
        <w:rPr>
          <w:rFonts w:cs="Arial" w:ascii="Arial" w:hAnsi="Arial"/>
          <w:sz w:val="22"/>
          <w:szCs w:val="22"/>
          <w:rtl w:val="true"/>
        </w:rPr>
        <w:t xml:space="preserve">' </w:t>
      </w:r>
      <w:r>
        <w:rPr>
          <w:rFonts w:ascii="Arial" w:hAnsi="Arial" w:cs="Arial"/>
          <w:sz w:val="22"/>
          <w:sz w:val="22"/>
          <w:szCs w:val="22"/>
          <w:rtl w:val="true"/>
        </w:rPr>
        <w:t>הנשיא אל</w:t>
      </w:r>
      <w:r>
        <w:rPr>
          <w:rFonts w:cs="Arial" w:ascii="Arial" w:hAnsi="Arial"/>
          <w:sz w:val="22"/>
          <w:szCs w:val="22"/>
          <w:rtl w:val="true"/>
        </w:rPr>
        <w:t>"</w:t>
      </w:r>
      <w:r>
        <w:rPr>
          <w:rFonts w:ascii="Arial" w:hAnsi="Arial" w:cs="Arial"/>
          <w:sz w:val="22"/>
          <w:sz w:val="22"/>
          <w:szCs w:val="22"/>
          <w:rtl w:val="true"/>
        </w:rPr>
        <w:t>מ שאול גורדון</w:t>
      </w:r>
      <w:r>
        <w:rPr>
          <w:rFonts w:cs="Arial" w:ascii="Arial" w:hAnsi="Arial"/>
          <w:sz w:val="22"/>
          <w:szCs w:val="22"/>
          <w:rtl w:val="true"/>
        </w:rPr>
        <w:t>)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מקובל עלינו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מי שמקבל על עצמו להיות חבר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ששם לו למטרה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יוכל לטעון אחר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לא התכוון להיות שותף למטרות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יש ממש בדברי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משיקולי הרתעה יש מקום לענישתו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נוכח הנסיבות המקלות אשר פורטו בדברי הסניגור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וביניהן הודאתו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נסיבותיו האישיות ובעיקר עזיבתו מיוזמתו את ארגון הטרור והתקופה הקצרה בה היה חבר בארגון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מקום למצות עמו את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לעניין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גם לזכור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בנוסף לחברות בארגון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אף סייע בידי הארגון בשנת </w:t>
      </w:r>
      <w:r>
        <w:rPr>
          <w:rFonts w:cs="Arial" w:ascii="Arial" w:hAnsi="Arial"/>
        </w:rPr>
        <w:t>2006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לא היה חבר במסגרת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וזאת כאשר הוביל את מטעני החבלה ואת הטיל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יאסין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אשר ארגון הטרור החביא בסמוך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שהוא מרחיק את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ושומר עליו למען הארגון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אמנם מעשי הנאשם נעשו מתוך מטרה להרחיק את האמל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מביתו וכדי להגן על בני משפחתו ולא מתוך מטרות השייכות לאידיאולוגיה של ארגון הטרור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בכל מקרה הוביל נשק ושמר עליו למען הארגון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בידיעה ברורה שהנשק מיועד לפגוע במדינת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תושביה וחייליה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לאור כל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אנו גוזרים על הנאשם את העונשים הבאים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בפועל למשך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בניכוי ימי המעצר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מאסר על תנאי למשך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והתנאי שהנאשם לא יעבור שום עבירה מסוג פשע תוך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מיום שחרורו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1440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 לביהמ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ש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/>
          <w:bCs/>
          <w:color w:val="000000"/>
          <w:rtl w:val="true"/>
        </w:rPr>
        <w:t>ניתן היום ט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באדר</w:t>
      </w:r>
      <w:r>
        <w:rPr>
          <w:rFonts w:cs="Arial" w:ascii="Arial" w:hAnsi="Arial"/>
          <w:b/>
          <w:bCs/>
          <w:color w:val="000000"/>
          <w:rtl w:val="true"/>
        </w:rPr>
        <w:t xml:space="preserve">, </w:t>
      </w:r>
      <w:r>
        <w:rPr>
          <w:rFonts w:ascii="Arial" w:hAnsi="Arial" w:cs="Arial"/>
          <w:b/>
          <w:b/>
          <w:bCs/>
          <w:color w:val="000000"/>
          <w:rtl w:val="true"/>
        </w:rPr>
        <w:t>תשס</w:t>
      </w:r>
      <w:r>
        <w:rPr>
          <w:rFonts w:cs="Arial" w:ascii="Arial" w:hAnsi="Arial"/>
          <w:b/>
          <w:bCs/>
          <w:color w:val="000000"/>
          <w:rtl w:val="true"/>
        </w:rPr>
        <w:t>"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ז </w:t>
      </w:r>
      <w:r>
        <w:rPr>
          <w:rFonts w:cs="Arial" w:ascii="Arial" w:hAnsi="Arial"/>
          <w:b/>
          <w:bCs/>
          <w:color w:val="000000"/>
          <w:rtl w:val="true"/>
        </w:rPr>
        <w:t>(</w:t>
      </w:r>
      <w:r>
        <w:rPr>
          <w:rFonts w:cs="Arial" w:ascii="Arial" w:hAnsi="Arial"/>
          <w:b/>
          <w:bCs/>
          <w:color w:val="000000"/>
        </w:rPr>
        <w:t>27</w:t>
      </w:r>
      <w:r>
        <w:rPr>
          <w:rFonts w:cs="Arial" w:ascii="Arial" w:hAnsi="Arial"/>
          <w:b/>
          <w:bCs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בפברואר </w:t>
      </w:r>
      <w:r>
        <w:rPr>
          <w:rFonts w:cs="Arial" w:ascii="Arial" w:hAnsi="Arial"/>
          <w:b/>
          <w:bCs/>
          <w:color w:val="000000"/>
        </w:rPr>
        <w:t>2007</w:t>
      </w:r>
      <w:r>
        <w:rPr>
          <w:rFonts w:cs="Arial" w:ascii="Arial" w:hAnsi="Arial"/>
          <w:b/>
          <w:bCs/>
          <w:color w:val="000000"/>
          <w:rtl w:val="true"/>
        </w:rPr>
        <w:t xml:space="preserve">) </w:t>
      </w:r>
      <w:r>
        <w:rPr>
          <w:rFonts w:ascii="Arial" w:hAnsi="Arial" w:cs="Arial"/>
          <w:b/>
          <w:b/>
          <w:bCs/>
          <w:color w:val="000000"/>
          <w:rtl w:val="true"/>
        </w:rPr>
        <w:t xml:space="preserve">במעמד הצדדים 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Arial" w:hAnsi="Arial"/>
          <w:color w:val="000000"/>
          <w:sz w:val="22"/>
          <w:szCs w:val="22"/>
        </w:rPr>
      </w:pPr>
      <w:r>
        <w:rPr>
          <w:rFonts w:ascii="Arial" w:hAnsi="Arial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Arial" w:hAnsi="Arial"/>
          <w:color w:val="000000"/>
          <w:sz w:val="22"/>
          <w:szCs w:val="22"/>
          <w:rtl w:val="true"/>
        </w:rPr>
        <w:t xml:space="preserve">.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יפה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כ</w:t>
      </w:r>
      <w:r>
        <w:rPr>
          <w:rFonts w:cs="David" w:ascii="Arial" w:hAnsi="Arial"/>
          <w:color w:val="000000"/>
          <w:sz w:val="22"/>
          <w:szCs w:val="22"/>
          <w:rtl w:val="true"/>
        </w:rPr>
        <w:t>"</w:t>
      </w:r>
      <w:r>
        <w:rPr>
          <w:rFonts w:ascii="Arial" w:hAnsi="Arial"/>
          <w:color w:val="000000"/>
          <w:sz w:val="22"/>
          <w:sz w:val="22"/>
          <w:szCs w:val="22"/>
          <w:rtl w:val="true"/>
        </w:rPr>
        <w:t>ץ</w:t>
      </w:r>
      <w:r>
        <w:rPr>
          <w:rFonts w:ascii="Arial" w:hAnsi="Arial"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 w:ascii="Arial" w:hAnsi="Arial"/>
          <w:color w:val="000000"/>
          <w:sz w:val="22"/>
          <w:szCs w:val="22"/>
        </w:rPr>
        <w:t>54678313-1163/06</w:t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FFFFFF"/>
          <w:sz w:val="2"/>
          <w:szCs w:val="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Arial" w:hAnsi="Arial" w:cs="David"/>
          <w:b/>
          <w:bCs/>
          <w:color w:val="000000"/>
          <w:sz w:val="22"/>
          <w:szCs w:val="22"/>
        </w:rPr>
      </w:pPr>
      <w:r>
        <w:rPr>
          <w:rFonts w:cs="David" w:ascii="Arial" w:hAnsi="Arial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  <w:b/>
          <w:bCs/>
          <w:color w:val="000000"/>
          <w:sz w:val="2"/>
          <w:szCs w:val="2"/>
        </w:rPr>
      </w:pPr>
      <w:r>
        <w:rPr>
          <w:rFonts w:cs="Arial" w:ascii="Arial" w:hAnsi="Arial"/>
          <w:b/>
          <w:bCs/>
          <w:color w:val="000000"/>
          <w:sz w:val="2"/>
          <w:szCs w:val="2"/>
        </w:rPr>
        <w:t>5467831354678313</w:t>
      </w:r>
    </w:p>
    <w:tbl>
      <w:tblPr>
        <w:tblW w:w="789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61"/>
        <w:gridCol w:w="530"/>
        <w:gridCol w:w="2103"/>
        <w:gridCol w:w="493"/>
        <w:gridCol w:w="2507"/>
      </w:tblGrid>
      <w:tr>
        <w:trPr/>
        <w:tc>
          <w:tcPr>
            <w:tcW w:w="2261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א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ואגו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</w:p>
        </w:tc>
        <w:tc>
          <w:tcPr>
            <w:tcW w:w="53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103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ו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מרוז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49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  <w:tc>
          <w:tcPr>
            <w:tcW w:w="2507" w:type="dxa"/>
            <w:tcBorders>
              <w:top w:val="single" w:sz="12" w:space="0" w:color="000000"/>
            </w:tcBorders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ר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יפה</w:t>
            </w:r>
            <w:r>
              <w:rPr>
                <w:rFonts w:cs="Arial" w:ascii="Arial" w:hAnsi="Arial"/>
                <w:b/>
                <w:bCs/>
                <w:rtl w:val="true"/>
              </w:rPr>
              <w:t>-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כ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ץ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אב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ד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001163/06</w:t>
      </w:r>
      <w:r>
        <w:rPr>
          <w:rtl w:val="true"/>
        </w:rPr>
        <w:t>פח</w:t>
      </w:r>
      <w:r>
        <w:rPr>
          <w:rFonts w:cs="Times New Roman"/>
          <w:rtl w:val="true"/>
        </w:rPr>
        <w:t xml:space="preserve">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טובה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3"/>
      <w:footerReference w:type="default" r:id="rId14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/Users/liorb/Downloads/study2025-p2/m06001163-468.doc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תפח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1163/06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כפארנה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אמג</w:t>
    </w:r>
    <w:r>
      <w:rPr>
        <w:rFonts w:cs="David"/>
        <w:color w:val="000000"/>
        <w:sz w:val="22"/>
        <w:szCs w:val="22"/>
        <w:rtl w:val="true"/>
      </w:rPr>
      <w:t>'</w:t>
    </w:r>
    <w:r>
      <w:rPr>
        <w:color w:val="000000"/>
        <w:sz w:val="22"/>
        <w:sz w:val="22"/>
        <w:szCs w:val="22"/>
        <w:rtl w:val="true"/>
      </w:rPr>
      <w:t>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sz w:val="24"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2515/3" TargetMode="External"/><Relationship Id="rId8" Type="http://schemas.openxmlformats.org/officeDocument/2006/relationships/hyperlink" Target="http://www.nevo.co.il/law/72515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7743685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2016-09-21T14:38:00Z</dcterms:created>
  <dc:creator>Shahar Goldstein</dc:creator>
  <dc:description/>
  <cp:keywords/>
  <dc:language>en-IL</dc:language>
  <cp:lastModifiedBy>orit</cp:lastModifiedBy>
  <dcterms:modified xsi:type="dcterms:W3CDTF">2016-09-21T14:38:00Z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כפארנה אמג'ד</vt:lpwstr>
  </property>
  <property fmtid="{D5CDD505-2E9C-101B-9397-08002B2CF9AE}" pid="4" name="CASESLISTTMP1">
    <vt:lpwstr>7743685</vt:lpwstr>
  </property>
  <property fmtid="{D5CDD505-2E9C-101B-9397-08002B2CF9AE}" pid="5" name="CITY">
    <vt:lpwstr>ב"ש</vt:lpwstr>
  </property>
  <property fmtid="{D5CDD505-2E9C-101B-9397-08002B2CF9AE}" pid="6" name="DATE">
    <vt:lpwstr>20070228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ר. יפה כ#ץ;ו. מרוז;א. ואגו</vt:lpwstr>
  </property>
  <property fmtid="{D5CDD505-2E9C-101B-9397-08002B2CF9AE}" pid="10" name="LAWLISTTMP1">
    <vt:lpwstr>72515/003</vt:lpwstr>
  </property>
  <property fmtid="{D5CDD505-2E9C-101B-9397-08002B2CF9AE}" pid="11" name="LAWLISTTMP2">
    <vt:lpwstr>70301/144.a;144.b</vt:lpwstr>
  </property>
  <property fmtid="{D5CDD505-2E9C-101B-9397-08002B2CF9AE}" pid="12" name="LAWYER">
    <vt:lpwstr>מונטיליו סגל;מחמד ג'אברין</vt:lpwstr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>תפח</vt:lpwstr>
  </property>
  <property fmtid="{D5CDD505-2E9C-101B-9397-08002B2CF9AE}" pid="29" name="PROCNUM">
    <vt:lpwstr>1163</vt:lpwstr>
  </property>
  <property fmtid="{D5CDD505-2E9C-101B-9397-08002B2CF9AE}" pid="30" name="PROCYEAR">
    <vt:lpwstr>06</vt:lpwstr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VOLUME">
    <vt:lpwstr/>
  </property>
  <property fmtid="{D5CDD505-2E9C-101B-9397-08002B2CF9AE}" pid="34" name="WORDNUMPAGES">
    <vt:lpwstr>6</vt:lpwstr>
  </property>
</Properties>
</file>