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bookmarkStart w:id="0" w:name="זיהוי_תיק"/>
            <w:bookmarkStart w:id="1" w:name="בית_משפט"/>
            <w:bookmarkEnd w:id="0"/>
            <w:bookmarkEnd w:id="1"/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001186/07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  <w:bookmarkStart w:id="2" w:name="תיק_עיקרי"/>
            <w:bookmarkStart w:id="3" w:name="תיק_עיקרי"/>
            <w:bookmarkEnd w:id="3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636" w:type="dxa"/>
            <w:tcBorders/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bookmarkStart w:id="4" w:name="שם_שופט"/>
            <w:bookmarkStart w:id="5" w:name="תאריך"/>
            <w:bookmarkEnd w:id="4"/>
            <w:bookmarkEnd w:id="5"/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/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 xml:space="preserve">- 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ברנט</w:t>
            </w:r>
          </w:p>
        </w:tc>
        <w:tc>
          <w:tcPr>
            <w:tcW w:w="68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26/04/2009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  <w:bookmarkStart w:id="6" w:name="LastJudge"/>
      <w:bookmarkStart w:id="7" w:name="LastJudge"/>
      <w:bookmarkEnd w:id="7"/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FirstAppellant"/>
            <w:bookmarkStart w:id="9" w:name="בא_כוח_א"/>
            <w:bookmarkStart w:id="10" w:name="FirstAppellant"/>
            <w:bookmarkStart w:id="11" w:name="בא_כוח_א"/>
            <w:bookmarkEnd w:id="10"/>
            <w:bookmarkEnd w:id="11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חרב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אבראהים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4" w:name="בא_כוח_ב"/>
            <w:bookmarkStart w:id="15" w:name="בא_כוח_ב"/>
            <w:bookmarkEnd w:id="15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6" w:name="FirstLawyer"/>
            <w:bookmarkEnd w:id="16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צברי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אברין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LawTable"/>
      <w:bookmarkStart w:id="18" w:name="צד_ג"/>
      <w:bookmarkStart w:id="19" w:name="LawTable"/>
      <w:bookmarkStart w:id="20" w:name="צד_ג"/>
      <w:bookmarkEnd w:id="19"/>
      <w:bookmarkEnd w:id="2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1" w:name="LawTable_End"/>
      <w:bookmarkStart w:id="22" w:name="LawTable_End"/>
      <w:bookmarkEnd w:id="2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3" w:name="צד_ג"/>
      <w:bookmarkStart w:id="24" w:name="סוג_מסמך"/>
      <w:bookmarkStart w:id="25" w:name="צד_ג"/>
      <w:bookmarkStart w:id="26" w:name="סוג_מסמך"/>
      <w:bookmarkEnd w:id="25"/>
      <w:bookmarkEnd w:id="26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27" w:name="PsakDin"/>
      <w:bookmarkEnd w:id="2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28" w:name="PsakDin"/>
      <w:bookmarkEnd w:id="28"/>
      <w:r>
        <w:rPr>
          <w:b/>
          <w:bCs/>
          <w:sz w:val="30"/>
          <w:szCs w:val="28"/>
        </w:rPr>
        <w:t>1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bookmarkStart w:id="29" w:name="ABSTRACT_START"/>
      <w:bookmarkEnd w:id="2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(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bookmarkStart w:id="30" w:name="ABSTRACT_END"/>
      <w:bookmarkStart w:id="31" w:name="ABSTRACT_END"/>
      <w:bookmarkEnd w:id="31"/>
    </w:p>
    <w:p>
      <w:pPr>
        <w:pStyle w:val="Normal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30"/>
          <w:szCs w:val="28"/>
        </w:rPr>
        <w:t>2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עבדאלעאל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עבדאלעאל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אלקאדי</w:t>
      </w:r>
      <w:r>
        <w:rPr>
          <w:rtl w:val="true"/>
        </w:rPr>
        <w:t xml:space="preserve">,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3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3834/07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4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וסודיותו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האויב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בריגול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4832/03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למעצרם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,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5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מהפציעה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6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 (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המבריחים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11475/04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סווארכה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913</w:t>
      </w:r>
      <w:r>
        <w:rPr>
          <w:rtl w:val="true"/>
        </w:rPr>
        <w:t xml:space="preserve">. 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4043/05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2239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27.11.07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32" w:name="סוג_מסמך"/>
      <w:bookmarkEnd w:id="32"/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בהעדר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Cs/>
          <w:rtl w:val="true"/>
        </w:rPr>
        <w:t>___________</w:t>
      </w:r>
      <w:r>
        <w:rPr>
          <w:b/>
          <w:bCs/>
          <w:rtl w:val="true"/>
        </w:rPr>
        <w:softHyphen/>
        <w:softHyphen/>
        <w:softHyphen/>
        <w:softHyphen/>
      </w:r>
      <w:r>
        <w:rPr>
          <w:b/>
          <w:bCs/>
          <w:rtl w:val="true"/>
        </w:rPr>
        <w:t>___</w:t>
        <w:tab/>
        <w:t xml:space="preserve">            ________________</w:t>
        <w:tab/>
        <w:t xml:space="preserve">     </w:t>
        <w:tab/>
        <w:t xml:space="preserve"> 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54678313-1186/07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שופטת</w:t>
      </w:r>
    </w:p>
    <w:p>
      <w:pPr>
        <w:pStyle w:val="Normal"/>
        <w:ind w:end="0"/>
        <w:jc w:val="start"/>
        <w:rPr>
          <w:color w:val="000000"/>
        </w:rPr>
      </w:pPr>
      <w:r>
        <w:rPr/>
        <w:t>001186/07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/Users/liorb/Downloads/study2025-p2/m07001186.doc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1186/07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חרב אבראהים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11">
    <w:name w:val="רגיל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BodyTextIndent">
    <w:name w:val="Body Text Indent"/>
    <w:basedOn w:val="Normal"/>
    <w:pPr>
      <w:ind w:hanging="720" w:start="720" w:end="0"/>
      <w:jc w:val="start"/>
    </w:pPr>
    <w:rPr>
      <w:rFonts w:cs="Times New Roman"/>
      <w:sz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1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1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case/5918236" TargetMode="External"/><Relationship Id="rId11" Type="http://schemas.openxmlformats.org/officeDocument/2006/relationships/hyperlink" Target="http://www.nevo.co.il/law/70301/111" TargetMode="External"/><Relationship Id="rId12" Type="http://schemas.openxmlformats.org/officeDocument/2006/relationships/hyperlink" Target="http://www.nevo.co.il/case/6180844" TargetMode="External"/><Relationship Id="rId13" Type="http://schemas.openxmlformats.org/officeDocument/2006/relationships/hyperlink" Target="http://www.nevo.co.il/case/5735726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2016-09-07T11:49:00Z</dcterms:created>
  <dc:creator>Nir Horovits</dc:creator>
  <dc:description/>
  <cp:keywords/>
  <dc:language>en-IL</dc:language>
  <cp:lastModifiedBy>hofit</cp:lastModifiedBy>
  <cp:lastPrinted>2009-04-26T16:09:00Z</cp:lastPrinted>
  <dcterms:modified xsi:type="dcterms:W3CDTF">2016-09-07T11:49:00Z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חרב אבראהים</vt:lpwstr>
  </property>
  <property fmtid="{D5CDD505-2E9C-101B-9397-08002B2CF9AE}" pid="4" name="CASESLISTTMP1">
    <vt:lpwstr>5918236;6180844;5735726</vt:lpwstr>
  </property>
  <property fmtid="{D5CDD505-2E9C-101B-9397-08002B2CF9AE}" pid="5" name="CITY">
    <vt:lpwstr>ב"ש</vt:lpwstr>
  </property>
  <property fmtid="{D5CDD505-2E9C-101B-9397-08002B2CF9AE}" pid="6" name="DATE">
    <vt:lpwstr>20090426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סלוטקי;מ. ברנט</vt:lpwstr>
  </property>
  <property fmtid="{D5CDD505-2E9C-101B-9397-08002B2CF9AE}" pid="10" name="LAWLISTTMP1">
    <vt:lpwstr>70301/111:2;144.b2;031</vt:lpwstr>
  </property>
  <property fmtid="{D5CDD505-2E9C-101B-9397-08002B2CF9AE}" pid="11" name="LAWYER">
    <vt:lpwstr>ערן צברי ו;ג'אברין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1186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390020090426</vt:lpwstr>
  </property>
  <property fmtid="{D5CDD505-2E9C-101B-9397-08002B2CF9AE}" pid="37" name="TYPE_N_DATE">
    <vt:lpwstr>39020090426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