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3"/>
        <w:gridCol w:w="3285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003011/06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szCs w:val="22"/>
              </w:rPr>
            </w:pPr>
            <w:bookmarkStart w:id="1" w:name="LastJudge"/>
            <w:bookmarkEnd w:id="1"/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השופטות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שושנה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שטמר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>]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יעל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וילנר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דיאנה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סלע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02/07/2007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חלאווה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1979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FirstLawyer"/>
            <w:bookmarkStart w:id="11" w:name="בא_כוח_ב"/>
            <w:bookmarkStart w:id="12" w:name="כינוי_ב"/>
            <w:bookmarkStart w:id="13" w:name="FirstLawyer"/>
            <w:bookmarkStart w:id="14" w:name="בא_כוח_ב"/>
            <w:bookmarkStart w:id="15" w:name="כינוי_ב"/>
            <w:bookmarkEnd w:id="13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32"/>
          <w:szCs w:val="32"/>
          <w:u w:val="single"/>
        </w:rPr>
      </w:pPr>
      <w:bookmarkStart w:id="20" w:name="צד_ג"/>
      <w:bookmarkStart w:id="21" w:name="PsakDin"/>
      <w:bookmarkStart w:id="22" w:name="סוג_מסמך"/>
      <w:bookmarkEnd w:id="20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hanging="720" w:start="720" w:end="0"/>
        <w:jc w:val="both"/>
        <w:rPr/>
      </w:pPr>
      <w:bookmarkStart w:id="25" w:name="סוג_מסמך"/>
      <w:bookmarkEnd w:id="25"/>
      <w:r>
        <w:rPr/>
        <w:t>1</w:t>
      </w:r>
      <w:r>
        <w:rPr>
          <w:rtl w:val="true"/>
        </w:rPr>
        <w:t>.</w:t>
        <w:tab/>
      </w:r>
      <w:bookmarkStart w:id="26" w:name="ABSTRACT_START"/>
      <w:bookmarkEnd w:id="26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וואסים</w:t>
      </w:r>
      <w:r>
        <w:rPr>
          <w:rtl w:val="true"/>
        </w:rPr>
        <w:t xml:space="preserve">, </w:t>
      </w:r>
      <w:r>
        <w:rPr>
          <w:rtl w:val="true"/>
        </w:rPr>
        <w:t>ובסיועו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מוודאים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bookmarkStart w:id="27" w:name="ABSTRACT_END"/>
      <w:bookmarkEnd w:id="27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2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+ </w:t>
      </w:r>
      <w:hyperlink r:id="rId17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מוואסים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/>
        <w:t>23/11/2005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היערן</w:t>
      </w:r>
      <w:r>
        <w:rPr>
          <w:rtl w:val="true"/>
        </w:rPr>
        <w:t xml:space="preserve">"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שייעטף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התרמילים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להבטיחו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להגשמתה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דבקים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במטרתם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ובקרבתו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הציפית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הגופה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מפוחמת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כמנהגנו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וגמול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402/01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אברהם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גאנם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138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ורג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438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7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ובהחלטיות</w:t>
      </w:r>
      <w:r>
        <w:rPr>
          <w:rtl w:val="true"/>
        </w:rPr>
        <w:t xml:space="preserve">, </w:t>
      </w:r>
      <w:r>
        <w:rPr>
          <w:rtl w:val="true"/>
        </w:rPr>
        <w:t>כשוואסים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" </w:t>
      </w:r>
      <w:r>
        <w:rPr>
          <w:rtl w:val="true"/>
        </w:rPr>
        <w:t>ומתוך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ואטימות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נסבלות</w:t>
      </w:r>
      <w:r>
        <w:rPr>
          <w:rtl w:val="true"/>
        </w:rPr>
        <w:t xml:space="preserve">, 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הכפול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ורחמן</w:t>
      </w:r>
      <w:r>
        <w:rPr>
          <w:rtl w:val="true"/>
        </w:rPr>
        <w:t xml:space="preserve">.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הכפול</w:t>
      </w:r>
      <w:r>
        <w:rPr>
          <w:rtl w:val="true"/>
        </w:rPr>
        <w:t xml:space="preserve">, </w:t>
      </w:r>
      <w:r>
        <w:rPr>
          <w:rtl w:val="true"/>
        </w:rPr>
        <w:t>הפתיעה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וזיעזעה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איזנו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ומעטן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2157/92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81,84</w:t>
      </w:r>
      <w:r>
        <w:rPr>
          <w:rtl w:val="true"/>
        </w:rPr>
        <w:t xml:space="preserve">;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156/98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כוכבי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וואסים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5223/97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רוזנטל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118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שבעוד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29/12/2005</w:t>
      </w:r>
      <w:r>
        <w:rPr>
          <w:rtl w:val="true"/>
        </w:rPr>
        <w:t xml:space="preserve"> 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שושנה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שטמר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54678313-3011/06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849"/>
        <w:gridCol w:w="2266"/>
        <w:gridCol w:w="850"/>
        <w:gridCol w:w="2323"/>
      </w:tblGrid>
      <w:tr>
        <w:trPr/>
        <w:tc>
          <w:tcPr>
            <w:tcW w:w="22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84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וילנר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שושנה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שטמר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2"/>
          <w:szCs w:val="14"/>
        </w:rPr>
      </w:pPr>
      <w:r>
        <w:rPr>
          <w:sz w:val="12"/>
          <w:szCs w:val="14"/>
        </w:rPr>
        <w:t>003011/06</w:t>
      </w:r>
      <w:r>
        <w:rPr>
          <w:sz w:val="12"/>
          <w:sz w:val="12"/>
          <w:szCs w:val="14"/>
          <w:rtl w:val="true"/>
        </w:rPr>
        <w:t>פח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Cs w:val="14"/>
        </w:rPr>
        <w:t>051</w:t>
      </w:r>
      <w:r>
        <w:rPr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שחר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12"/>
          <w:szCs w:val="14"/>
        </w:rPr>
      </w:pPr>
      <w:r>
        <w:rPr>
          <w:color w:val="000000"/>
          <w:sz w:val="12"/>
          <w:sz w:val="12"/>
          <w:szCs w:val="14"/>
          <w:rtl w:val="true"/>
        </w:rPr>
        <w:t>נוסח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מסמך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זה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כפוף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לשינויי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ניסוח</w:t>
      </w:r>
      <w:r>
        <w:rPr>
          <w:rFonts w:cs="Times New Roman"/>
          <w:color w:val="000000"/>
          <w:sz w:val="12"/>
          <w:sz w:val="12"/>
          <w:szCs w:val="14"/>
          <w:rtl w:val="true"/>
        </w:rPr>
        <w:t xml:space="preserve"> </w:t>
      </w:r>
      <w:r>
        <w:rPr>
          <w:color w:val="000000"/>
          <w:sz w:val="12"/>
          <w:sz w:val="12"/>
          <w:szCs w:val="14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/Users/liorb/Downloads/study2025-p2/m06003011-276.doc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3011/06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מוסטפא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חלאווה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144.a.b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1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case/5699237" TargetMode="External"/><Relationship Id="rId19" Type="http://schemas.openxmlformats.org/officeDocument/2006/relationships/hyperlink" Target="http://www.nevo.co.il/case/17935882" TargetMode="External"/><Relationship Id="rId20" Type="http://schemas.openxmlformats.org/officeDocument/2006/relationships/hyperlink" Target="http://www.nevo.co.il/case/17938943" TargetMode="External"/><Relationship Id="rId21" Type="http://schemas.openxmlformats.org/officeDocument/2006/relationships/hyperlink" Target="http://www.nevo.co.il/law/70301/3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a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48.a" TargetMode="External"/><Relationship Id="rId27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7914848" TargetMode="External"/><Relationship Id="rId30" Type="http://schemas.openxmlformats.org/officeDocument/2006/relationships/hyperlink" Target="http://www.nevo.co.il/case/5770174" TargetMode="External"/><Relationship Id="rId31" Type="http://schemas.openxmlformats.org/officeDocument/2006/relationships/hyperlink" Target="http://www.nevo.co.il/case/6000212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2016-09-22T13:44:00Z</dcterms:created>
  <dc:creator> </dc:creator>
  <dc:description/>
  <cp:keywords/>
  <dc:language>en-IL</dc:language>
  <cp:lastModifiedBy>yafit</cp:lastModifiedBy>
  <cp:lastPrinted>2007-07-02T10:42:00Z</cp:lastPrinted>
  <dcterms:modified xsi:type="dcterms:W3CDTF">2016-09-22T13:44:00Z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בן מוסטפא חלאווה</vt:lpwstr>
  </property>
  <property fmtid="{D5CDD505-2E9C-101B-9397-08002B2CF9AE}" pid="4" name="CASESLISTTMP1">
    <vt:lpwstr>5699237;17935882;17938943;17914848;5770174;6000212</vt:lpwstr>
  </property>
  <property fmtid="{D5CDD505-2E9C-101B-9397-08002B2CF9AE}" pid="5" name="CITY">
    <vt:lpwstr>חי'</vt:lpwstr>
  </property>
  <property fmtid="{D5CDD505-2E9C-101B-9397-08002B2CF9AE}" pid="6" name="DATE">
    <vt:lpwstr>20070702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שושנה שטמר;יעל וילנר;דיאנה סלע</vt:lpwstr>
  </property>
  <property fmtid="{D5CDD505-2E9C-101B-9397-08002B2CF9AE}" pid="10" name="LAWLISTTMP1">
    <vt:lpwstr>70301/300.a.2;301;031:3;144.a.b:2;029:2;448.a:2;032</vt:lpwstr>
  </property>
  <property fmtid="{D5CDD505-2E9C-101B-9397-08002B2CF9AE}" pid="11" name="LAWYER">
    <vt:lpwstr>באסל פלאח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3011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