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472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5"/>
        <w:gridCol w:w="3572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8472" w:type="dxa"/>
            <w:gridSpan w:val="4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bookmarkStart w:id="0" w:name="בדלתיים_סגורות"/>
            <w:bookmarkEnd w:id="0"/>
            <w:r>
              <w:rPr>
                <w:b/>
                <w:b/>
                <w:bCs/>
                <w:spacing w:val="110"/>
                <w:sz w:val="40"/>
                <w:sz w:val="40"/>
                <w:szCs w:val="40"/>
                <w:rtl w:val="true"/>
              </w:rPr>
              <w:t>בדלתיים סגורות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restart"/>
            <w:tcBorders/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szCs w:val="22"/>
                <w:rtl w:val="true"/>
              </w:rPr>
              <w:t>בית משפט מחוזי חיפה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 xml:space="preserve">פח </w:t>
            </w:r>
            <w:r>
              <w:rPr>
                <w:szCs w:val="22"/>
              </w:rPr>
              <w:t>004069/07</w:t>
            </w:r>
          </w:p>
        </w:tc>
      </w:tr>
      <w:tr>
        <w:trPr>
          <w:trHeight w:val="195" w:hRule="atLeast"/>
          <w:cantSplit w:val="true"/>
        </w:trPr>
        <w:tc>
          <w:tcPr>
            <w:tcW w:w="5557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</w:r>
            <w:bookmarkStart w:id="3" w:name="תיק_עיקרי"/>
            <w:bookmarkStart w:id="4" w:name="תיק_עיקרי"/>
            <w:bookmarkEnd w:id="4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1985" w:type="dxa"/>
            <w:tcBorders/>
          </w:tcPr>
          <w:p>
            <w:pPr>
              <w:pStyle w:val="Normal"/>
              <w:ind w:end="0"/>
              <w:jc w:val="end"/>
              <w:rPr>
                <w:szCs w:val="22"/>
              </w:rPr>
            </w:pPr>
            <w:bookmarkStart w:id="5" w:name="שם_שופט"/>
            <w:bookmarkStart w:id="6" w:name="תאריך"/>
            <w:bookmarkEnd w:id="5"/>
            <w:bookmarkEnd w:id="6"/>
            <w:r>
              <w:rPr>
                <w:szCs w:val="22"/>
                <w:rtl w:val="true"/>
              </w:rPr>
              <w:t>בפני הרכב השופטים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572" w:type="dxa"/>
            <w:tcBorders/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 xml:space="preserve">שיף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 xml:space="preserve">] - </w:t>
            </w:r>
            <w:r>
              <w:rPr>
                <w:szCs w:val="22"/>
                <w:rtl w:val="true"/>
              </w:rPr>
              <w:t>ס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נשיא</w:t>
            </w:r>
          </w:p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הורוביץ</w:t>
            </w:r>
          </w:p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צ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קינן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ind w:end="0"/>
              <w:jc w:val="start"/>
              <w:rPr>
                <w:szCs w:val="22"/>
              </w:rPr>
            </w:pPr>
            <w:r>
              <w:rPr>
                <w:szCs w:val="22"/>
              </w:rPr>
              <w:t>25/05/2008</w:t>
            </w:r>
          </w:p>
        </w:tc>
      </w:tr>
    </w:tbl>
    <w:p>
      <w:pPr>
        <w:pStyle w:val="Normal"/>
        <w:ind w:end="0"/>
        <w:jc w:val="start"/>
        <w:rPr>
          <w:szCs w:val="22"/>
        </w:rPr>
      </w:pPr>
      <w:r>
        <w:rPr>
          <w:szCs w:val="22"/>
          <w:rtl w:val="true"/>
        </w:rPr>
      </w:r>
      <w:bookmarkStart w:id="7" w:name="LastJudge"/>
      <w:bookmarkStart w:id="8" w:name="LastJudge"/>
      <w:bookmarkEnd w:id="8"/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9" w:name="FirstLawyer"/>
            <w:bookmarkStart w:id="10" w:name="FirstAppellant"/>
            <w:bookmarkStart w:id="11" w:name="שם_א"/>
            <w:bookmarkEnd w:id="9"/>
            <w:bookmarkEnd w:id="10"/>
            <w:bookmarkEnd w:id="1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ממח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בא_כוח_א"/>
            <w:bookmarkStart w:id="13" w:name="כינוי_א"/>
            <w:bookmarkStart w:id="14" w:name="בא_כוח_א"/>
            <w:bookmarkStart w:id="15" w:name="כינוי_א"/>
            <w:bookmarkEnd w:id="14"/>
            <w:bookmarkEnd w:id="15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6" w:name="שם_ב"/>
            <w:bookmarkStart w:id="17" w:name="שם_ב"/>
            <w:bookmarkEnd w:id="17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פלוני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8" w:name="בא_כוח_ב"/>
            <w:bookmarkStart w:id="19" w:name="כינוי_ב"/>
            <w:bookmarkStart w:id="20" w:name="בא_כוח_ב"/>
            <w:bookmarkStart w:id="21" w:name="כינוי_ב"/>
            <w:bookmarkEnd w:id="20"/>
            <w:bookmarkEnd w:id="21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704" w:type="dxa"/>
        <w:jc w:val="start"/>
        <w:tblInd w:w="-17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7230"/>
      </w:tblGrid>
      <w:tr>
        <w:trPr/>
        <w:tc>
          <w:tcPr>
            <w:tcW w:w="1474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סעדה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</w:p>
          <w:p>
            <w:pPr>
              <w:pStyle w:val="Style10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2" w:name="LawTable"/>
      <w:bookmarkStart w:id="23" w:name="צד_ג"/>
      <w:bookmarkStart w:id="24" w:name="LawTable"/>
      <w:bookmarkStart w:id="25" w:name="צד_ג"/>
      <w:bookmarkEnd w:id="24"/>
      <w:bookmarkEnd w:id="2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6" w:name="LawTable_End"/>
      <w:bookmarkStart w:id="27" w:name="LawTable_End"/>
      <w:bookmarkEnd w:id="2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28" w:name="צד_ג"/>
      <w:bookmarkStart w:id="29" w:name="סוג_מסמך"/>
      <w:bookmarkStart w:id="30" w:name="צד_ג"/>
      <w:bookmarkStart w:id="31" w:name="סוג_מסמך"/>
      <w:bookmarkEnd w:id="30"/>
      <w:bookmarkEnd w:id="3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  <w:lang w:val="en-IL" w:eastAsia="en-IL"/>
        </w:rPr>
      </w:pPr>
      <w:bookmarkStart w:id="32" w:name="PsakDin"/>
      <w:bookmarkEnd w:id="32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דין</w:t>
      </w:r>
    </w:p>
    <w:p>
      <w:pPr>
        <w:pStyle w:val="Normal"/>
        <w:ind w:end="0"/>
        <w:jc w:val="start"/>
        <w:rPr>
          <w:rFonts w:cs="David"/>
          <w:b/>
          <w:bCs/>
          <w:sz w:val="32"/>
          <w:szCs w:val="32"/>
          <w:u w:val="single"/>
          <w:lang w:val="en-IL" w:eastAsia="en-IL"/>
        </w:rPr>
      </w:pPr>
      <w:r>
        <w:rPr>
          <w:rFonts w:cs="David"/>
          <w:b/>
          <w:bCs/>
          <w:sz w:val="32"/>
          <w:szCs w:val="32"/>
          <w:u w:val="single"/>
          <w:rtl w:val="true"/>
          <w:lang w:val="en-IL" w:eastAsia="en-IL"/>
        </w:rPr>
      </w:r>
      <w:bookmarkStart w:id="33" w:name="PsakDin"/>
      <w:bookmarkStart w:id="34" w:name="PsakDin"/>
      <w:bookmarkEnd w:id="34"/>
    </w:p>
    <w:p>
      <w:pPr>
        <w:pStyle w:val="Normal"/>
        <w:ind w:end="0"/>
        <w:jc w:val="start"/>
        <w:rPr/>
      </w:pPr>
      <w:bookmarkStart w:id="35" w:name="ABSTRACT_START"/>
      <w:bookmarkEnd w:id="35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יסוד הודייתו בעובדות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בביצוע עבירה של </w:t>
      </w:r>
      <w:r>
        <w:rPr>
          <w:b/>
          <w:b/>
          <w:bCs/>
          <w:rtl w:val="true"/>
        </w:rPr>
        <w:t>היזק בחומר נפיץ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"), </w:t>
      </w: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tl w:val="true"/>
        </w:rPr>
        <w:t xml:space="preserve"> ו</w:t>
      </w:r>
      <w:r>
        <w:rPr>
          <w:rtl w:val="true"/>
        </w:rPr>
        <w:t xml:space="preserve">- 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ועבירה של </w:t>
      </w:r>
      <w:r>
        <w:rPr>
          <w:b/>
          <w:b/>
          <w:bCs/>
          <w:rtl w:val="true"/>
        </w:rPr>
        <w:t>מרמה והפרת אמונים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bookmarkStart w:id="36" w:name="ABSTRACT_END"/>
      <w:bookmarkEnd w:id="36"/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 המקרה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  <w:t>מכתב האישום ומהודיית הנאשם עולה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כי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שירת כרכז מודיעין ב </w:t>
      </w:r>
      <w:r>
        <w:rPr>
          <w:rtl w:val="true"/>
        </w:rPr>
        <w:t>.....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"). </w:t>
      </w:r>
      <w:r>
        <w:rPr>
          <w:rtl w:val="true"/>
        </w:rPr>
        <w:t>חלק מהמעורבים האחרים בפרשה שירתו בתקופה הרלוונטית כשוטרים במשטרת ישראל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10/10/06</w:t>
      </w:r>
      <w:r>
        <w:rPr>
          <w:rtl w:val="true"/>
        </w:rPr>
        <w:t xml:space="preserve"> </w:t>
      </w:r>
      <w:r>
        <w:rPr>
          <w:rtl w:val="true"/>
        </w:rPr>
        <w:t>הושלך רימון רסס ע</w:t>
      </w:r>
      <w:r>
        <w:rPr>
          <w:rtl w:val="true"/>
        </w:rPr>
        <w:t>"</w:t>
      </w:r>
      <w:r>
        <w:rPr>
          <w:rtl w:val="true"/>
        </w:rPr>
        <w:t>י גורמים עבריינים בעיר נהריי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העיר</w:t>
      </w:r>
      <w:r>
        <w:rPr>
          <w:rtl w:val="true"/>
        </w:rPr>
        <w:t xml:space="preserve">"), </w:t>
      </w:r>
      <w:r>
        <w:rPr>
          <w:rtl w:val="true"/>
        </w:rPr>
        <w:t xml:space="preserve">לעבר ביתו של </w:t>
      </w:r>
      <w:r>
        <w:rPr>
          <w:rtl w:val="true"/>
        </w:rPr>
        <w:t xml:space="preserve">..., </w:t>
      </w:r>
      <w:r>
        <w:rPr>
          <w:rtl w:val="true"/>
        </w:rPr>
        <w:t>אשר שירת כבלש 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 xml:space="preserve">......, </w:t>
      </w:r>
      <w:r>
        <w:rPr>
          <w:rtl w:val="true"/>
        </w:rPr>
        <w:t>המתגורר בעיר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יום למחרת</w:t>
      </w:r>
      <w:r>
        <w:rPr>
          <w:rtl w:val="true"/>
        </w:rPr>
        <w:t xml:space="preserve">, </w:t>
      </w:r>
      <w:r>
        <w:rPr>
          <w:rtl w:val="true"/>
        </w:rPr>
        <w:t>בעקבות אירוע השלכת הרימון</w:t>
      </w:r>
      <w:r>
        <w:rPr>
          <w:rtl w:val="true"/>
        </w:rPr>
        <w:t xml:space="preserve">, </w:t>
      </w:r>
      <w:r>
        <w:rPr>
          <w:rtl w:val="true"/>
        </w:rPr>
        <w:t>נפגשו הנאשם וח</w:t>
      </w:r>
      <w:r>
        <w:rPr>
          <w:rtl w:val="true"/>
        </w:rPr>
        <w:t xml:space="preserve">'..., </w:t>
      </w:r>
      <w:r>
        <w:rPr>
          <w:rtl w:val="true"/>
        </w:rPr>
        <w:t xml:space="preserve">אשר שירת כרכז </w:t>
      </w:r>
      <w:r>
        <w:rPr>
          <w:rtl w:val="true"/>
        </w:rPr>
        <w:t xml:space="preserve">.... </w:t>
      </w:r>
      <w:r>
        <w:rPr>
          <w:rtl w:val="true"/>
        </w:rPr>
        <w:t xml:space="preserve">ב </w:t>
      </w:r>
      <w:r>
        <w:rPr>
          <w:rtl w:val="true"/>
        </w:rPr>
        <w:t>...(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</w:t>
      </w:r>
      <w:r>
        <w:rPr>
          <w:rtl w:val="true"/>
        </w:rPr>
        <w:t xml:space="preserve">"), </w:t>
      </w:r>
      <w:r>
        <w:rPr>
          <w:rtl w:val="true"/>
        </w:rPr>
        <w:t>יחד עם שוטרים נוספים</w:t>
      </w:r>
      <w:r>
        <w:rPr>
          <w:rtl w:val="true"/>
        </w:rPr>
        <w:t xml:space="preserve">, </w:t>
      </w:r>
      <w:r>
        <w:rPr>
          <w:rtl w:val="true"/>
        </w:rPr>
        <w:t>בבית קפה בעיר ודנו כיצד לנקום באותם גורמים עבריינים</w:t>
      </w:r>
      <w:r>
        <w:rPr>
          <w:rtl w:val="true"/>
        </w:rPr>
        <w:t xml:space="preserve">, </w:t>
      </w:r>
      <w:r>
        <w:rPr>
          <w:rtl w:val="true"/>
        </w:rPr>
        <w:t>אשר נחשדו על ידם בזריקת הרימון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Fonts w:cs="Times New Roman"/>
          <w:rtl w:val="true"/>
        </w:rPr>
        <w:t>מספר ימים לאחר מכן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בשעות הערב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התקיימה פגישה בדירת מסתור באכסניה בראש הנקרה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אליה הועבר לאחר אירוע השלכת הרימון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בפגישה האמורה נכחו הנאשם ומעורבים אחרים והועלו הצעות בנוגע לאופן הפגיעה באותם גורמים עבריינים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הועלתה הצעה לפגוע באותם גורמים באמצעות השלכת רימוני רסס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בסופה של הפגישה האמורה הוחלט</w:t>
      </w:r>
      <w:r>
        <w:rPr>
          <w:rtl w:val="true"/>
        </w:rPr>
        <w:t xml:space="preserve">, </w:t>
      </w:r>
      <w:r>
        <w:rPr>
          <w:rtl w:val="true"/>
        </w:rPr>
        <w:t>על דעת הנאשם והמעורבים האחרים</w:t>
      </w:r>
      <w:r>
        <w:rPr>
          <w:rtl w:val="true"/>
        </w:rPr>
        <w:t xml:space="preserve">, </w:t>
      </w:r>
      <w:r>
        <w:rPr>
          <w:rtl w:val="true"/>
        </w:rPr>
        <w:t>כי אכן יש לפעול נגד אותם גורמים עבריינים</w:t>
      </w:r>
      <w:r>
        <w:rPr>
          <w:rtl w:val="true"/>
        </w:rPr>
        <w:t xml:space="preserve">, </w:t>
      </w:r>
      <w:r>
        <w:rPr>
          <w:rtl w:val="true"/>
        </w:rPr>
        <w:t>אך לא הוחלט באותו שלב באיזה אופן לפעול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זמן מה לאחר מכן</w:t>
      </w:r>
      <w:r>
        <w:rPr>
          <w:rtl w:val="true"/>
        </w:rPr>
        <w:t xml:space="preserve">, </w:t>
      </w:r>
      <w:r>
        <w:rPr>
          <w:rtl w:val="true"/>
        </w:rPr>
        <w:t>נפגש ח</w:t>
      </w:r>
      <w:r>
        <w:rPr>
          <w:rtl w:val="true"/>
        </w:rPr>
        <w:t xml:space="preserve">'.... </w:t>
      </w:r>
      <w:r>
        <w:rPr>
          <w:rtl w:val="true"/>
        </w:rPr>
        <w:t>עם  פ</w:t>
      </w:r>
      <w:r>
        <w:rPr>
          <w:rtl w:val="true"/>
        </w:rPr>
        <w:t xml:space="preserve">'....., </w:t>
      </w:r>
      <w:r>
        <w:rPr>
          <w:rtl w:val="true"/>
        </w:rPr>
        <w:t xml:space="preserve">שהנו אזרח אשר רכש ידע בפירוטכניקה ובהפעלת זיקוקים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</w:t>
      </w:r>
      <w:r>
        <w:rPr>
          <w:rtl w:val="true"/>
        </w:rPr>
        <w:t xml:space="preserve">"), </w:t>
      </w:r>
      <w:r>
        <w:rPr>
          <w:rtl w:val="true"/>
        </w:rPr>
        <w:t>במטרה להסתייע בכישוריו לצורך הפעילות נגד הגורמים העבריינים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כעבור פרק זמן נוסף</w:t>
      </w:r>
      <w:r>
        <w:rPr>
          <w:rtl w:val="true"/>
        </w:rPr>
        <w:t xml:space="preserve">, </w:t>
      </w:r>
      <w:r>
        <w:rPr>
          <w:rtl w:val="true"/>
        </w:rPr>
        <w:t>נפגשו הנאשם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'.... </w:t>
      </w:r>
      <w:r>
        <w:rPr>
          <w:rtl w:val="true"/>
        </w:rPr>
        <w:t>ופ</w:t>
      </w:r>
      <w:r>
        <w:rPr>
          <w:rtl w:val="true"/>
        </w:rPr>
        <w:t xml:space="preserve">'..... </w:t>
      </w:r>
      <w:r>
        <w:rPr>
          <w:rtl w:val="true"/>
        </w:rPr>
        <w:t>בביתו של פ</w:t>
      </w:r>
      <w:r>
        <w:rPr>
          <w:rtl w:val="true"/>
        </w:rPr>
        <w:t xml:space="preserve">'.... </w:t>
      </w:r>
      <w:r>
        <w:rPr>
          <w:rtl w:val="true"/>
        </w:rPr>
        <w:t>השלושה סיכמו</w:t>
      </w:r>
      <w:r>
        <w:rPr>
          <w:rtl w:val="true"/>
        </w:rPr>
        <w:t xml:space="preserve">, </w:t>
      </w:r>
      <w:r>
        <w:rPr>
          <w:rtl w:val="true"/>
        </w:rPr>
        <w:t>כי יעשה שימוש במטעני חבלה מסוג צינור</w:t>
      </w:r>
      <w:r>
        <w:rPr>
          <w:rtl w:val="true"/>
        </w:rPr>
        <w:t xml:space="preserve">, </w:t>
      </w:r>
      <w:r>
        <w:rPr>
          <w:rtl w:val="true"/>
        </w:rPr>
        <w:t xml:space="preserve">נגד הגורמים העבריינים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מטעני החבלה</w:t>
      </w:r>
      <w:r>
        <w:rPr>
          <w:rtl w:val="true"/>
        </w:rPr>
        <w:t>").</w:t>
      </w:r>
    </w:p>
    <w:p>
      <w:pPr>
        <w:pStyle w:val="Normal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במהלך הפגישה האמורה</w:t>
      </w:r>
      <w:r>
        <w:rPr>
          <w:rtl w:val="true"/>
        </w:rPr>
        <w:t xml:space="preserve">, </w:t>
      </w:r>
      <w:r>
        <w:rPr>
          <w:rtl w:val="true"/>
        </w:rPr>
        <w:t>הדריך פ</w:t>
      </w:r>
      <w:r>
        <w:rPr>
          <w:rtl w:val="true"/>
        </w:rPr>
        <w:t xml:space="preserve">'.. </w:t>
      </w:r>
      <w:r>
        <w:rPr>
          <w:rtl w:val="true"/>
        </w:rPr>
        <w:t>את הנאשם ואת ח</w:t>
      </w:r>
      <w:r>
        <w:rPr>
          <w:rtl w:val="true"/>
        </w:rPr>
        <w:t xml:space="preserve">'..., </w:t>
      </w:r>
      <w:r>
        <w:rPr>
          <w:rtl w:val="true"/>
        </w:rPr>
        <w:t>כיצד ניתן להכין את מטעני החבלה ואף מסר להם רשימת פריטים בהם יש להצטייד לצורך הכנתם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>
          <w:u w:val="single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לאחר הפגישה</w:t>
      </w:r>
      <w:r>
        <w:rPr>
          <w:rtl w:val="true"/>
        </w:rPr>
        <w:t xml:space="preserve">, </w:t>
      </w:r>
      <w:r>
        <w:rPr>
          <w:rtl w:val="true"/>
        </w:rPr>
        <w:t>גמלה בליבם של הנאשם והמעורבים האחרים ההחלטה לפעול נגד הגורמים העבריינים באמצעות הנחת מטעני חבלה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כעבור יום</w:t>
      </w:r>
      <w:r>
        <w:rPr>
          <w:rtl w:val="true"/>
        </w:rPr>
        <w:t xml:space="preserve">, </w:t>
      </w:r>
      <w:r>
        <w:rPr>
          <w:rtl w:val="true"/>
        </w:rPr>
        <w:t>רכש הנאשם צינורות ופריטים נוספים לצורך הכנת מטעני החבלה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נפגשו הנאשם וח</w:t>
      </w:r>
      <w:r>
        <w:rPr>
          <w:rtl w:val="true"/>
        </w:rPr>
        <w:t xml:space="preserve">'.... </w:t>
      </w:r>
      <w:r>
        <w:rPr>
          <w:rtl w:val="true"/>
        </w:rPr>
        <w:t>בביתו של פ</w:t>
      </w:r>
      <w:r>
        <w:rPr>
          <w:rtl w:val="true"/>
        </w:rPr>
        <w:t xml:space="preserve">'.... </w:t>
      </w:r>
      <w:r>
        <w:rPr>
          <w:rtl w:val="true"/>
        </w:rPr>
        <w:t>במהלך אותה פגישה</w:t>
      </w:r>
      <w:r>
        <w:rPr>
          <w:rtl w:val="true"/>
        </w:rPr>
        <w:t xml:space="preserve">, </w:t>
      </w:r>
      <w:r>
        <w:rPr>
          <w:rtl w:val="true"/>
        </w:rPr>
        <w:t>ולצורך הכנת מטעני החבלה</w:t>
      </w:r>
      <w:r>
        <w:rPr>
          <w:rtl w:val="true"/>
        </w:rPr>
        <w:t xml:space="preserve">, </w:t>
      </w:r>
      <w:r>
        <w:rPr>
          <w:rtl w:val="true"/>
        </w:rPr>
        <w:t>קדח פ</w:t>
      </w:r>
      <w:r>
        <w:rPr>
          <w:rtl w:val="true"/>
        </w:rPr>
        <w:t xml:space="preserve">'... </w:t>
      </w:r>
      <w:r>
        <w:rPr>
          <w:rtl w:val="true"/>
        </w:rPr>
        <w:t>חורים בצינורות והכניס לתוכם נפצים שהיו ברשותו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סיפק פ</w:t>
      </w:r>
      <w:r>
        <w:rPr>
          <w:rtl w:val="true"/>
        </w:rPr>
        <w:t xml:space="preserve">'... </w:t>
      </w:r>
      <w:r>
        <w:rPr>
          <w:rtl w:val="true"/>
        </w:rPr>
        <w:t>לנאשם ולח</w:t>
      </w:r>
      <w:r>
        <w:rPr>
          <w:rtl w:val="true"/>
        </w:rPr>
        <w:t xml:space="preserve">'... </w:t>
      </w:r>
      <w:r>
        <w:rPr>
          <w:rtl w:val="true"/>
        </w:rPr>
        <w:t>ציוד לצורך הכנת מטעני החבלה</w:t>
      </w:r>
      <w:r>
        <w:rPr>
          <w:rtl w:val="true"/>
        </w:rPr>
        <w:t xml:space="preserve">, </w:t>
      </w:r>
      <w:r>
        <w:rPr>
          <w:rtl w:val="true"/>
        </w:rPr>
        <w:t>שכלל נפצים נוספים</w:t>
      </w:r>
      <w:r>
        <w:rPr>
          <w:rtl w:val="true"/>
        </w:rPr>
        <w:t xml:space="preserve">, </w:t>
      </w:r>
      <w:r>
        <w:rPr>
          <w:rtl w:val="true"/>
        </w:rPr>
        <w:t>כדורי ציד וגפרורים חשמליים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הדריך אותם רן כיצד ניתן לפרק את כדורי הציד ולהוציא מהם את אבק השריפה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אבק השריפה</w:t>
      </w:r>
      <w:r>
        <w:rPr>
          <w:rtl w:val="true"/>
        </w:rPr>
        <w:t xml:space="preserve">"), </w:t>
      </w:r>
      <w:r>
        <w:rPr>
          <w:rtl w:val="true"/>
        </w:rPr>
        <w:t>אשר ישמש אותם לצורך פיצוץ מטעני החבלה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יעץ פ</w:t>
      </w:r>
      <w:r>
        <w:rPr>
          <w:rtl w:val="true"/>
        </w:rPr>
        <w:t xml:space="preserve">'... </w:t>
      </w:r>
      <w:r>
        <w:rPr>
          <w:rtl w:val="true"/>
        </w:rPr>
        <w:t>לנאשם ולח</w:t>
      </w:r>
      <w:r>
        <w:rPr>
          <w:rtl w:val="true"/>
        </w:rPr>
        <w:t xml:space="preserve">'...., </w:t>
      </w:r>
      <w:r>
        <w:rPr>
          <w:rtl w:val="true"/>
        </w:rPr>
        <w:t>להוסיף למטעני החבלה כדוריות עופרת</w:t>
      </w:r>
      <w:r>
        <w:rPr>
          <w:rtl w:val="true"/>
        </w:rPr>
        <w:t xml:space="preserve">, </w:t>
      </w:r>
      <w:r>
        <w:rPr>
          <w:rtl w:val="true"/>
        </w:rPr>
        <w:t>אותן יפרקו מכדורי הציד</w:t>
      </w:r>
      <w:r>
        <w:rPr>
          <w:rtl w:val="true"/>
        </w:rPr>
        <w:t xml:space="preserve">, </w:t>
      </w:r>
      <w:r>
        <w:rPr>
          <w:rtl w:val="true"/>
        </w:rPr>
        <w:t>במטרה להגביר את עוצמת הנזק שיגרם לסביבה כתוצאה מהפיצוץ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התגבש בין הנאשם והמעורבים האחרים קשר פלילי</w:t>
      </w:r>
      <w:r>
        <w:rPr>
          <w:rtl w:val="true"/>
        </w:rPr>
        <w:t xml:space="preserve">, </w:t>
      </w:r>
      <w:r>
        <w:rPr>
          <w:rtl w:val="true"/>
        </w:rPr>
        <w:t>במסגרתו הוחלט לפעול נגד הגורמים העבריינים בדרך המתוארת לעיל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כעבור מספר ימים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20/10/06</w:t>
      </w:r>
      <w:r>
        <w:rPr>
          <w:rtl w:val="true"/>
        </w:rPr>
        <w:t xml:space="preserve">, </w:t>
      </w:r>
      <w:r>
        <w:rPr>
          <w:rtl w:val="true"/>
        </w:rPr>
        <w:t>רכש צ</w:t>
      </w:r>
      <w:r>
        <w:rPr>
          <w:rtl w:val="true"/>
        </w:rPr>
        <w:t xml:space="preserve">'..., </w:t>
      </w:r>
      <w:r>
        <w:rPr>
          <w:rtl w:val="true"/>
        </w:rPr>
        <w:t>בעצת פ</w:t>
      </w:r>
      <w:r>
        <w:rPr>
          <w:rtl w:val="true"/>
        </w:rPr>
        <w:t xml:space="preserve">'..., </w:t>
      </w:r>
      <w:r>
        <w:rPr>
          <w:rtl w:val="true"/>
        </w:rPr>
        <w:t>ציוד</w:t>
      </w:r>
      <w:r>
        <w:rPr>
          <w:rtl w:val="true"/>
        </w:rPr>
        <w:t xml:space="preserve">, </w:t>
      </w:r>
      <w:r>
        <w:rPr>
          <w:rtl w:val="true"/>
        </w:rPr>
        <w:t>לצורך הכנת מטעני החבלה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רכש צ</w:t>
      </w:r>
      <w:r>
        <w:rPr>
          <w:rtl w:val="true"/>
        </w:rPr>
        <w:t xml:space="preserve">'.... </w:t>
      </w:r>
      <w:r>
        <w:rPr>
          <w:rtl w:val="true"/>
        </w:rPr>
        <w:t>חומר מסוג אציטון</w:t>
      </w:r>
      <w:r>
        <w:rPr>
          <w:rtl w:val="true"/>
        </w:rPr>
        <w:t xml:space="preserve">, </w:t>
      </w:r>
      <w:r>
        <w:rPr>
          <w:rtl w:val="true"/>
        </w:rPr>
        <w:t>במטרה לנקות באמצעותו טביעות אצבעות שיותירו הנאשם והמעורבים האחרים על מטעני החבלה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נפגשו הנאשם והמעורבים האחרים</w:t>
      </w:r>
      <w:r>
        <w:rPr>
          <w:rtl w:val="true"/>
        </w:rPr>
        <w:t xml:space="preserve">, </w:t>
      </w:r>
      <w:r>
        <w:rPr>
          <w:rtl w:val="true"/>
        </w:rPr>
        <w:t>בביתו של צ</w:t>
      </w:r>
      <w:r>
        <w:rPr>
          <w:rtl w:val="true"/>
        </w:rPr>
        <w:t xml:space="preserve">'...., </w:t>
      </w:r>
      <w:r>
        <w:rPr>
          <w:rtl w:val="true"/>
        </w:rPr>
        <w:t>לצורך הרכבת מטעני החבלה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במהלך אותה פגישה</w:t>
      </w:r>
      <w:r>
        <w:rPr>
          <w:rtl w:val="true"/>
        </w:rPr>
        <w:t xml:space="preserve">, </w:t>
      </w:r>
      <w:r>
        <w:rPr>
          <w:rtl w:val="true"/>
        </w:rPr>
        <w:t>פרקו הנאשם והמעורבים האחרים את כדורי הציד</w:t>
      </w:r>
      <w:r>
        <w:rPr>
          <w:rtl w:val="true"/>
        </w:rPr>
        <w:t xml:space="preserve">, </w:t>
      </w:r>
      <w:r>
        <w:rPr>
          <w:rtl w:val="true"/>
        </w:rPr>
        <w:t>הוציאו מתוכם את אבק השריפה ואת כדוריות העופרת</w:t>
      </w:r>
      <w:r>
        <w:rPr>
          <w:rtl w:val="true"/>
        </w:rPr>
        <w:t xml:space="preserve">, </w:t>
      </w:r>
      <w:r>
        <w:rPr>
          <w:rtl w:val="true"/>
        </w:rPr>
        <w:t>והחדירו אותם לתוך חלל הצינור</w:t>
      </w:r>
      <w:r>
        <w:rPr>
          <w:rtl w:val="true"/>
        </w:rPr>
        <w:t xml:space="preserve">, </w:t>
      </w:r>
      <w:r>
        <w:rPr>
          <w:rtl w:val="true"/>
        </w:rPr>
        <w:t>כל זאת במטרה להגביר את עוצמת הנזק שייגרם כתוצאה מהפיצוץ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בסופה של הפגישה</w:t>
      </w:r>
      <w:r>
        <w:rPr>
          <w:rtl w:val="true"/>
        </w:rPr>
        <w:t xml:space="preserve">, </w:t>
      </w:r>
      <w:r>
        <w:rPr>
          <w:rtl w:val="true"/>
        </w:rPr>
        <w:t>לאחר שמטעני החבלה הורכבו</w:t>
      </w:r>
      <w:r>
        <w:rPr>
          <w:rtl w:val="true"/>
        </w:rPr>
        <w:t xml:space="preserve">, </w:t>
      </w:r>
      <w:r>
        <w:rPr>
          <w:rtl w:val="true"/>
        </w:rPr>
        <w:t>ביצעו הנאשם והמעורבים האחרים ניסוי של מנגנון ההפעלה</w:t>
      </w:r>
      <w:r>
        <w:rPr>
          <w:rtl w:val="true"/>
        </w:rPr>
        <w:t xml:space="preserve">, </w:t>
      </w:r>
      <w:r>
        <w:rPr>
          <w:rtl w:val="true"/>
        </w:rPr>
        <w:t>שאמור היה להפעיל את מטעני החבלה</w:t>
      </w:r>
      <w:r>
        <w:rPr>
          <w:rtl w:val="true"/>
        </w:rPr>
        <w:t xml:space="preserve">, </w:t>
      </w:r>
      <w:r>
        <w:rPr>
          <w:rtl w:val="true"/>
        </w:rPr>
        <w:t>אך ניסיון זה לא צלח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קבעו לדחות תוכניתם למועד מאוחר יותר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כבר באותו היום התקשר צ</w:t>
      </w:r>
      <w:r>
        <w:rPr>
          <w:rtl w:val="true"/>
        </w:rPr>
        <w:t xml:space="preserve">'....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וביקש ממנו שלא לדחות את הנחת מטעני החבלה</w:t>
      </w:r>
      <w:r>
        <w:rPr>
          <w:rtl w:val="true"/>
        </w:rPr>
        <w:t xml:space="preserve">, </w:t>
      </w:r>
      <w:r>
        <w:rPr>
          <w:rtl w:val="true"/>
        </w:rPr>
        <w:t>מאחר וצפויים להגיע לעיר כוחות משטרה רבים</w:t>
      </w:r>
      <w:r>
        <w:rPr>
          <w:rtl w:val="true"/>
        </w:rPr>
        <w:t xml:space="preserve">, </w:t>
      </w:r>
      <w:r>
        <w:rPr>
          <w:rtl w:val="true"/>
        </w:rPr>
        <w:t>עובדה שאפשר ויהיה בה בכדי לסכל את מימוש הקשר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למחרת היום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21/10/06</w:t>
      </w:r>
      <w:r>
        <w:rPr>
          <w:rtl w:val="true"/>
        </w:rPr>
        <w:t xml:space="preserve">, </w:t>
      </w:r>
      <w:r>
        <w:rPr>
          <w:rtl w:val="true"/>
        </w:rPr>
        <w:t>רכש הנאשם שעונים נוספים</w:t>
      </w:r>
      <w:r>
        <w:rPr>
          <w:rtl w:val="true"/>
        </w:rPr>
        <w:t xml:space="preserve">, </w:t>
      </w:r>
      <w:r>
        <w:rPr>
          <w:rtl w:val="true"/>
        </w:rPr>
        <w:t>לצורך הפעלת מטעני החבלה</w:t>
      </w:r>
      <w:r>
        <w:rPr>
          <w:rtl w:val="true"/>
        </w:rPr>
        <w:t xml:space="preserve">. </w:t>
      </w:r>
      <w:r>
        <w:rPr>
          <w:rtl w:val="true"/>
        </w:rPr>
        <w:t>בשעות הצהריים של אותו היום</w:t>
      </w:r>
      <w:r>
        <w:rPr>
          <w:rtl w:val="true"/>
        </w:rPr>
        <w:t xml:space="preserve">, </w:t>
      </w:r>
      <w:r>
        <w:rPr>
          <w:rtl w:val="true"/>
        </w:rPr>
        <w:t>בביתו של צ</w:t>
      </w:r>
      <w:r>
        <w:rPr>
          <w:rtl w:val="true"/>
        </w:rPr>
        <w:t xml:space="preserve">'...., </w:t>
      </w:r>
      <w:r>
        <w:rPr>
          <w:rtl w:val="true"/>
        </w:rPr>
        <w:t>ניסו הנאשם וח</w:t>
      </w:r>
      <w:r>
        <w:rPr>
          <w:rtl w:val="true"/>
        </w:rPr>
        <w:t xml:space="preserve">'.... </w:t>
      </w:r>
      <w:r>
        <w:rPr>
          <w:rtl w:val="true"/>
        </w:rPr>
        <w:t>להפעיל את מנגנון המטען באמצעות סוללה וניסיון זה צלח</w:t>
      </w:r>
      <w:r>
        <w:rPr>
          <w:rtl w:val="true"/>
        </w:rPr>
        <w:t xml:space="preserve">. </w:t>
      </w:r>
      <w:r>
        <w:rPr>
          <w:rtl w:val="true"/>
        </w:rPr>
        <w:t>באותו יום</w:t>
      </w:r>
      <w:r>
        <w:rPr>
          <w:rtl w:val="true"/>
        </w:rPr>
        <w:t xml:space="preserve">, </w:t>
      </w:r>
      <w:r>
        <w:rPr>
          <w:rtl w:val="true"/>
        </w:rPr>
        <w:t xml:space="preserve">בין השעות </w:t>
      </w:r>
      <w:r>
        <w:rPr/>
        <w:t>18:00-19:00</w:t>
      </w:r>
      <w:r>
        <w:rPr>
          <w:rtl w:val="true"/>
        </w:rPr>
        <w:t xml:space="preserve">, </w:t>
      </w:r>
      <w:r>
        <w:rPr>
          <w:rtl w:val="true"/>
        </w:rPr>
        <w:t>בעקבות הצלחת הניסוי</w:t>
      </w:r>
      <w:r>
        <w:rPr>
          <w:rtl w:val="true"/>
        </w:rPr>
        <w:t xml:space="preserve">, </w:t>
      </w:r>
      <w:r>
        <w:rPr>
          <w:rtl w:val="true"/>
        </w:rPr>
        <w:t>ובהתאם לתיאום מראש</w:t>
      </w:r>
      <w:r>
        <w:rPr>
          <w:rtl w:val="true"/>
        </w:rPr>
        <w:t xml:space="preserve">, </w:t>
      </w:r>
      <w:r>
        <w:rPr>
          <w:rtl w:val="true"/>
        </w:rPr>
        <w:t>נפגשו הנאשם והמעורבים האחרים בביתו של צ</w:t>
      </w:r>
      <w:r>
        <w:rPr>
          <w:rtl w:val="true"/>
        </w:rPr>
        <w:t xml:space="preserve">'..... </w:t>
      </w:r>
      <w:r>
        <w:rPr>
          <w:rtl w:val="true"/>
        </w:rPr>
        <w:t>במסגרת אותו מפגש</w:t>
      </w:r>
      <w:r>
        <w:rPr>
          <w:rtl w:val="true"/>
        </w:rPr>
        <w:t xml:space="preserve">, </w:t>
      </w:r>
      <w:r>
        <w:rPr>
          <w:rtl w:val="true"/>
        </w:rPr>
        <w:t>הועלו מספר הצעות בנוגע לזהותם של העבריינים אשר נגדם יופעלו מטעני החבלה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הוחלט על דעת כל הנוכחים</w:t>
      </w:r>
      <w:r>
        <w:rPr>
          <w:rtl w:val="true"/>
        </w:rPr>
        <w:t xml:space="preserve">, </w:t>
      </w:r>
      <w:r>
        <w:rPr>
          <w:rtl w:val="true"/>
        </w:rPr>
        <w:t xml:space="preserve">להניח את מטעני החבלה בביתו של רפי בן שלום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רפי</w:t>
      </w:r>
      <w:r>
        <w:rPr>
          <w:rtl w:val="true"/>
        </w:rPr>
        <w:t xml:space="preserve">") </w:t>
      </w:r>
      <w:r>
        <w:rPr>
          <w:rtl w:val="true"/>
        </w:rPr>
        <w:t xml:space="preserve">ובמכוניתו של מיכאל מור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מיכה</w:t>
      </w:r>
      <w:r>
        <w:rPr>
          <w:rtl w:val="true"/>
        </w:rPr>
        <w:t>").</w:t>
      </w:r>
    </w:p>
    <w:p>
      <w:pPr>
        <w:pStyle w:val="Normal"/>
        <w:ind w:hanging="720" w:start="720" w:end="0"/>
        <w:jc w:val="start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כמו כן סוכם על חלוקה לצוותים</w:t>
      </w:r>
      <w:r>
        <w:rPr>
          <w:rtl w:val="true"/>
        </w:rPr>
        <w:t xml:space="preserve">: </w:t>
      </w:r>
      <w:r>
        <w:rPr>
          <w:rtl w:val="true"/>
        </w:rPr>
        <w:t>צוות אחד יניח את מטען החבלה בביתו של רפי</w:t>
      </w:r>
      <w:r>
        <w:rPr>
          <w:rtl w:val="true"/>
        </w:rPr>
        <w:t xml:space="preserve">, </w:t>
      </w:r>
      <w:r>
        <w:rPr>
          <w:rtl w:val="true"/>
        </w:rPr>
        <w:t>ואילו הצוות השני</w:t>
      </w:r>
      <w:r>
        <w:rPr>
          <w:rtl w:val="true"/>
        </w:rPr>
        <w:t xml:space="preserve">, </w:t>
      </w:r>
      <w:r>
        <w:rPr>
          <w:rtl w:val="true"/>
        </w:rPr>
        <w:t>יניח את מטען החבלה במכוניתו של מיכה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בסופה של אותה פגישה</w:t>
      </w:r>
      <w:r>
        <w:rPr>
          <w:rtl w:val="true"/>
        </w:rPr>
        <w:t xml:space="preserve">, </w:t>
      </w:r>
      <w:r>
        <w:rPr>
          <w:rtl w:val="true"/>
        </w:rPr>
        <w:t>הוחלט להיפגש באותו הלילה שבין ה</w:t>
      </w:r>
      <w:r>
        <w:rPr>
          <w:rtl w:val="true"/>
        </w:rPr>
        <w:t xml:space="preserve">- </w:t>
      </w:r>
      <w:r>
        <w:rPr/>
        <w:t>21/10/06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22/10/06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ביער יחיעם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מייד לאחר מכן</w:t>
      </w:r>
      <w:r>
        <w:rPr>
          <w:rtl w:val="true"/>
        </w:rPr>
        <w:t xml:space="preserve">, </w:t>
      </w:r>
      <w:r>
        <w:rPr>
          <w:rtl w:val="true"/>
        </w:rPr>
        <w:t>נסעו הנאשם וח</w:t>
      </w:r>
      <w:r>
        <w:rPr>
          <w:rtl w:val="true"/>
        </w:rPr>
        <w:t xml:space="preserve">'.. </w:t>
      </w:r>
      <w:r>
        <w:rPr>
          <w:rtl w:val="true"/>
        </w:rPr>
        <w:t>ליער</w:t>
      </w:r>
      <w:r>
        <w:rPr>
          <w:rtl w:val="true"/>
        </w:rPr>
        <w:t xml:space="preserve">, </w:t>
      </w:r>
      <w:r>
        <w:rPr>
          <w:rtl w:val="true"/>
        </w:rPr>
        <w:t>שם ערכו ניסוי של מנגנוני הפעלת מטעני החבלה</w:t>
      </w:r>
      <w:r>
        <w:rPr>
          <w:rtl w:val="true"/>
        </w:rPr>
        <w:t xml:space="preserve">, </w:t>
      </w:r>
      <w:r>
        <w:rPr>
          <w:rtl w:val="true"/>
        </w:rPr>
        <w:t>אשר בסיומו</w:t>
      </w:r>
      <w:r>
        <w:rPr>
          <w:rtl w:val="true"/>
        </w:rPr>
        <w:t xml:space="preserve">, </w:t>
      </w:r>
      <w:r>
        <w:rPr>
          <w:rtl w:val="true"/>
        </w:rPr>
        <w:t>הטמינו את מטעני החבלה ביער</w:t>
      </w:r>
      <w:r>
        <w:rPr>
          <w:rtl w:val="true"/>
        </w:rPr>
        <w:t xml:space="preserve">, </w:t>
      </w:r>
      <w:r>
        <w:rPr>
          <w:rtl w:val="true"/>
        </w:rPr>
        <w:t>ושוב אל ביתם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מאוחר יותר באותו לילה</w:t>
      </w:r>
      <w:r>
        <w:rPr>
          <w:rtl w:val="true"/>
        </w:rPr>
        <w:t xml:space="preserve">, </w:t>
      </w:r>
      <w:r>
        <w:rPr>
          <w:rtl w:val="true"/>
        </w:rPr>
        <w:t>הגיעו הנאשם והמעורבים האחרים לנקודת המפגש ביער</w:t>
      </w:r>
      <w:r>
        <w:rPr>
          <w:rtl w:val="true"/>
        </w:rPr>
        <w:t xml:space="preserve">, </w:t>
      </w:r>
      <w:r>
        <w:rPr>
          <w:rtl w:val="true"/>
        </w:rPr>
        <w:t>באמצעות כלי הרכב של מ</w:t>
      </w:r>
      <w:r>
        <w:rPr>
          <w:rtl w:val="true"/>
        </w:rPr>
        <w:t>.. (</w:t>
      </w:r>
      <w:r>
        <w:rPr>
          <w:rtl w:val="true"/>
        </w:rPr>
        <w:t xml:space="preserve">רכז  </w:t>
      </w:r>
      <w:r>
        <w:rPr>
          <w:rtl w:val="true"/>
        </w:rPr>
        <w:t>...)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</w:t>
      </w:r>
      <w:r>
        <w:rPr>
          <w:rtl w:val="true"/>
        </w:rPr>
        <w:t xml:space="preserve">") </w:t>
      </w:r>
      <w:r>
        <w:rPr>
          <w:rtl w:val="true"/>
        </w:rPr>
        <w:t>ונ</w:t>
      </w:r>
      <w:r>
        <w:rPr>
          <w:rtl w:val="true"/>
        </w:rPr>
        <w:t>.. (</w:t>
      </w:r>
      <w:r>
        <w:rPr>
          <w:rtl w:val="true"/>
        </w:rPr>
        <w:t xml:space="preserve">קצין </w:t>
      </w:r>
      <w:r>
        <w:rPr>
          <w:rtl w:val="true"/>
        </w:rPr>
        <w:t>....</w:t>
      </w:r>
      <w:r>
        <w:rPr>
          <w:rtl w:val="true"/>
        </w:rPr>
        <w:t>ב</w:t>
      </w:r>
      <w:r>
        <w:rPr>
          <w:rtl w:val="true"/>
        </w:rPr>
        <w:t>...)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נ</w:t>
      </w:r>
      <w:r>
        <w:rPr>
          <w:rtl w:val="true"/>
        </w:rPr>
        <w:t xml:space="preserve">"). </w:t>
      </w:r>
      <w:r>
        <w:rPr>
          <w:rtl w:val="true"/>
        </w:rPr>
        <w:t>עם הגיעם ליער</w:t>
      </w:r>
      <w:r>
        <w:rPr>
          <w:rtl w:val="true"/>
        </w:rPr>
        <w:t xml:space="preserve">, </w:t>
      </w:r>
      <w:r>
        <w:rPr>
          <w:rtl w:val="true"/>
        </w:rPr>
        <w:t>שינו באמצעות איזולירבנד את הספרות המופיעות על לוחיות הזיהוי של כלי הרכב שאמורים היו להסיע אותם אל המקומות בהם יונחו מטעני החבלה</w:t>
      </w:r>
      <w:r>
        <w:rPr>
          <w:rtl w:val="true"/>
        </w:rPr>
        <w:t xml:space="preserve">, </w:t>
      </w:r>
      <w:r>
        <w:rPr>
          <w:rtl w:val="true"/>
        </w:rPr>
        <w:t>וזאת במטרה למנוע את זיהוי כלי הרכב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מייד לאחר מכן</w:t>
      </w:r>
      <w:r>
        <w:rPr>
          <w:rtl w:val="true"/>
        </w:rPr>
        <w:t xml:space="preserve">, </w:t>
      </w:r>
      <w:r>
        <w:rPr>
          <w:rtl w:val="true"/>
        </w:rPr>
        <w:t>התחלקו הנאשם והמעורבים האחרים לשני צוותים</w:t>
      </w:r>
      <w:r>
        <w:rPr>
          <w:rtl w:val="true"/>
        </w:rPr>
        <w:t xml:space="preserve">, </w:t>
      </w:r>
      <w:r>
        <w:rPr>
          <w:rtl w:val="true"/>
        </w:rPr>
        <w:t>לצורך הנחת מטעני החבלה</w:t>
      </w:r>
      <w:r>
        <w:rPr>
          <w:rtl w:val="true"/>
        </w:rPr>
        <w:t xml:space="preserve">: </w:t>
      </w:r>
      <w:r>
        <w:rPr>
          <w:rtl w:val="true"/>
        </w:rPr>
        <w:t>צוות אחד</w:t>
      </w:r>
      <w:r>
        <w:rPr>
          <w:rtl w:val="true"/>
        </w:rPr>
        <w:t xml:space="preserve">, </w:t>
      </w:r>
      <w:r>
        <w:rPr>
          <w:rtl w:val="true"/>
        </w:rPr>
        <w:t>אשר כלל את מ</w:t>
      </w:r>
      <w:r>
        <w:rPr>
          <w:rtl w:val="true"/>
        </w:rPr>
        <w:t xml:space="preserve">... </w:t>
      </w:r>
      <w:r>
        <w:rPr>
          <w:rtl w:val="true"/>
        </w:rPr>
        <w:t>ואת צ</w:t>
      </w:r>
      <w:r>
        <w:rPr>
          <w:rtl w:val="true"/>
        </w:rPr>
        <w:t xml:space="preserve">'..., </w:t>
      </w:r>
      <w:r>
        <w:rPr>
          <w:rtl w:val="true"/>
        </w:rPr>
        <w:t>נסע ברכבו של מ</w:t>
      </w:r>
      <w:r>
        <w:rPr>
          <w:rtl w:val="true"/>
        </w:rPr>
        <w:t xml:space="preserve">... </w:t>
      </w:r>
      <w:r>
        <w:rPr>
          <w:rtl w:val="true"/>
        </w:rPr>
        <w:t>לביתו של מיכה</w:t>
      </w:r>
      <w:r>
        <w:rPr>
          <w:rtl w:val="true"/>
        </w:rPr>
        <w:t xml:space="preserve">; </w:t>
      </w:r>
      <w:r>
        <w:rPr>
          <w:rtl w:val="true"/>
        </w:rPr>
        <w:t>ואילו הצוות השני</w:t>
      </w:r>
      <w:r>
        <w:rPr>
          <w:rtl w:val="true"/>
        </w:rPr>
        <w:t xml:space="preserve">, </w:t>
      </w:r>
      <w:r>
        <w:rPr>
          <w:rtl w:val="true"/>
        </w:rPr>
        <w:t>אשר כלל את הנאשם</w:t>
      </w:r>
      <w:r>
        <w:rPr>
          <w:rtl w:val="true"/>
        </w:rPr>
        <w:t xml:space="preserve">, </w:t>
      </w:r>
      <w:r>
        <w:rPr>
          <w:rtl w:val="true"/>
        </w:rPr>
        <w:t>את ח</w:t>
      </w:r>
      <w:r>
        <w:rPr>
          <w:rtl w:val="true"/>
        </w:rPr>
        <w:t xml:space="preserve">'... </w:t>
      </w:r>
      <w:r>
        <w:rPr>
          <w:rtl w:val="true"/>
        </w:rPr>
        <w:t>ואת נ</w:t>
      </w:r>
      <w:r>
        <w:rPr>
          <w:rtl w:val="true"/>
        </w:rPr>
        <w:t xml:space="preserve">...,  </w:t>
      </w:r>
      <w:r>
        <w:rPr>
          <w:rtl w:val="true"/>
        </w:rPr>
        <w:t>נסע ברכב של נ</w:t>
      </w:r>
      <w:r>
        <w:rPr>
          <w:rtl w:val="true"/>
        </w:rPr>
        <w:t xml:space="preserve">... </w:t>
      </w:r>
      <w:r>
        <w:rPr>
          <w:rtl w:val="true"/>
        </w:rPr>
        <w:t>לביתו של רפי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טרם היציאה אל היעדים האמורים</w:t>
      </w:r>
      <w:r>
        <w:rPr>
          <w:rtl w:val="true"/>
        </w:rPr>
        <w:t xml:space="preserve">, </w:t>
      </w:r>
      <w:r>
        <w:rPr>
          <w:rtl w:val="true"/>
        </w:rPr>
        <w:t>חימש הנאשם את מטעני החבלה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כך שכיוון את שעוני ההפעלה המותקנים בהם לפרק זמן של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במסגרתו היו אמורים הנאשם והמעורבים האחרים להניח את המטענים במקומות שנקבעו ולהימלט מזירות האירוע לפני הזמן המיועד לפיצוץ המטענים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מטעני החבלה הכילו נפץ</w:t>
      </w:r>
      <w:r>
        <w:rPr>
          <w:rtl w:val="true"/>
        </w:rPr>
        <w:t xml:space="preserve">, </w:t>
      </w:r>
      <w:r>
        <w:rPr>
          <w:rtl w:val="true"/>
        </w:rPr>
        <w:t>אבק שריפה וכדוריות עופרת</w:t>
      </w:r>
      <w:r>
        <w:rPr>
          <w:rtl w:val="true"/>
        </w:rPr>
        <w:t xml:space="preserve">, </w:t>
      </w:r>
      <w:r>
        <w:rPr>
          <w:rtl w:val="true"/>
        </w:rPr>
        <w:t>אשר היה ביכולתם לפגוע או לגרום למותו של אדם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 מ</w:t>
      </w:r>
      <w:r>
        <w:rPr>
          <w:rtl w:val="true"/>
        </w:rPr>
        <w:t xml:space="preserve">'... </w:t>
      </w:r>
      <w:r>
        <w:rPr>
          <w:rtl w:val="true"/>
        </w:rPr>
        <w:t>וצ</w:t>
      </w:r>
      <w:r>
        <w:rPr>
          <w:rtl w:val="true"/>
        </w:rPr>
        <w:t xml:space="preserve">'... </w:t>
      </w:r>
      <w:r>
        <w:rPr>
          <w:rtl w:val="true"/>
        </w:rPr>
        <w:t>אל ביתו של מיכה</w:t>
      </w:r>
      <w:r>
        <w:rPr>
          <w:rtl w:val="true"/>
        </w:rPr>
        <w:t xml:space="preserve">, </w:t>
      </w:r>
      <w:r>
        <w:rPr>
          <w:rtl w:val="true"/>
        </w:rPr>
        <w:t>שם הניח צ</w:t>
      </w:r>
      <w:r>
        <w:rPr>
          <w:rtl w:val="true"/>
        </w:rPr>
        <w:t xml:space="preserve">'... </w:t>
      </w:r>
      <w:r>
        <w:rPr>
          <w:rtl w:val="true"/>
        </w:rPr>
        <w:t xml:space="preserve">את מטען החבלה מתחת לגלגלי רכב מסוג </w:t>
      </w:r>
      <w:r>
        <w:rPr/>
        <w:t>BMW</w:t>
      </w:r>
      <w:r>
        <w:rPr>
          <w:rtl w:val="true"/>
        </w:rPr>
        <w:t xml:space="preserve">, </w:t>
      </w:r>
      <w:r>
        <w:rPr>
          <w:rtl w:val="true"/>
        </w:rPr>
        <w:t>אשר נמצא בהחזקתו של מיכה והמשמש את אשתו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באותו הזמן הסיע נ</w:t>
      </w:r>
      <w:r>
        <w:rPr>
          <w:rtl w:val="true"/>
        </w:rPr>
        <w:t xml:space="preserve">.... </w:t>
      </w:r>
      <w:r>
        <w:rPr>
          <w:rtl w:val="true"/>
        </w:rPr>
        <w:t>את הנאשם ואת ח</w:t>
      </w:r>
      <w:r>
        <w:rPr>
          <w:rtl w:val="true"/>
        </w:rPr>
        <w:t xml:space="preserve">'.... </w:t>
      </w:r>
      <w:r>
        <w:rPr>
          <w:rtl w:val="true"/>
        </w:rPr>
        <w:t>אל עבר ביתו של רפי</w:t>
      </w:r>
      <w:r>
        <w:rPr>
          <w:rtl w:val="true"/>
        </w:rPr>
        <w:t xml:space="preserve">. </w:t>
      </w:r>
      <w:r>
        <w:rPr>
          <w:rtl w:val="true"/>
        </w:rPr>
        <w:t>כשהגיעו למקום</w:t>
      </w:r>
      <w:r>
        <w:rPr>
          <w:rtl w:val="true"/>
        </w:rPr>
        <w:t xml:space="preserve">, </w:t>
      </w:r>
      <w:r>
        <w:rPr>
          <w:rtl w:val="true"/>
        </w:rPr>
        <w:t>נשאר נ</w:t>
      </w:r>
      <w:r>
        <w:rPr>
          <w:rtl w:val="true"/>
        </w:rPr>
        <w:t xml:space="preserve">... </w:t>
      </w:r>
      <w:r>
        <w:rPr>
          <w:rtl w:val="true"/>
        </w:rPr>
        <w:t>ברכבו והנאשם וח</w:t>
      </w:r>
      <w:r>
        <w:rPr>
          <w:rtl w:val="true"/>
        </w:rPr>
        <w:t xml:space="preserve">'.... </w:t>
      </w:r>
      <w:r>
        <w:rPr>
          <w:rtl w:val="true"/>
        </w:rPr>
        <w:t>ירדו מהרכב ופנו לעבר ביתו של רפי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כאשר הגיעו אל הבית</w:t>
      </w:r>
      <w:r>
        <w:rPr>
          <w:rtl w:val="true"/>
        </w:rPr>
        <w:t xml:space="preserve">, </w:t>
      </w:r>
      <w:r>
        <w:rPr>
          <w:rtl w:val="true"/>
        </w:rPr>
        <w:t>סימן ח</w:t>
      </w:r>
      <w:r>
        <w:rPr>
          <w:rtl w:val="true"/>
        </w:rPr>
        <w:t xml:space="preserve">'.... </w:t>
      </w:r>
      <w:r>
        <w:rPr>
          <w:rtl w:val="true"/>
        </w:rPr>
        <w:t>לנאשם להניח את מטען החבלה על אדן החלון והנאשם עשה כן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באותו הזמן</w:t>
      </w:r>
      <w:r>
        <w:rPr>
          <w:rtl w:val="true"/>
        </w:rPr>
        <w:t xml:space="preserve">, </w:t>
      </w:r>
      <w:r>
        <w:rPr>
          <w:rtl w:val="true"/>
        </w:rPr>
        <w:t>שהו בביתו של רפי אימו ואחיו בן ה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אשר ישנו בחדר הסמוך לחדר שעל אדן חלונו הונח מטען החבלה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מייד לאחר הנחת המטענים</w:t>
      </w:r>
      <w:r>
        <w:rPr>
          <w:rtl w:val="true"/>
        </w:rPr>
        <w:t xml:space="preserve">, </w:t>
      </w:r>
      <w:r>
        <w:rPr>
          <w:rtl w:val="true"/>
        </w:rPr>
        <w:t>נמלטו הנאשם והמעורבים האחרים מהזירות הנ</w:t>
      </w:r>
      <w:r>
        <w:rPr>
          <w:rtl w:val="true"/>
        </w:rPr>
        <w:t>"</w:t>
      </w:r>
      <w:r>
        <w:rPr>
          <w:rtl w:val="true"/>
        </w:rPr>
        <w:t>ל בהן הטמינו את מטעני החבלה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כעבור פרק זמן של כ</w:t>
      </w:r>
      <w:r>
        <w:rPr>
          <w:rtl w:val="true"/>
        </w:rPr>
        <w:t xml:space="preserve">-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דקות ממועד כיוון שעוני ההפעלה כמתואר לעיל</w:t>
      </w:r>
      <w:r>
        <w:rPr>
          <w:rtl w:val="true"/>
        </w:rPr>
        <w:t xml:space="preserve">, </w:t>
      </w:r>
      <w:r>
        <w:rPr>
          <w:rtl w:val="true"/>
        </w:rPr>
        <w:t>התפוצץ מטען החבלה שהונח על אדן חלון ביתו של רפי</w:t>
      </w:r>
      <w:r>
        <w:rPr>
          <w:rtl w:val="true"/>
        </w:rPr>
        <w:t xml:space="preserve">, </w:t>
      </w:r>
      <w:r>
        <w:rPr>
          <w:rtl w:val="true"/>
        </w:rPr>
        <w:t>והרסס שכלל כדוריות עופרת</w:t>
      </w:r>
      <w:r>
        <w:rPr>
          <w:rtl w:val="true"/>
        </w:rPr>
        <w:t xml:space="preserve">, </w:t>
      </w:r>
      <w:r>
        <w:rPr>
          <w:rtl w:val="true"/>
        </w:rPr>
        <w:t>עף לכל עבר בעוצמה רבה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כתוצאה מפגיעת כדורי הרסס ומעוצמת הפיצוץ</w:t>
      </w:r>
      <w:r>
        <w:rPr>
          <w:rtl w:val="true"/>
        </w:rPr>
        <w:t xml:space="preserve">, </w:t>
      </w:r>
      <w:r>
        <w:rPr>
          <w:rtl w:val="true"/>
        </w:rPr>
        <w:t>נגרם נזק לקירות החדר הפנימיים והחיצוניים ולסורג הברזל שבחלון החדר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מטען החבלה שהונח ברכבו של מיכה לא התפוצץ וזאת בשל תקלה טכנית</w:t>
      </w:r>
      <w:r>
        <w:rPr>
          <w:rtl w:val="true"/>
        </w:rPr>
        <w:t>.</w:t>
      </w:r>
    </w:p>
    <w:p>
      <w:pPr>
        <w:pStyle w:val="Heading4"/>
        <w:ind w:hanging="720" w:start="720" w:end="0"/>
        <w:jc w:val="both"/>
        <w:rPr/>
      </w:pPr>
      <w:r>
        <w:rPr>
          <w:u w:val="none"/>
          <w:rtl w:val="true"/>
        </w:rPr>
        <w:t>ב</w:t>
      </w:r>
      <w:r>
        <w:rPr>
          <w:u w:val="none"/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</w:p>
    <w:p>
      <w:pPr>
        <w:pStyle w:val="Normal"/>
        <w:ind w:end="0"/>
        <w:jc w:val="start"/>
        <w:rPr/>
      </w:pPr>
      <w:r>
        <w:rPr>
          <w:rtl w:val="true"/>
        </w:rPr>
        <w:t>בפתח הדיון בפניינו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25/12/07</w:t>
      </w:r>
      <w:r>
        <w:rPr>
          <w:rtl w:val="true"/>
        </w:rPr>
        <w:t xml:space="preserve"> </w:t>
      </w:r>
      <w:r>
        <w:rPr>
          <w:rtl w:val="true"/>
        </w:rPr>
        <w:t>הודיעונו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כי הגיעו להסדר טיעון במסגרתו יודה הנאשם בעובדות כתב האישום והתביעה תבקש להטיל על הנאשם עונש מאסר</w:t>
      </w:r>
      <w:r>
        <w:rPr>
          <w:rtl w:val="true"/>
        </w:rPr>
        <w:t xml:space="preserve">, </w:t>
      </w:r>
      <w:r>
        <w:rPr>
          <w:rtl w:val="true"/>
        </w:rPr>
        <w:t>שירוצה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יהא רשאי לטעון לעונש קל יותר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הביאו לידיעתנו כי על פי הסדר הטיעון אמור הנאשם להעיד כעד תביעה במשפטם של הנאשמים האחרים באותה פרשה</w:t>
      </w:r>
      <w:r>
        <w:rPr>
          <w:rtl w:val="true"/>
        </w:rPr>
        <w:t xml:space="preserve">. </w:t>
      </w:r>
      <w:r>
        <w:rPr>
          <w:rtl w:val="true"/>
        </w:rPr>
        <w:t>היה והנאשם לא יעמוד בהסכם עד המדינה שנחתם עמו</w:t>
      </w:r>
      <w:r>
        <w:rPr>
          <w:rtl w:val="true"/>
        </w:rPr>
        <w:t xml:space="preserve">, </w:t>
      </w:r>
      <w:r>
        <w:rPr>
          <w:rtl w:val="true"/>
        </w:rPr>
        <w:t>אזי תהא התביעה רשאית לעתור לעונש כראות עיניה ואילו הנאשם יוכל לבקש לחזור בו מהודייתו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בישיבה מיום </w:t>
      </w:r>
      <w:r>
        <w:rPr/>
        <w:t>21/5/08</w:t>
      </w:r>
      <w:r>
        <w:rPr>
          <w:rtl w:val="true"/>
        </w:rPr>
        <w:t xml:space="preserve"> </w:t>
      </w:r>
      <w:r>
        <w:rPr>
          <w:rtl w:val="true"/>
        </w:rPr>
        <w:t>ביקש מאיתנו ב</w:t>
      </w:r>
      <w:r>
        <w:rPr>
          <w:rtl w:val="true"/>
        </w:rPr>
        <w:t>"</w:t>
      </w:r>
      <w:r>
        <w:rPr>
          <w:rtl w:val="true"/>
        </w:rPr>
        <w:t>כ המאשימה לכבד את הסדר הטיעון</w:t>
      </w:r>
      <w:r>
        <w:rPr>
          <w:rtl w:val="true"/>
        </w:rPr>
        <w:t xml:space="preserve">, </w:t>
      </w:r>
      <w:r>
        <w:rPr>
          <w:rtl w:val="true"/>
        </w:rPr>
        <w:t>לאחר שהנאשם העיד במשפטם של הנאשמים האחרים באותה פרשה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7" w:name="סוג_מסמך"/>
      <w:bookmarkStart w:id="38" w:name="סוג_מסמך"/>
      <w:bookmarkEnd w:id="38"/>
    </w:p>
    <w:p>
      <w:pPr>
        <w:pStyle w:val="Heading5"/>
        <w:ind w:hanging="720" w:start="720" w:end="0"/>
        <w:jc w:val="both"/>
        <w:rPr/>
      </w:pPr>
      <w:r>
        <w:rPr>
          <w:u w:val="none"/>
          <w:rtl w:val="true"/>
        </w:rPr>
        <w:t>ג</w:t>
      </w:r>
      <w:r>
        <w:rPr>
          <w:u w:val="none"/>
          <w:rtl w:val="true"/>
        </w:rPr>
        <w:t>.</w:t>
        <w:tab/>
      </w:r>
      <w:r>
        <w:rPr>
          <w:rtl w:val="true"/>
        </w:rPr>
        <w:t>דיון</w:t>
      </w:r>
    </w:p>
    <w:p>
      <w:pPr>
        <w:pStyle w:val="Normal"/>
        <w:ind w:end="0"/>
        <w:jc w:val="start"/>
        <w:rPr/>
      </w:pPr>
      <w:r>
        <w:rPr>
          <w:rtl w:val="true"/>
        </w:rPr>
        <w:t>מעשיו של הנאשם חמורים</w:t>
      </w:r>
      <w:r>
        <w:rPr>
          <w:rtl w:val="true"/>
        </w:rPr>
        <w:t xml:space="preserve">. </w:t>
      </w:r>
      <w:r>
        <w:rPr>
          <w:rtl w:val="true"/>
        </w:rPr>
        <w:t xml:space="preserve">איש משטרה האמור לאכוף </w:t>
      </w:r>
      <w:r>
        <w:rPr>
          <w:rtl w:val="true"/>
        </w:rPr>
        <w:t>חוק מתנה</w:t>
      </w:r>
      <w:r>
        <w:rPr>
          <w:rtl w:val="true"/>
        </w:rPr>
        <w:t>ג כאחד העבריינים ומשים עצמו תובע</w:t>
      </w:r>
      <w:r>
        <w:rPr>
          <w:rtl w:val="true"/>
        </w:rPr>
        <w:t xml:space="preserve">, </w:t>
      </w:r>
      <w:r>
        <w:rPr>
          <w:rtl w:val="true"/>
        </w:rPr>
        <w:t>שופט ומוציא לפועל</w:t>
      </w:r>
      <w:r>
        <w:rPr>
          <w:rtl w:val="true"/>
        </w:rPr>
        <w:t xml:space="preserve">. </w:t>
      </w:r>
      <w:r>
        <w:rPr>
          <w:rtl w:val="true"/>
        </w:rPr>
        <w:t>יהיו מניעיו אשר יהיו</w:t>
      </w:r>
      <w:r>
        <w:rPr>
          <w:rtl w:val="true"/>
        </w:rPr>
        <w:t xml:space="preserve">, </w:t>
      </w:r>
      <w:r>
        <w:rPr>
          <w:rtl w:val="true"/>
        </w:rPr>
        <w:t>אין לאיש זכות לסכן אחרים רק בשל מסקנתו כי המטרה שנבחרה היא עבריינית ויש לגמול לה בגין מעשיה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מעשיו של הנאשם היה בהם סיכון למטרות שנבחרו ולאנשים אחרים</w:t>
      </w:r>
      <w:r>
        <w:rPr>
          <w:rtl w:val="true"/>
        </w:rPr>
        <w:t xml:space="preserve">, </w:t>
      </w:r>
      <w:r>
        <w:rPr>
          <w:rtl w:val="true"/>
        </w:rPr>
        <w:t>שהיו עלולים להמצא בקרבת מקום הטמנת המטענים</w:t>
      </w:r>
      <w:r>
        <w:rPr>
          <w:rtl w:val="true"/>
        </w:rPr>
        <w:t xml:space="preserve">. </w:t>
      </w:r>
      <w:r>
        <w:rPr>
          <w:rtl w:val="true"/>
        </w:rPr>
        <w:t>נקל לשער איזה אסון היה עלול להגרם ליעד שנבחר ולנמצאים בסביבה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פעילות שכזו</w:t>
      </w:r>
      <w:r>
        <w:rPr>
          <w:rtl w:val="true"/>
        </w:rPr>
        <w:t xml:space="preserve">, </w:t>
      </w:r>
      <w:r>
        <w:rPr>
          <w:rtl w:val="true"/>
        </w:rPr>
        <w:t>המופנית כלפי אנשי העולם התחתון</w:t>
      </w:r>
      <w:r>
        <w:rPr>
          <w:rtl w:val="true"/>
        </w:rPr>
        <w:t xml:space="preserve">, </w:t>
      </w:r>
      <w:r>
        <w:rPr>
          <w:rtl w:val="true"/>
        </w:rPr>
        <w:t>עלולה להביא למעגל דמים שסופו מי ישורנו</w:t>
      </w:r>
      <w:r>
        <w:rPr>
          <w:rtl w:val="true"/>
        </w:rPr>
        <w:t xml:space="preserve">. </w:t>
      </w:r>
      <w:r>
        <w:rPr>
          <w:rtl w:val="true"/>
        </w:rPr>
        <w:t>כשלונו של הנאשם גדול</w:t>
      </w:r>
      <w:r>
        <w:rPr>
          <w:rtl w:val="true"/>
        </w:rPr>
        <w:t xml:space="preserve">. </w:t>
      </w:r>
      <w:r>
        <w:rPr>
          <w:rtl w:val="true"/>
        </w:rPr>
        <w:t>שוטר האמון על כיבוד החוק</w:t>
      </w:r>
      <w:r>
        <w:rPr>
          <w:rtl w:val="true"/>
        </w:rPr>
        <w:t xml:space="preserve">, </w:t>
      </w:r>
      <w:r>
        <w:rPr>
          <w:rtl w:val="true"/>
        </w:rPr>
        <w:t>התנהג כעבריין מובהק וסיכן את שלום הציבור</w:t>
      </w:r>
      <w:r>
        <w:rPr>
          <w:rtl w:val="true"/>
        </w:rPr>
        <w:t xml:space="preserve">. </w:t>
      </w:r>
      <w:r>
        <w:rPr>
          <w:rtl w:val="true"/>
        </w:rPr>
        <w:t>אין מדובר באירוע רגעי או בתגובה אימפולסיבית</w:t>
      </w:r>
      <w:r>
        <w:rPr>
          <w:rtl w:val="true"/>
        </w:rPr>
        <w:t xml:space="preserve">. </w:t>
      </w:r>
      <w:r>
        <w:rPr>
          <w:rtl w:val="true"/>
        </w:rPr>
        <w:t>מעשיו של הנאשם והתכנונים הנדרשים לביצועם</w:t>
      </w:r>
      <w:r>
        <w:rPr>
          <w:rtl w:val="true"/>
        </w:rPr>
        <w:t xml:space="preserve">, </w:t>
      </w:r>
      <w:r>
        <w:rPr>
          <w:rtl w:val="true"/>
        </w:rPr>
        <w:t xml:space="preserve">ארכו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בימים אלו לא נסוג הנאשם מכוונתו</w:t>
      </w:r>
      <w:r>
        <w:rPr>
          <w:rtl w:val="true"/>
        </w:rPr>
        <w:t xml:space="preserve">, </w:t>
      </w:r>
      <w:r>
        <w:rPr>
          <w:rtl w:val="true"/>
        </w:rPr>
        <w:t>אף שמן הסתם</w:t>
      </w:r>
      <w:r>
        <w:rPr>
          <w:rtl w:val="true"/>
        </w:rPr>
        <w:t xml:space="preserve">, </w:t>
      </w:r>
      <w:r>
        <w:rPr>
          <w:rtl w:val="true"/>
        </w:rPr>
        <w:t>הבין את משמעות 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 לשקול לקולא את נכונותו של הנאשם לשמש עד מדינה</w:t>
      </w:r>
      <w:r>
        <w:rPr>
          <w:rtl w:val="true"/>
        </w:rPr>
        <w:t xml:space="preserve">, </w:t>
      </w:r>
      <w:r>
        <w:rPr>
          <w:rtl w:val="true"/>
        </w:rPr>
        <w:t>מה שאיפשר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לחשוף את הפרשה כולה</w:t>
      </w:r>
      <w:r>
        <w:rPr>
          <w:rtl w:val="true"/>
        </w:rPr>
        <w:t xml:space="preserve">. </w:t>
      </w:r>
      <w:r>
        <w:rPr>
          <w:rtl w:val="true"/>
        </w:rPr>
        <w:t>הקלה משמעותית בעונשו של עד מדינה היא המחיר שמוכנה החברה לשלם עבור הרשעתם של עבריינים אחרים</w:t>
      </w:r>
      <w:r>
        <w:rPr>
          <w:rtl w:val="true"/>
        </w:rPr>
        <w:t xml:space="preserve">. </w:t>
      </w:r>
      <w:r>
        <w:rPr>
          <w:rtl w:val="true"/>
        </w:rPr>
        <w:t>המדובר בהכרח בל יגונה</w:t>
      </w:r>
      <w:r>
        <w:rPr>
          <w:rtl w:val="true"/>
        </w:rPr>
        <w:t xml:space="preserve">. </w:t>
      </w:r>
      <w:r>
        <w:rPr>
          <w:rtl w:val="true"/>
        </w:rPr>
        <w:t>עוד נשקול לקולא את עברו הנורמטיבי של הנאשם</w:t>
      </w:r>
      <w:r>
        <w:rPr>
          <w:rtl w:val="true"/>
        </w:rPr>
        <w:t xml:space="preserve">, </w:t>
      </w:r>
      <w:r>
        <w:rPr>
          <w:rtl w:val="true"/>
        </w:rPr>
        <w:t>כפי שפורט ב</w:t>
      </w:r>
      <w:r>
        <w:rPr>
          <w:rtl w:val="true"/>
        </w:rPr>
        <w:t>"</w:t>
      </w:r>
      <w:r>
        <w:rPr>
          <w:rtl w:val="true"/>
        </w:rPr>
        <w:t>דברו האחרון</w:t>
      </w:r>
      <w:r>
        <w:rPr>
          <w:rtl w:val="true"/>
        </w:rPr>
        <w:t xml:space="preserve">". </w:t>
      </w:r>
      <w:r>
        <w:rPr>
          <w:rtl w:val="true"/>
        </w:rPr>
        <w:t>לנגד עינינו יעמוד גם המחיר הכבד אותו משלם הנאשם הן בגין הסתבכותו בפרשה הנדונה והן בשל נכונותו לשמש עד מדינה</w:t>
      </w:r>
      <w:r>
        <w:rPr>
          <w:rtl w:val="true"/>
        </w:rPr>
        <w:t xml:space="preserve">. </w:t>
      </w:r>
      <w:r>
        <w:rPr>
          <w:rtl w:val="true"/>
        </w:rPr>
        <w:t>הנאשם תיאר בפנינו את מצוקתו ומצוקת משפחתו ונהיר לנו כי מצוקות אלו ילווהו עוד תקופה ממושכת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לנגד עינינו תעמוד גם החרטה העמוקה שהביע בפנינו</w:t>
      </w:r>
      <w:r>
        <w:rPr>
          <w:rtl w:val="true"/>
        </w:rPr>
        <w:t xml:space="preserve">, </w:t>
      </w:r>
      <w:r>
        <w:rPr>
          <w:rtl w:val="true"/>
        </w:rPr>
        <w:t>תוך שיכולנו להתרשם ממצוקתו ומכנותו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בהתחשב בכל הנסיבות ובטיעוני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>איננו רואים סיבה לסטות מהסדר הטיעון שהושג בין הצדדים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נראה לנו</w:t>
      </w:r>
      <w:r>
        <w:rPr>
          <w:rtl w:val="true"/>
        </w:rPr>
        <w:t xml:space="preserve">, </w:t>
      </w:r>
      <w:r>
        <w:rPr>
          <w:rtl w:val="true"/>
        </w:rPr>
        <w:t>נוכח הנסיבות דלעיל</w:t>
      </w:r>
      <w:r>
        <w:rPr>
          <w:rtl w:val="true"/>
        </w:rPr>
        <w:t xml:space="preserve">, </w:t>
      </w:r>
      <w:r>
        <w:rPr>
          <w:rtl w:val="true"/>
        </w:rPr>
        <w:t>שיש להעניש הנאשם ברף העליון של הסדר הטיעון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אנו גוזרים אפוא על הנאשם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מהם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עבירה שבגינה הורשע או כל עבירת אלימות שהיא פשע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אנו מורים</w:t>
      </w:r>
      <w:r>
        <w:rPr>
          <w:rtl w:val="true"/>
        </w:rPr>
        <w:t xml:space="preserve">, </w:t>
      </w:r>
      <w:r>
        <w:rPr>
          <w:rtl w:val="true"/>
        </w:rPr>
        <w:t>כי עונש המאסר 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במועדים ובשעות המומלצות ע</w:t>
      </w:r>
      <w:r>
        <w:rPr>
          <w:rtl w:val="true"/>
        </w:rPr>
        <w:t>"</w:t>
      </w:r>
      <w:r>
        <w:rPr>
          <w:rtl w:val="true"/>
        </w:rPr>
        <w:t>י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כפי שפורטו בחוות דעתו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מתקופת המאסר שהושתה על הנאשם</w:t>
      </w:r>
      <w:r>
        <w:rPr>
          <w:rtl w:val="true"/>
        </w:rPr>
        <w:t xml:space="preserve">, </w:t>
      </w:r>
      <w:r>
        <w:rPr>
          <w:rtl w:val="true"/>
        </w:rPr>
        <w:t xml:space="preserve">ינוכו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ימים בהם שהה הנאשם במעצר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הנאשם יתחיל לרצות את עבודות השירות ביום </w:t>
      </w:r>
      <w:r>
        <w:rPr/>
        <w:t>29/5/08</w:t>
      </w:r>
      <w:r>
        <w:rPr>
          <w:rtl w:val="true"/>
        </w:rPr>
        <w:t xml:space="preserve"> </w:t>
      </w:r>
      <w:r>
        <w:rPr>
          <w:rtl w:val="true"/>
        </w:rPr>
        <w:t xml:space="preserve">ובמועד זה יתייצב עד השעה </w:t>
      </w:r>
      <w:r>
        <w:rPr/>
        <w:t>09:00</w:t>
      </w:r>
      <w:r>
        <w:rPr>
          <w:rtl w:val="true"/>
        </w:rPr>
        <w:t xml:space="preserve"> </w:t>
      </w:r>
      <w:r>
        <w:rPr>
          <w:rtl w:val="true"/>
        </w:rPr>
        <w:t>אצל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בהתאם לאמור בחוות הדעת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>הובהרה לנאשם משמעות אי עמידתו בתנאי עבודות השירות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b w:val="false"/>
          <w:bCs w:val="false"/>
          <w:u w:val="none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שיף 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[]  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ס </w:t>
      </w:r>
      <w:r>
        <w:rPr>
          <w:rFonts w:cs="David" w:ascii="David" w:hAnsi="David"/>
          <w:color w:val="000000"/>
          <w:sz w:val="22"/>
          <w:szCs w:val="22"/>
        </w:rPr>
        <w:t>54678313-4069/07</w:t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 היום 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ח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 xml:space="preserve">במאי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 הצדדים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זכות ערעור לביהמ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ש העליון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תוך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 מהיום</w:t>
      </w:r>
      <w:r>
        <w:rPr>
          <w:b/>
          <w:bCs/>
          <w:color w:val="000000"/>
          <w:rtl w:val="true"/>
        </w:rPr>
        <w:t xml:space="preserve">.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92"/>
        <w:gridCol w:w="567"/>
        <w:gridCol w:w="2268"/>
        <w:gridCol w:w="567"/>
        <w:gridCol w:w="2235"/>
      </w:tblGrid>
      <w:tr>
        <w:trPr/>
        <w:tc>
          <w:tcPr>
            <w:tcW w:w="289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שיף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ח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הורוביץ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צ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קינן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lang w:eastAsia="en-US"/>
        </w:rPr>
      </w:pPr>
      <w:r>
        <w:rPr>
          <w:color w:val="000000"/>
          <w:rtl w:val="true"/>
          <w:lang w:eastAsia="en-US"/>
        </w:rPr>
        <w:t>נוסח מסמך זה כפוף לשינויי ניסוח ועריכה</w:t>
      </w:r>
    </w:p>
    <w:p>
      <w:pPr>
        <w:pStyle w:val="Normal"/>
        <w:ind w:end="0"/>
        <w:jc w:val="start"/>
        <w:rPr>
          <w:color w:val="000000"/>
          <w:lang w:eastAsia="en-US"/>
        </w:rPr>
      </w:pPr>
      <w:r>
        <w:rPr>
          <w:color w:val="000000"/>
          <w:rtl w:val="true"/>
          <w:lang w:eastAsia="en-US"/>
        </w:rPr>
      </w:r>
    </w:p>
    <w:p>
      <w:pPr>
        <w:pStyle w:val="Normal"/>
        <w:ind w:end="0"/>
        <w:jc w:val="center"/>
        <w:rPr>
          <w:rFonts w:cs="David"/>
          <w:color w:val="0000FF"/>
          <w:u w:val="single"/>
          <w:lang w:eastAsia="en-US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rFonts w:cs="David"/>
          <w:color w:val="0000FF"/>
          <w:u w:val="single"/>
          <w:lang w:eastAsia="en-US"/>
        </w:rPr>
      </w:pPr>
      <w:r>
        <w:rPr>
          <w:rFonts w:cs="David"/>
          <w:color w:val="0000FF"/>
          <w:u w:val="single"/>
          <w:rtl w:val="true"/>
          <w:lang w:eastAsia="en-US"/>
        </w:rPr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720" w:top="1701" w:footer="720" w:bottom="1276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/Users/liorb/Downloads/study2025-p2/m07004069.doc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4069/07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rFonts w:cs="David"/>
      <w:b/>
      <w:bCs/>
      <w:sz w:val="32"/>
      <w:szCs w:val="32"/>
      <w:u w:val="single"/>
      <w:lang w:val="en-IL" w:eastAsia="en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rFonts w:cs="David"/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ind w:hanging="0" w:start="0" w:end="0"/>
      <w:jc w:val="both"/>
      <w:outlineLvl w:val="3"/>
    </w:pPr>
    <w:rPr>
      <w:rFonts w:cs="David"/>
      <w:b/>
      <w:bCs/>
      <w:sz w:val="20"/>
      <w:u w:val="single"/>
      <w:lang w:val="en-IL" w:eastAsia="en-I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ind w:hanging="0" w:start="0" w:end="0"/>
      <w:jc w:val="both"/>
      <w:outlineLvl w:val="4"/>
    </w:pPr>
    <w:rPr>
      <w:rFonts w:cs="David"/>
      <w:b/>
      <w:bCs/>
      <w:sz w:val="20"/>
      <w:u w:val="single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0"/>
      <w:jc w:val="both"/>
    </w:pPr>
    <w:rPr>
      <w:rFonts w:cs="David"/>
      <w:b/>
      <w:bCs/>
      <w:sz w:val="20"/>
      <w:u w:val="single"/>
      <w:lang w:val="en-IL" w:eastAsia="en-IL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0"/>
    </w:rPr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rFonts w:cs="David"/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2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  <w:jc w:val="both"/>
    </w:pPr>
    <w:rPr>
      <w:rFonts w:cs="David"/>
      <w:sz w:val="20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b" TargetMode="External"/><Relationship Id="rId5" Type="http://schemas.openxmlformats.org/officeDocument/2006/relationships/hyperlink" Target="http://www.nevo.co.il/law/70301/284" TargetMode="External"/><Relationship Id="rId6" Type="http://schemas.openxmlformats.org/officeDocument/2006/relationships/hyperlink" Target="http://www.nevo.co.il/law/70301/454" TargetMode="External"/><Relationship Id="rId7" Type="http://schemas.openxmlformats.org/officeDocument/2006/relationships/hyperlink" Target="http://www.nevo.co.il/law/70301/45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8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2016-08-15T14:57:00Z</dcterms:created>
  <dc:creator> </dc:creator>
  <dc:description/>
  <cp:keywords/>
  <dc:language>en-IL</dc:language>
  <cp:lastModifiedBy>run</cp:lastModifiedBy>
  <dcterms:modified xsi:type="dcterms:W3CDTF">2016-08-15T14:57:00Z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ITY">
    <vt:lpwstr>חי'</vt:lpwstr>
  </property>
  <property fmtid="{D5CDD505-2E9C-101B-9397-08002B2CF9AE}" pid="5" name="DATE">
    <vt:lpwstr>20080525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א. שיף;ח. הורוביץ;צ. קינן</vt:lpwstr>
  </property>
  <property fmtid="{D5CDD505-2E9C-101B-9397-08002B2CF9AE}" pid="9" name="LAWLISTTMP1">
    <vt:lpwstr>70301/454;144b;144.b2;284</vt:lpwstr>
  </property>
  <property fmtid="{D5CDD505-2E9C-101B-9397-08002B2CF9AE}" pid="10" name="LAWYER">
    <vt:lpwstr>לוי מוטי;משה סעדה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תפח</vt:lpwstr>
  </property>
  <property fmtid="{D5CDD505-2E9C-101B-9397-08002B2CF9AE}" pid="31" name="PROCNUM">
    <vt:lpwstr>4069</vt:lpwstr>
  </property>
  <property fmtid="{D5CDD505-2E9C-101B-9397-08002B2CF9AE}" pid="32" name="PROCYEAR">
    <vt:lpwstr>07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390020080525</vt:lpwstr>
  </property>
  <property fmtid="{D5CDD505-2E9C-101B-9397-08002B2CF9AE}" pid="36" name="TYPE_N_DATE">
    <vt:lpwstr>39020080525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