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3"/>
        <w:gridCol w:w="680"/>
        <w:gridCol w:w="2233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001010/06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1" w:name="LastJudge"/>
            <w:bookmarkEnd w:id="1"/>
            <w:r>
              <w:rPr>
                <w:szCs w:val="22"/>
                <w:rtl w:val="true"/>
              </w:rPr>
              <w:t>בפני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טימן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שפירא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ברוש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22/07/2007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כוחה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חמאד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עיזאת</w:t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קזאז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שורפי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פייסל</w:t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שורפי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כוחם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ואון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LawTable"/>
      <w:bookmarkStart w:id="17" w:name="LawTable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צד_ג"/>
      <w:bookmarkStart w:id="21" w:name="PsakDin"/>
      <w:bookmarkStart w:id="22" w:name="סוג_מסמך"/>
      <w:bookmarkEnd w:id="20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Heading9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שפירא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ברוש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5" w:name="ABSTRACT_START"/>
      <w:bookmarkEnd w:id="25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22/01/06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  <w:bookmarkStart w:id="26" w:name="ABSTRACT_END"/>
      <w:bookmarkStart w:id="27" w:name="ABSTRACT_END"/>
      <w:bookmarkEnd w:id="27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, </w:t>
      </w:r>
      <w:r>
        <w:rPr>
          <w:rtl w:val="true"/>
        </w:rPr>
        <w:t>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: "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: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איסלאם</w:t>
      </w:r>
      <w:r>
        <w:rPr>
          <w:rtl w:val="true"/>
        </w:rPr>
        <w:t xml:space="preserve">") </w:t>
      </w:r>
      <w:r>
        <w:rPr>
          <w:rtl w:val="true"/>
        </w:rPr>
        <w:t>והמכונה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tl w:val="true"/>
        </w:rPr>
        <w:t xml:space="preserve">, </w:t>
      </w:r>
      <w:r>
        <w:rPr>
          <w:rtl w:val="true"/>
        </w:rPr>
        <w:t>כמקורם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cs="Times New Roman"/>
          <w:rtl w:val="true"/>
        </w:rPr>
        <w:t xml:space="preserve"> </w:t>
      </w:r>
      <w:r>
        <w:rPr/>
        <w:t>5/4/06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6/4/06</w:t>
      </w:r>
      <w:r>
        <w:rPr>
          <w:rtl w:val="true"/>
        </w:rPr>
        <w:t xml:space="preserve">).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נדרשנו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והבענו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לאיסלאם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08/05/06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סניגורים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איסלאם</w:t>
      </w:r>
      <w:r>
        <w:rPr>
          <w:rtl w:val="true"/>
        </w:rPr>
        <w:t xml:space="preserve">,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ולאחריו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ובתחפושת</w:t>
      </w:r>
      <w:r>
        <w:rPr>
          <w:rtl w:val="true"/>
        </w:rPr>
        <w:t xml:space="preserve">.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tl w:val="true"/>
        </w:rPr>
        <w:t xml:space="preserve">, </w:t>
      </w:r>
      <w:r>
        <w:rPr>
          <w:rtl w:val="true"/>
        </w:rPr>
        <w:t>מתחילתה</w:t>
      </w:r>
      <w:r>
        <w:rPr>
          <w:rtl w:val="true"/>
        </w:rPr>
        <w:t xml:space="preserve">,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שלטענתם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</w:t>
      </w:r>
      <w:r>
        <w:rPr>
          <w:rtl w:val="true"/>
        </w:rPr>
        <w:t xml:space="preserve">,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238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המקור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15/11/06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, </w:t>
      </w:r>
      <w:r>
        <w:rPr>
          <w:rtl w:val="true"/>
        </w:rPr>
        <w:t>ולהביאו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חסויה</w:t>
      </w:r>
      <w:r>
        <w:rPr>
          <w:rtl w:val="true"/>
        </w:rPr>
        <w:t xml:space="preserve">, </w:t>
      </w:r>
      <w:r>
        <w:rPr>
          <w:rtl w:val="true"/>
        </w:rPr>
        <w:t>ויעמוד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ייחקר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שבדיעבד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ניתנה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החלטתנו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המפורטת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והמנומקת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4/12/06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הורינו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היתר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חשיפתו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2/1/07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דחינו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הנחיות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בהחלטתנו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4/12/06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15/1/07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ואמנם</w:t>
      </w:r>
      <w:r>
        <w:rPr>
          <w:rtl w:val="true"/>
        </w:rPr>
        <w:t xml:space="preserve">, </w:t>
        <w:tab/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u w:val="single"/>
          <w:rtl w:val="true"/>
        </w:rPr>
        <w:t>כשנימוקו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סירובנו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חסוי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21/2/07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חסויה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22/2/07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.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מהחקירה</w:t>
      </w:r>
      <w:r>
        <w:rPr>
          <w:rtl w:val="true"/>
        </w:rPr>
        <w:t xml:space="preserve">, </w:t>
      </w:r>
      <w:r>
        <w:rPr>
          <w:rtl w:val="true"/>
        </w:rPr>
        <w:t>ודמויות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חסויות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4/12/06</w:t>
      </w:r>
      <w:r>
        <w:rPr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ועיינו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20/6/07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, </w:t>
      </w:r>
      <w:r>
        <w:rPr>
          <w:rtl w:val="true"/>
        </w:rPr>
        <w:t>הבענו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. </w:t>
      </w:r>
      <w:r>
        <w:rPr>
          <w:rtl w:val="true"/>
        </w:rPr>
        <w:t>שוכנענו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המתייחסת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חברויות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כשבבסיס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rtl w:val="true"/>
        </w:rPr>
        <w:t xml:space="preserve">".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מרכיביהם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מלחשוף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4/12/06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bookmarkEnd w:id="22"/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tl w:val="true"/>
        </w:rPr>
        <w:t xml:space="preserve">"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ולהיוועץ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27.6.07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בסוגיות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הרלבנטיים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התפתחויות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במלואן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משביקשנו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ומשסירבה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הסכמה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3/7/07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3/7/07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tl w:val="true"/>
        </w:rPr>
        <w:t xml:space="preserve">,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ובמשטרה</w:t>
      </w:r>
      <w:r>
        <w:rPr>
          <w:rtl w:val="true"/>
        </w:rPr>
        <w:t xml:space="preserve">, </w:t>
      </w:r>
      <w:r>
        <w:rPr>
          <w:rtl w:val="true"/>
        </w:rPr>
        <w:t>ומתבקשת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דנינו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שמשמעותה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4/12/06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4/12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20/6/07</w:t>
      </w:r>
      <w:r>
        <w:rPr>
          <w:rtl w:val="true"/>
        </w:rPr>
        <w:t xml:space="preserve"> "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tl w:val="true"/>
        </w:rPr>
        <w:t xml:space="preserve">...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tl w:val="true"/>
        </w:rPr>
        <w:t xml:space="preserve">".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</w:t>
      </w:r>
      <w:r>
        <w:rPr>
          <w:rtl w:val="true"/>
        </w:rPr>
        <w:t xml:space="preserve">", </w:t>
      </w:r>
      <w:r>
        <w:rPr>
          <w:rtl w:val="true"/>
        </w:rPr>
        <w:t>כשבסיומה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8/7/07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4/12/06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20/6/07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נחשוף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238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מעשית</w:t>
      </w:r>
      <w:r>
        <w:rPr>
          <w:rtl w:val="true"/>
        </w:rPr>
        <w:t>" "</w:t>
      </w:r>
      <w:r>
        <w:rPr>
          <w:b/>
          <w:b/>
          <w:bCs/>
          <w:rtl w:val="true"/>
        </w:rPr>
        <w:t>לצורכי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הלבנת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החקירה</w:t>
      </w:r>
      <w:r>
        <w:rPr>
          <w:rtl w:val="true"/>
        </w:rPr>
        <w:t xml:space="preserve">"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מושחרת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18/7/07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10/7/07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10/7/07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שבעקבותיהן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17/7/07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 xml:space="preserve">, </w:t>
      </w:r>
      <w:r>
        <w:rPr>
          <w:rtl w:val="true"/>
        </w:rPr>
        <w:t>כשלדבריה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ונימוקי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בגיבושו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".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18/7/07</w:t>
      </w:r>
      <w:r>
        <w:rPr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 xml:space="preserve">,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rtl w:val="true"/>
        </w:rPr>
        <w:t xml:space="preserve">: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: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והריגה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16/7/05</w:t>
      </w:r>
      <w:r>
        <w:rPr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והזמינם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ואיסלאם</w:t>
      </w:r>
      <w:r>
        <w:rPr>
          <w:rtl w:val="true"/>
        </w:rPr>
        <w:t xml:space="preserve">,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לרצונם</w:t>
      </w:r>
      <w:r>
        <w:rPr>
          <w:rtl w:val="true"/>
        </w:rPr>
        <w:t xml:space="preserve">,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כשיתר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24/12/2005</w:t>
      </w:r>
      <w:r>
        <w:rPr>
          <w:rtl w:val="true"/>
        </w:rPr>
        <w:t>);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tl w:val="true"/>
        </w:rPr>
        <w:t xml:space="preserve">,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,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אוזניהם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טושטשו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פענוחו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קונבנציונאליים</w:t>
      </w:r>
      <w:r>
        <w:rPr>
          <w:b/>
          <w:bCs/>
          <w:i/>
          <w:i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ואין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ספק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שהללו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הובילו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לקשיים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ראייתיים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ממשיים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בניהול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התיק</w:t>
      </w:r>
      <w:r>
        <w:rPr>
          <w:b/>
          <w:bCs/>
          <w:i/>
          <w:iCs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שינתה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תמונת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הראיות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בתיק</w:t>
      </w:r>
      <w:r>
        <w:rPr>
          <w:b/>
          <w:bCs/>
          <w:i/>
          <w:i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20/6/2007</w:t>
      </w:r>
      <w:r>
        <w:rPr>
          <w:rtl w:val="true"/>
        </w:rPr>
        <w:t xml:space="preserve">, </w:t>
      </w:r>
      <w:r>
        <w:rPr>
          <w:u w:val="single"/>
          <w:rtl w:val="true"/>
        </w:rPr>
        <w:t>הבינה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מעורבותו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עשויה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להשפיע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מהימנות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להיערך</w:t>
      </w:r>
      <w:r>
        <w:rPr>
          <w:rtl w:val="true"/>
        </w:rPr>
        <w:t xml:space="preserve">, </w:t>
      </w:r>
      <w:r>
        <w:rPr>
          <w:rtl w:val="true"/>
        </w:rPr>
        <w:t>ונקבעו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בהסדר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בתיק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בנסיבות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חריגות</w:t>
      </w:r>
      <w:r>
        <w:rPr>
          <w:b/>
          <w:bCs/>
          <w:i/>
          <w:i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4.12.06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20.6.07</w:t>
      </w:r>
      <w:r>
        <w:rPr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;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מקור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20.6.07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למפעיליו</w:t>
      </w:r>
      <w:r>
        <w:rPr>
          <w:rtl w:val="true"/>
        </w:rPr>
        <w:t xml:space="preserve">;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הצילה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המערכת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המשפטית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ממצב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מביך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מאוד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tl w:val="true"/>
        </w:rPr>
        <w:t xml:space="preserve">; </w:t>
      </w:r>
      <w:r>
        <w:rPr>
          <w:rtl w:val="true"/>
        </w:rPr>
        <w:t>מעדותיהם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; 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;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לעדים</w:t>
      </w:r>
      <w:r>
        <w:rPr>
          <w:rtl w:val="true"/>
        </w:rPr>
        <w:t xml:space="preserve">,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בַּשלה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אין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עדיין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שום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דבר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שקרוב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לתוכנית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להגנת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עדים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במדינת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ישראל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יפתח</w:t>
      </w:r>
      <w:r>
        <w:rPr>
          <w:rtl w:val="true"/>
        </w:rPr>
        <w:t xml:space="preserve">, </w:t>
      </w:r>
      <w:r>
        <w:rPr>
          <w:rtl w:val="true"/>
        </w:rPr>
        <w:t>סניגורם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ולראיה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;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 xml:space="preserve">;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tl w:val="true"/>
        </w:rPr>
        <w:t>-</w:t>
      </w:r>
      <w:r>
        <w:rPr>
          <w:rtl w:val="true"/>
        </w:rPr>
        <w:t>מקור</w:t>
      </w:r>
      <w:r>
        <w:rPr>
          <w:rtl w:val="true"/>
        </w:rPr>
        <w:t xml:space="preserve">,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החקירה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צריכה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להיות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הוגנת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גלויה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המסר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צריך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להיות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חד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משמעי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שהמשטרה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צריכה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לחקור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התמונה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ולא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רק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שנראה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מספיק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להרשעה</w:t>
      </w:r>
      <w:r>
        <w:rPr>
          <w:b/>
          <w:bCs/>
          <w:rtl w:val="true"/>
        </w:rPr>
        <w:t xml:space="preserve">".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און</w:t>
      </w:r>
      <w:r>
        <w:rPr>
          <w:rtl w:val="true"/>
        </w:rPr>
        <w:t xml:space="preserve">,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Heading6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דיון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והכרעה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20/6/07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i/>
          <w:i/>
          <w:iCs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ובפסקי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: 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מקום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שבו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מוצג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בפני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טיעון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צריך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להוות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שיקול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מרכזי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בשיקוליו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הגוזר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העונש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וככלל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לקיימו</w:t>
      </w:r>
      <w:r>
        <w:rPr>
          <w:b/>
          <w:bCs/>
          <w:i/>
          <w:i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בחריגה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גלומה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פגיעה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באינטרס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ההסתמכות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הנאשם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אשר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מחל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זכותו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לטעון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לחפותו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ולדרוש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מהתביעה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תוכיח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האישום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ברמה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הנדרשת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בפלילים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3/6/07</w:t>
      </w:r>
      <w:r>
        <w:rPr>
          <w:rtl w:val="true"/>
        </w:rPr>
        <w:t xml:space="preserve">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המקרים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בהם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יסטה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טיעון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פי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גישת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האיזון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שאומצה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בעניין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פלוני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הנ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ל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הם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איפוא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המקרים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החריגים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ובית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יעשה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מקום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ששוכנע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נפל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פגם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משמעותי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בשיקולי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התביעה</w:t>
      </w:r>
      <w:r>
        <w:rPr>
          <w:b/>
          <w:bCs/>
          <w:i/>
          <w:iCs/>
          <w:rtl w:val="true"/>
        </w:rPr>
        <w:t xml:space="preserve">" </w:t>
      </w:r>
      <w:r>
        <w:rPr>
          <w:b/>
          <w:bCs/>
          <w:rtl w:val="true"/>
        </w:rPr>
        <w:t>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9600/04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2863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4879/06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ותהינה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tl w:val="true"/>
        </w:rPr>
        <w:t xml:space="preserve">,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מהנדרש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>.</w:t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>!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קונבנציונאליים</w:t>
      </w:r>
      <w:r>
        <w:rPr>
          <w:rtl w:val="true"/>
        </w:rPr>
        <w:t xml:space="preserve">"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הקרחון</w:t>
      </w:r>
      <w:r>
        <w:rPr>
          <w:rtl w:val="true"/>
        </w:rPr>
        <w:t xml:space="preserve">" </w:t>
      </w:r>
      <w:r>
        <w:rPr>
          <w:rtl w:val="true"/>
        </w:rPr>
        <w:t>ושסופו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351/07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6/6/07</w:t>
      </w:r>
      <w:r>
        <w:rPr>
          <w:rtl w:val="true"/>
        </w:rPr>
        <w:t xml:space="preserve">,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):</w:t>
      </w:r>
    </w:p>
    <w:p>
      <w:pPr>
        <w:pStyle w:val="Normal"/>
        <w:ind w:start="720" w:end="0"/>
        <w:jc w:val="both"/>
        <w:rPr/>
      </w:pP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חרף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שאין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חולק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שביצע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תוצאותיה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הקשות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שמידת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הויתור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שויתר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נוכח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סיכויי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ההרשעה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אלמלא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ההסדר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הייתה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ניכרת</w:t>
      </w:r>
      <w:r>
        <w:rPr>
          <w:b/>
          <w:bCs/>
          <w:i/>
          <w:iCs/>
          <w:sz w:val="24"/>
          <w:rtl w:val="true"/>
        </w:rPr>
        <w:t xml:space="preserve">. </w:t>
      </w:r>
      <w:r>
        <w:rPr>
          <w:b/>
          <w:b/>
          <w:bCs/>
          <w:i/>
          <w:i/>
          <w:iCs/>
          <w:sz w:val="24"/>
          <w:sz w:val="24"/>
          <w:rtl w:val="true"/>
        </w:rPr>
        <w:t>בנוסף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דומה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במצב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עצם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הגשתו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כתב</w:t>
      </w:r>
      <w:r>
        <w:rPr>
          <w:b/>
          <w:bCs/>
          <w:i/>
          <w:i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האישום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תלויה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בקיומו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הסדר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הטיעון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משקלו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אינטרס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ההסתמכות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רב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מהרגיל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לעניין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אינטרס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ההסתמכות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ראו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למשל</w:t>
      </w:r>
      <w:r>
        <w:rPr>
          <w:b/>
          <w:bCs/>
          <w:i/>
          <w:iCs/>
          <w:sz w:val="24"/>
          <w:rtl w:val="true"/>
        </w:rPr>
        <w:t xml:space="preserve">, </w:t>
      </w:r>
      <w:hyperlink r:id="rId33"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i/>
            <w:iCs/>
            <w:sz w:val="24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4"/>
          </w:rPr>
          <w:t>1289/93</w:t>
        </w:r>
        <w:r>
          <w:rPr>
            <w:rStyle w:val="Hyperlink"/>
            <w:b/>
            <w:bCs/>
            <w:i/>
            <w:iCs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לוי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נ</w:t>
        </w:r>
        <w:r>
          <w:rPr>
            <w:rStyle w:val="Hyperlink"/>
            <w:b/>
            <w:bCs/>
            <w:i/>
            <w:iCs/>
            <w:sz w:val="24"/>
            <w:rtl w:val="true"/>
          </w:rPr>
          <w:t xml:space="preserve">'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ישראל</w:t>
        </w:r>
        <w:r>
          <w:rPr>
            <w:rStyle w:val="Hyperlink"/>
            <w:b/>
            <w:bCs/>
            <w:i/>
            <w:iCs/>
            <w:sz w:val="24"/>
            <w:rtl w:val="true"/>
          </w:rPr>
          <w:t xml:space="preserve">,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פ</w:t>
        </w:r>
        <w:r>
          <w:rPr>
            <w:rStyle w:val="Hyperlink"/>
            <w:b/>
            <w:bCs/>
            <w:i/>
            <w:iCs/>
            <w:sz w:val="24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i/>
            <w:i/>
            <w:iCs/>
            <w:sz w:val="24"/>
            <w:sz w:val="24"/>
            <w:rtl w:val="true"/>
          </w:rPr>
          <w:t>מח</w:t>
        </w:r>
      </w:hyperlink>
      <w:r>
        <w:rPr>
          <w:b/>
          <w:bCs/>
          <w:i/>
          <w:iCs/>
          <w:sz w:val="24"/>
          <w:rtl w:val="true"/>
        </w:rPr>
        <w:t>(</w:t>
      </w:r>
      <w:r>
        <w:rPr>
          <w:b/>
          <w:bCs/>
          <w:i/>
          <w:iCs/>
          <w:sz w:val="24"/>
        </w:rPr>
        <w:t>5</w:t>
      </w:r>
      <w:r>
        <w:rPr>
          <w:b/>
          <w:bCs/>
          <w:i/>
          <w:iCs/>
          <w:sz w:val="24"/>
          <w:rtl w:val="true"/>
        </w:rPr>
        <w:t xml:space="preserve">) </w:t>
      </w:r>
      <w:r>
        <w:rPr>
          <w:b/>
          <w:bCs/>
          <w:i/>
          <w:iCs/>
          <w:sz w:val="24"/>
        </w:rPr>
        <w:t>158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Cs/>
          <w:i/>
          <w:iCs/>
          <w:sz w:val="24"/>
        </w:rPr>
        <w:t>174</w:t>
      </w:r>
      <w:r>
        <w:rPr>
          <w:b/>
          <w:bCs/>
          <w:i/>
          <w:iCs/>
          <w:sz w:val="24"/>
          <w:rtl w:val="true"/>
        </w:rPr>
        <w:t xml:space="preserve">; </w:t>
      </w:r>
      <w:r>
        <w:rPr>
          <w:b/>
          <w:b/>
          <w:bCs/>
          <w:i/>
          <w:i/>
          <w:iCs/>
          <w:sz w:val="24"/>
          <w:sz w:val="24"/>
          <w:rtl w:val="true"/>
        </w:rPr>
        <w:t>פרשת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פרץ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הנ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ל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בעמ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Cs/>
          <w:i/>
          <w:iCs/>
          <w:sz w:val="24"/>
        </w:rPr>
        <w:t>301</w:t>
      </w:r>
      <w:r>
        <w:rPr>
          <w:b/>
          <w:bCs/>
          <w:i/>
          <w:iCs/>
          <w:sz w:val="24"/>
          <w:rtl w:val="true"/>
        </w:rPr>
        <w:t xml:space="preserve">; </w:t>
      </w:r>
      <w:r>
        <w:rPr>
          <w:b/>
          <w:b/>
          <w:bCs/>
          <w:i/>
          <w:i/>
          <w:iCs/>
          <w:sz w:val="24"/>
          <w:sz w:val="24"/>
          <w:rtl w:val="true"/>
        </w:rPr>
        <w:t>פרשת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אידלברג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הנ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ל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פסקה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8</w:t>
      </w:r>
      <w:r>
        <w:rPr>
          <w:b/>
          <w:bCs/>
          <w:i/>
          <w:iCs/>
          <w:sz w:val="24"/>
          <w:rtl w:val="true"/>
        </w:rPr>
        <w:t xml:space="preserve">). </w:t>
      </w:r>
      <w:r>
        <w:rPr>
          <w:b/>
          <w:b/>
          <w:bCs/>
          <w:i/>
          <w:i/>
          <w:iCs/>
          <w:sz w:val="24"/>
          <w:sz w:val="24"/>
          <w:rtl w:val="true"/>
        </w:rPr>
        <w:t>בנוסף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הודאתו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שיוחסו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ייתרה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בהתמודדות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הקשיים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שהיו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צפויים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להתעורר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ניהול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ושעצמתם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עלולה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לסכל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האפשרות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להגיע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להרשעה</w:t>
      </w:r>
      <w:r>
        <w:rPr>
          <w:b/>
          <w:bCs/>
          <w:i/>
          <w:iCs/>
          <w:sz w:val="24"/>
          <w:rtl w:val="true"/>
        </w:rPr>
        <w:t>".</w:t>
      </w:r>
    </w:p>
    <w:p>
      <w:pPr>
        <w:pStyle w:val="Normal"/>
        <w:ind w:end="0"/>
        <w:jc w:val="both"/>
        <w:rPr>
          <w:b/>
          <w:bCs/>
          <w:i/>
          <w:i/>
          <w:iCs/>
          <w:sz w:val="24"/>
        </w:rPr>
      </w:pPr>
      <w:r>
        <w:rPr>
          <w:b/>
          <w:bCs/>
          <w:i/>
          <w:iCs/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)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8020/04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19/1/06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);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5382/05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אלסנע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1180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10365/05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אבומדיעם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22/6/06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2199/00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באסם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28/11/00</w:t>
      </w:r>
      <w:r>
        <w:rPr>
          <w:rtl w:val="true"/>
        </w:rPr>
        <w:t xml:space="preserve"> (</w:t>
      </w:r>
      <w:r>
        <w:rPr>
          <w:rtl w:val="true"/>
        </w:rPr>
        <w:t>המאגר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7741/04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מדובר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בתיק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בנסיבות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חריגות</w:t>
      </w:r>
      <w:r>
        <w:rPr>
          <w:b/>
          <w:bCs/>
          <w:i/>
          <w:iCs/>
          <w:rtl w:val="true"/>
        </w:rPr>
        <w:t xml:space="preserve">. </w:t>
      </w:r>
      <w:r>
        <w:rPr>
          <w:b/>
          <w:b/>
          <w:bCs/>
          <w:i/>
          <w:i/>
          <w:iCs/>
          <w:rtl w:val="true"/>
        </w:rPr>
        <w:t>אין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בהסדר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להוות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תקדים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לתיקים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אחרים</w:t>
      </w:r>
      <w:r>
        <w:rPr>
          <w:b/>
          <w:bCs/>
          <w:i/>
          <w:iCs/>
          <w:rtl w:val="true"/>
        </w:rPr>
        <w:t xml:space="preserve">... </w:t>
      </w:r>
      <w:r>
        <w:rPr>
          <w:b/>
          <w:b/>
          <w:bCs/>
          <w:i/>
          <w:i/>
          <w:iCs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הסדר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שנולד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לצורך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התיק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הזה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לאור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נסיבותיו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המיוחדות</w:t>
      </w:r>
      <w:r>
        <w:rPr>
          <w:b/>
          <w:bCs/>
          <w:i/>
          <w:iCs/>
          <w:rtl w:val="true"/>
        </w:rPr>
        <w:t xml:space="preserve">... </w:t>
      </w:r>
      <w:r>
        <w:rPr>
          <w:b/>
          <w:b/>
          <w:bCs/>
          <w:i/>
          <w:i/>
          <w:iCs/>
          <w:rtl w:val="true"/>
        </w:rPr>
        <w:t>כל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הטיעונים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הללו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נובעים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מהנסיבות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המיוחדות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שבתיק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הזה</w:t>
      </w:r>
      <w:r>
        <w:rPr>
          <w:b/>
          <w:bCs/>
          <w:i/>
          <w:iCs/>
          <w:rtl w:val="true"/>
        </w:rPr>
        <w:t>"</w:t>
      </w:r>
      <w:r>
        <w:rPr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tl w:val="true"/>
        </w:rPr>
        <w:t xml:space="preserve">,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בראל</w:t>
      </w:r>
      <w:r>
        <w:rPr>
          <w:rtl w:val="true"/>
        </w:rPr>
        <w:t xml:space="preserve">, </w:t>
      </w:r>
      <w:r>
        <w:rPr>
          <w:rtl w:val="true"/>
        </w:rPr>
        <w:t>שכותרתה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4/12/06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לתובעות</w:t>
      </w:r>
      <w:r>
        <w:rPr>
          <w:rtl w:val="true"/>
        </w:rPr>
        <w:t xml:space="preserve">, </w:t>
      </w:r>
      <w:r>
        <w:rPr>
          <w:rtl w:val="true"/>
        </w:rPr>
        <w:t>כשלבקשה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נבדקו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מדויקים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התבססו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4/12/06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Cs/>
          <w:i/>
          <w:iCs/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מחמיאות</w:t>
      </w:r>
      <w:r>
        <w:rPr>
          <w:b/>
          <w:bCs/>
          <w:i/>
          <w:i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התובעות</w:t>
      </w:r>
      <w:r>
        <w:rPr>
          <w:rtl w:val="true"/>
        </w:rPr>
        <w:t xml:space="preserve">,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4/12/2006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7-14</w:t>
      </w:r>
      <w:r>
        <w:rPr>
          <w:rtl w:val="true"/>
        </w:rPr>
        <w:t xml:space="preserve">).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i/>
          <w:i/>
          <w:iCs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קולגיאליים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מחיקת</w:t>
      </w:r>
      <w:r>
        <w:rPr>
          <w:rtl w:val="true"/>
        </w:rPr>
        <w:t xml:space="preserve">"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כשדברי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>__________________    _______________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תחיה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שפירא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השתלשלותם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tl w:val="true"/>
        </w:rPr>
        <w:t xml:space="preserve">, </w:t>
      </w:r>
      <w:r>
        <w:rPr>
          <w:rtl w:val="true"/>
        </w:rPr>
        <w:t>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דרשני</w:t>
      </w:r>
      <w:r>
        <w:rPr>
          <w:rtl w:val="true"/>
        </w:rPr>
        <w:t xml:space="preserve">.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).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וכנהוג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.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. </w:t>
      </w:r>
      <w:r>
        <w:rPr>
          <w:rtl w:val="true"/>
        </w:rPr>
        <w:t>מדוע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וההחלטה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ולאשרן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שוכנעתי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שבעטיים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6.6.2007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ובמהימנותם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ההיגיון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וההגינות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האנושית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בפשיעה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והערכתן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להבאתן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tl w:val="true"/>
        </w:rPr>
        <w:t xml:space="preserve">,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מהגילויים</w:t>
      </w:r>
      <w:r>
        <w:rPr>
          <w:rtl w:val="true"/>
        </w:rPr>
        <w:t xml:space="preserve">,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ההפתעות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textAlignment w:val="top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לזיכויים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  <w:r>
        <w:rPr>
          <w:rtl w:val="true"/>
        </w:rPr>
        <w:t>משנכרת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4879/06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2647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240"/>
        <w:ind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הראייתית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בשכרנו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השיפוטי</w:t>
      </w:r>
      <w:r>
        <w:rPr>
          <w:rtl w:val="true"/>
        </w:rPr>
        <w:t xml:space="preserve">"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hanging="720"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24/12/2005</w:t>
      </w:r>
      <w:r>
        <w:rPr>
          <w:rtl w:val="true"/>
        </w:rPr>
        <w:t>);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31/12/2005</w:t>
      </w:r>
      <w:r>
        <w:rPr>
          <w:rtl w:val="true"/>
        </w:rPr>
        <w:t>);</w:t>
      </w:r>
    </w:p>
    <w:p>
      <w:pPr>
        <w:pStyle w:val="BodyTextIndent2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24/12/05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18/7/07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הללו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ירוצו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בחופף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מרצים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עתה</w:t>
      </w:r>
      <w:r>
        <w:rPr>
          <w:sz w:val="20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bookmarkStart w:id="28" w:name="Decision1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ענבר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טימן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54678313-1010/06</w:t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426"/>
        <w:gridCol w:w="2833"/>
        <w:gridCol w:w="283"/>
        <w:gridCol w:w="2607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ברוש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8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0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6"/>
          <w:szCs w:val="16"/>
        </w:rPr>
      </w:pPr>
      <w:r>
        <w:rPr>
          <w:sz w:val="16"/>
          <w:sz w:val="16"/>
          <w:szCs w:val="16"/>
          <w:rtl w:val="true"/>
        </w:rPr>
        <w:t>קלדנית</w:t>
      </w:r>
      <w:r>
        <w:rPr>
          <w:sz w:val="16"/>
          <w:szCs w:val="16"/>
          <w:rtl w:val="true"/>
        </w:rPr>
        <w:t xml:space="preserve">: </w:t>
      </w:r>
      <w:r>
        <w:rPr>
          <w:sz w:val="16"/>
          <w:sz w:val="16"/>
          <w:szCs w:val="16"/>
          <w:rtl w:val="true"/>
        </w:rPr>
        <w:t>עידית</w:t>
      </w:r>
      <w:bookmarkEnd w:id="28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/Users/liorb/Downloads/study2025-p2/m06001010-296.doc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1010/06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עיזאת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5" TargetMode="External"/><Relationship Id="rId8" Type="http://schemas.openxmlformats.org/officeDocument/2006/relationships/hyperlink" Target="http://www.nevo.co.il/law/70301/369" TargetMode="External"/><Relationship Id="rId9" Type="http://schemas.openxmlformats.org/officeDocument/2006/relationships/hyperlink" Target="http://www.nevo.co.il/law/70301/372" TargetMode="External"/><Relationship Id="rId10" Type="http://schemas.openxmlformats.org/officeDocument/2006/relationships/hyperlink" Target="http://www.nevo.co.il/law/70301/499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46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72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/305" TargetMode="External"/><Relationship Id="rId18" Type="http://schemas.openxmlformats.org/officeDocument/2006/relationships/hyperlink" Target="http://www.nevo.co.il/law/98569/46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70301/36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69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298" TargetMode="External"/><Relationship Id="rId25" Type="http://schemas.openxmlformats.org/officeDocument/2006/relationships/hyperlink" Target="http://www.nevo.co.il/law/70301/369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61892" TargetMode="External"/><Relationship Id="rId29" Type="http://schemas.openxmlformats.org/officeDocument/2006/relationships/hyperlink" Target="http://www.nevo.co.il/case/6223476" TargetMode="External"/><Relationship Id="rId30" Type="http://schemas.openxmlformats.org/officeDocument/2006/relationships/hyperlink" Target="http://www.nevo.co.il/case/6156379" TargetMode="External"/><Relationship Id="rId31" Type="http://schemas.openxmlformats.org/officeDocument/2006/relationships/hyperlink" Target="http://www.nevo.co.il/case/6223476" TargetMode="External"/><Relationship Id="rId32" Type="http://schemas.openxmlformats.org/officeDocument/2006/relationships/hyperlink" Target="http://www.nevo.co.il/case/6189976" TargetMode="External"/><Relationship Id="rId33" Type="http://schemas.openxmlformats.org/officeDocument/2006/relationships/hyperlink" Target="http://www.nevo.co.il/case/17911346" TargetMode="External"/><Relationship Id="rId34" Type="http://schemas.openxmlformats.org/officeDocument/2006/relationships/hyperlink" Target="http://www.nevo.co.il/case/5982256" TargetMode="External"/><Relationship Id="rId35" Type="http://schemas.openxmlformats.org/officeDocument/2006/relationships/hyperlink" Target="http://www.nevo.co.il/case/6009020" TargetMode="External"/><Relationship Id="rId36" Type="http://schemas.openxmlformats.org/officeDocument/2006/relationships/hyperlink" Target="http://www.nevo.co.il/case/6166402" TargetMode="External"/><Relationship Id="rId37" Type="http://schemas.openxmlformats.org/officeDocument/2006/relationships/hyperlink" Target="http://www.nevo.co.il/case/5818256" TargetMode="External"/><Relationship Id="rId38" Type="http://schemas.openxmlformats.org/officeDocument/2006/relationships/hyperlink" Target="http://www.nevo.co.il/case/6111755" TargetMode="External"/><Relationship Id="rId39" Type="http://schemas.openxmlformats.org/officeDocument/2006/relationships/hyperlink" Target="http://www.nevo.co.il/case/6189976" TargetMode="External"/><Relationship Id="rId40" Type="http://schemas.openxmlformats.org/officeDocument/2006/relationships/hyperlink" Target="http://www.nevo.co.il/case/6223476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2016-09-21T14:11:00Z</dcterms:created>
  <dc:creator>Shahar Goldstein</dc:creator>
  <dc:description/>
  <cp:keywords/>
  <dc:language>en-IL</dc:language>
  <cp:lastModifiedBy>orit</cp:lastModifiedBy>
  <cp:lastPrinted>2007-07-22T13:58:00Z</cp:lastPrinted>
  <dcterms:modified xsi:type="dcterms:W3CDTF">2016-09-21T14:11:00Z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חמאד עיזאת;קזאז עבד;שורפי פייסל;שורפי ויסאם;אבו ריאש חסן</vt:lpwstr>
  </property>
  <property fmtid="{D5CDD505-2E9C-101B-9397-08002B2CF9AE}" pid="4" name="CASESLISTTMP1">
    <vt:lpwstr>161892;6223476:3;6156379;6189976:2;17911346;5982256;6009020;6166402;5818256;6111755</vt:lpwstr>
  </property>
  <property fmtid="{D5CDD505-2E9C-101B-9397-08002B2CF9AE}" pid="5" name="CITY">
    <vt:lpwstr>ת"א</vt:lpwstr>
  </property>
  <property fmtid="{D5CDD505-2E9C-101B-9397-08002B2CF9AE}" pid="6" name="DATE">
    <vt:lpwstr>20070722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ש' טימן;ת' שפירא;ש' ברוש</vt:lpwstr>
  </property>
  <property fmtid="{D5CDD505-2E9C-101B-9397-08002B2CF9AE}" pid="10" name="LAWLISTTMP1">
    <vt:lpwstr>70301/499;372;300.a;305;369:3;144.a;298;031</vt:lpwstr>
  </property>
  <property fmtid="{D5CDD505-2E9C-101B-9397-08002B2CF9AE}" pid="11" name="LAWLISTTMP2">
    <vt:lpwstr>98569/046</vt:lpwstr>
  </property>
  <property fmtid="{D5CDD505-2E9C-101B-9397-08002B2CF9AE}" pid="12" name="LAWYER">
    <vt:lpwstr>ליבה;בראל;יפתח, שרמן ואון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1010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16</vt:lpwstr>
  </property>
</Properties>
</file>