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678"/>
        <w:gridCol w:w="850"/>
        <w:gridCol w:w="2269"/>
      </w:tblGrid>
      <w:tr>
        <w:trPr>
          <w:trHeight w:val="195" w:hRule="atLeast"/>
        </w:trPr>
        <w:tc>
          <w:tcPr>
            <w:tcW w:w="538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אביב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יפו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001041/07</w:t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הרכב</w:t>
            </w:r>
            <w:r>
              <w:rPr>
                <w:b/>
                <w:bCs/>
                <w:rtl w:val="true"/>
              </w:rPr>
              <w:t xml:space="preserve">: </w:t>
            </w:r>
            <w:r>
              <w:rPr>
                <w:b/>
                <w:b/>
                <w:bCs/>
                <w:rtl w:val="true"/>
              </w:rPr>
              <w:t>אחיטוב</w:t>
            </w:r>
            <w:r>
              <w:rPr>
                <w:b/>
                <w:bCs/>
                <w:rtl w:val="true"/>
              </w:rPr>
              <w:t>,</w:t>
            </w:r>
            <w:r>
              <w:rPr>
                <w:b/>
                <w:b/>
                <w:bCs/>
                <w:rtl w:val="true"/>
              </w:rPr>
              <w:t>דיסקין</w:t>
            </w:r>
            <w:r>
              <w:rPr>
                <w:b/>
                <w:bCs/>
                <w:rtl w:val="true"/>
              </w:rPr>
              <w:t>,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23/09/2008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992"/>
        <w:gridCol w:w="56"/>
        <w:gridCol w:w="3858"/>
        <w:gridCol w:w="1048"/>
        <w:gridCol w:w="1276"/>
      </w:tblGrid>
      <w:tr>
        <w:trPr/>
        <w:tc>
          <w:tcPr>
            <w:tcW w:w="2324" w:type="dxa"/>
            <w:gridSpan w:val="3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bookmarkStart w:id="0" w:name="FirstAppellant"/>
            <w:bookmarkEnd w:id="0"/>
            <w:r>
              <w:rPr>
                <w:rtl w:val="true"/>
              </w:rPr>
              <w:t>המאשימה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bookmarkStart w:id="1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1"/>
          </w:p>
        </w:tc>
        <w:tc>
          <w:tcPr>
            <w:tcW w:w="1276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rtl w:val="true"/>
              </w:rPr>
            </w:r>
            <w:bookmarkStart w:id="2" w:name="כינוי_א"/>
            <w:bookmarkStart w:id="3" w:name="כינוי_א"/>
            <w:bookmarkEnd w:id="3"/>
          </w:p>
        </w:tc>
        <w:tc>
          <w:tcPr>
            <w:tcW w:w="99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3914" w:type="dxa"/>
            <w:gridSpan w:val="2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324" w:type="dxa"/>
            <w:gridSpan w:val="2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Style10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gridSpan w:val="2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906" w:type="dxa"/>
            <w:gridSpan w:val="3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bookmarkStart w:id="4" w:name="שם_ב"/>
            <w:r>
              <w:rPr>
                <w:rtl w:val="true"/>
              </w:rPr>
              <w:t>עבסיון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איברהים</w:t>
            </w:r>
            <w:bookmarkEnd w:id="4"/>
          </w:p>
        </w:tc>
        <w:tc>
          <w:tcPr>
            <w:tcW w:w="2324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כינוי_ב"/>
            <w:bookmarkStart w:id="6" w:name="כינוי_ב"/>
            <w:bookmarkEnd w:id="6"/>
          </w:p>
        </w:tc>
        <w:tc>
          <w:tcPr>
            <w:tcW w:w="99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3914" w:type="dxa"/>
            <w:gridSpan w:val="2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324" w:type="dxa"/>
            <w:gridSpan w:val="2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bookmarkStart w:id="7" w:name="FirstLawyer"/>
            <w:bookmarkEnd w:id="7"/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gridSpan w:val="5"/>
            <w:tcBorders/>
          </w:tcPr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</w:p>
          <w:p>
            <w:pPr>
              <w:pStyle w:val="Style1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פרוטוקול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מקריא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עיקרי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התובעת</w:t>
      </w:r>
      <w:r>
        <w:rPr>
          <w:rtl w:val="true"/>
        </w:rPr>
        <w:t xml:space="preserve">: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הסנגור</w:t>
      </w:r>
      <w:r>
        <w:rPr>
          <w:rtl w:val="true"/>
        </w:rPr>
        <w:t xml:space="preserve">: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23-09-2008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1041/07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איברהים עבסיון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נ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אחיטוב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דיסקין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בן יוסף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איילה אורן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צבי אבנון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13-04-2011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9331/08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איברהים עבסיון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דנה כהן לקח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8" w:name="Links_Start"/>
      <w:bookmarkStart w:id="9" w:name="Links_Start"/>
      <w:bookmarkEnd w:id="9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23-09-2008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sz w:val="24"/>
          </w:rPr>
          <w:t>1041/07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איברהים עבסיון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נ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אחיטוב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דיסקין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ר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בן יוסף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איילה אורן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צבי אבנון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13-04-2011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9331/08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איברהים עבסיון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דנה כהן לקח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25-05-2011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9331/08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איברהים עבסיון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דנה כהן לקח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rtl w:val="true"/>
        </w:rPr>
        <w:t>מויס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הודעה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מיום </w:t>
      </w:r>
      <w:r>
        <w:rPr>
          <w:rFonts w:cs="FrankRuehl" w:ascii="FrankRuehl" w:hAnsi="FrankRuehl"/>
          <w:sz w:val="24"/>
        </w:rPr>
        <w:t>2</w:t>
      </w:r>
      <w:r>
        <w:rPr>
          <w:rFonts w:cs="FrankRuehl" w:ascii="FrankRuehl" w:hAnsi="FrankRuehl"/>
          <w:sz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inks_End"/>
      <w:bookmarkStart w:id="11" w:name="Links_End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Links_Start"/>
      <w:bookmarkStart w:id="13" w:name="Links_Start"/>
      <w:bookmarkEnd w:id="13"/>
    </w:p>
    <w:p>
      <w:pPr>
        <w:pStyle w:val="Heading"/>
        <w:ind w:end="0"/>
        <w:jc w:val="center"/>
        <w:rPr>
          <w:b/>
          <w:bCs/>
          <w:shadow w:val="false"/>
          <w:sz w:val="36"/>
          <w:szCs w:val="36"/>
          <w:u w:val="single"/>
        </w:rPr>
      </w:pPr>
      <w:bookmarkStart w:id="14" w:name="PsakDin"/>
      <w:bookmarkStart w:id="15" w:name="Decision1"/>
      <w:bookmarkEnd w:id="14"/>
      <w:r>
        <w:rPr>
          <w:rFonts w:cs="David"/>
          <w:b/>
          <w:b/>
          <w:bCs/>
          <w:shadow w:val="false"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hadow w:val="false"/>
          <w:sz w:val="36"/>
          <w:sz w:val="36"/>
          <w:szCs w:val="36"/>
          <w:u w:val="single"/>
          <w:rtl w:val="true"/>
        </w:rPr>
        <w:t xml:space="preserve"> </w:t>
      </w:r>
      <w:r>
        <w:rPr>
          <w:rFonts w:cs="David"/>
          <w:b/>
          <w:b/>
          <w:bCs/>
          <w:shadow w:val="false"/>
          <w:sz w:val="36"/>
          <w:sz w:val="36"/>
          <w:szCs w:val="36"/>
          <w:u w:val="single"/>
          <w:rtl w:val="true"/>
        </w:rPr>
        <w:t>דין</w:t>
      </w:r>
      <w:bookmarkEnd w:id="15"/>
    </w:p>
    <w:p>
      <w:pPr>
        <w:pStyle w:val="Normal"/>
        <w:suppressLineNumbers/>
        <w:ind w:end="0"/>
        <w:jc w:val="both"/>
        <w:rPr>
          <w:rFonts w:cs="David"/>
          <w:b/>
          <w:bCs/>
          <w:shadow/>
          <w:sz w:val="36"/>
          <w:szCs w:val="36"/>
          <w:u w:val="single"/>
        </w:rPr>
      </w:pPr>
      <w:r>
        <w:rPr>
          <w:rFonts w:cs="David"/>
          <w:b/>
          <w:bCs/>
          <w:shadow/>
          <w:sz w:val="36"/>
          <w:szCs w:val="36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suppressLineNumbers/>
        <w:ind w:end="0"/>
        <w:jc w:val="both"/>
        <w:rPr/>
      </w:pPr>
      <w:bookmarkStart w:id="18" w:name="ABSTRACT_START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.</w:t>
      </w:r>
      <w:bookmarkStart w:id="19" w:name="ABSTRACT_END"/>
      <w:bookmarkEnd w:id="19"/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__________________        ____________________              ________________</w:t>
      </w:r>
    </w:p>
    <w:p>
      <w:pPr>
        <w:pStyle w:val="Normal"/>
        <w:spacing w:lineRule="auto" w:line="240"/>
        <w:ind w:hanging="660" w:start="720" w:end="0"/>
        <w:jc w:val="both"/>
        <w:rPr/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אחיטוב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               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דיסקין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</w:t>
      </w:r>
      <w:r>
        <w:rPr>
          <w:b/>
          <w:bCs/>
          <w:rtl w:val="true"/>
        </w:rPr>
        <w:tab/>
        <w:t xml:space="preserve">                  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b/>
          <w:bCs/>
          <w:sz w:val="18"/>
          <w:szCs w:val="20"/>
          <w:vertAlign w:val="superscript"/>
          <w:rtl w:val="true"/>
        </w:rPr>
        <w:t>-</w:t>
      </w:r>
      <w:r>
        <w:rPr>
          <w:b/>
          <w:b/>
          <w:bCs/>
          <w:rtl w:val="true"/>
        </w:rPr>
        <w:t>יוסף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Heading4"/>
        <w:ind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/>
          <w:bCs/>
          <w:rtl w:val="true"/>
        </w:rPr>
        <w:t>הסנגור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b/>
          <w:b/>
          <w:bCs/>
          <w:rtl w:val="true"/>
        </w:rPr>
        <w:t>התובעת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Heading"/>
        <w:ind w:end="0"/>
        <w:jc w:val="center"/>
        <w:rPr>
          <w:b/>
          <w:bCs/>
          <w:shadow w:val="false"/>
          <w:sz w:val="36"/>
          <w:szCs w:val="36"/>
          <w:u w:val="single"/>
        </w:rPr>
      </w:pPr>
      <w:bookmarkStart w:id="20" w:name="Decision2"/>
      <w:r>
        <w:rPr>
          <w:rFonts w:cs="David"/>
          <w:b/>
          <w:b/>
          <w:bCs/>
          <w:shadow w:val="false"/>
          <w:sz w:val="36"/>
          <w:sz w:val="36"/>
          <w:szCs w:val="36"/>
          <w:u w:val="single"/>
          <w:rtl w:val="true"/>
        </w:rPr>
        <w:t>ה</w:t>
      </w:r>
      <w:r>
        <w:rPr>
          <w:rFonts w:cs="Times New Roman"/>
          <w:b/>
          <w:b/>
          <w:bCs/>
          <w:shadow w:val="false"/>
          <w:sz w:val="36"/>
          <w:sz w:val="36"/>
          <w:szCs w:val="36"/>
          <w:u w:val="single"/>
          <w:rtl w:val="true"/>
        </w:rPr>
        <w:t xml:space="preserve"> </w:t>
      </w:r>
      <w:r>
        <w:rPr>
          <w:rFonts w:cs="David"/>
          <w:b/>
          <w:b/>
          <w:bCs/>
          <w:shadow w:val="false"/>
          <w:sz w:val="36"/>
          <w:sz w:val="36"/>
          <w:szCs w:val="36"/>
          <w:u w:val="single"/>
          <w:rtl w:val="true"/>
        </w:rPr>
        <w:t>ח</w:t>
      </w:r>
      <w:r>
        <w:rPr>
          <w:rFonts w:cs="Times New Roman"/>
          <w:b/>
          <w:b/>
          <w:bCs/>
          <w:shadow w:val="false"/>
          <w:sz w:val="36"/>
          <w:sz w:val="36"/>
          <w:szCs w:val="36"/>
          <w:u w:val="single"/>
          <w:rtl w:val="true"/>
        </w:rPr>
        <w:t xml:space="preserve"> </w:t>
      </w:r>
      <w:r>
        <w:rPr>
          <w:rFonts w:cs="David"/>
          <w:b/>
          <w:b/>
          <w:bCs/>
          <w:shadow w:val="false"/>
          <w:sz w:val="36"/>
          <w:sz w:val="36"/>
          <w:szCs w:val="36"/>
          <w:u w:val="single"/>
          <w:rtl w:val="true"/>
        </w:rPr>
        <w:t>ל</w:t>
      </w:r>
      <w:r>
        <w:rPr>
          <w:rFonts w:cs="Times New Roman"/>
          <w:b/>
          <w:b/>
          <w:bCs/>
          <w:shadow w:val="false"/>
          <w:sz w:val="36"/>
          <w:sz w:val="36"/>
          <w:szCs w:val="36"/>
          <w:u w:val="single"/>
          <w:rtl w:val="true"/>
        </w:rPr>
        <w:t xml:space="preserve"> </w:t>
      </w:r>
      <w:r>
        <w:rPr>
          <w:rFonts w:cs="David"/>
          <w:b/>
          <w:b/>
          <w:bCs/>
          <w:shadow w:val="false"/>
          <w:sz w:val="36"/>
          <w:sz w:val="36"/>
          <w:szCs w:val="36"/>
          <w:u w:val="single"/>
          <w:rtl w:val="true"/>
        </w:rPr>
        <w:t>ט</w:t>
      </w:r>
      <w:r>
        <w:rPr>
          <w:rFonts w:cs="Times New Roman"/>
          <w:b/>
          <w:b/>
          <w:bCs/>
          <w:shadow w:val="false"/>
          <w:sz w:val="36"/>
          <w:sz w:val="36"/>
          <w:szCs w:val="36"/>
          <w:u w:val="single"/>
          <w:rtl w:val="true"/>
        </w:rPr>
        <w:t xml:space="preserve"> </w:t>
      </w:r>
      <w:r>
        <w:rPr>
          <w:rFonts w:cs="David"/>
          <w:b/>
          <w:b/>
          <w:bCs/>
          <w:shadow w:val="false"/>
          <w:sz w:val="36"/>
          <w:sz w:val="36"/>
          <w:szCs w:val="36"/>
          <w:u w:val="single"/>
          <w:rtl w:val="true"/>
        </w:rPr>
        <w:t>ה</w:t>
      </w:r>
      <w:bookmarkEnd w:id="20"/>
    </w:p>
    <w:p>
      <w:pPr>
        <w:pStyle w:val="Normal"/>
        <w:suppressLineNumbers/>
        <w:ind w:end="0"/>
        <w:jc w:val="both"/>
        <w:rPr>
          <w:rFonts w:cs="David"/>
          <w:b/>
          <w:bCs/>
          <w:shadow/>
          <w:sz w:val="36"/>
          <w:szCs w:val="36"/>
          <w:u w:val="single"/>
        </w:rPr>
      </w:pPr>
      <w:r>
        <w:rPr>
          <w:rFonts w:cs="David"/>
          <w:b/>
          <w:bCs/>
          <w:shadow/>
          <w:sz w:val="36"/>
          <w:szCs w:val="36"/>
          <w:u w:val="single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זימונו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25.9.2008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__________________        ____________________              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אחיטוב </w:t>
      </w:r>
      <w:r>
        <w:rPr>
          <w:rFonts w:cs="David" w:ascii="David" w:hAnsi="David"/>
          <w:color w:val="000000"/>
          <w:sz w:val="22"/>
          <w:szCs w:val="22"/>
        </w:rPr>
        <w:t>54678313-1041/07</w:t>
      </w:r>
    </w:p>
    <w:p>
      <w:pPr>
        <w:pStyle w:val="Normal"/>
        <w:ind w:hanging="660" w:start="720" w:end="0"/>
        <w:jc w:val="both"/>
        <w:rPr/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אחיטוב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               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דיסקין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    </w:t>
      </w:r>
      <w:r>
        <w:rPr>
          <w:b/>
          <w:bCs/>
          <w:rtl w:val="true"/>
        </w:rPr>
        <w:tab/>
        <w:t xml:space="preserve">                  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b/>
          <w:bCs/>
          <w:sz w:val="18"/>
          <w:szCs w:val="20"/>
          <w:vertAlign w:val="superscript"/>
          <w:rtl w:val="true"/>
        </w:rPr>
        <w:t>-</w:t>
      </w:r>
      <w:r>
        <w:rPr>
          <w:b/>
          <w:b/>
          <w:bCs/>
          <w:rtl w:val="true"/>
        </w:rPr>
        <w:t>יוסף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</w:p>
    <w:p>
      <w:pPr>
        <w:pStyle w:val="Normal"/>
        <w:ind w:end="0"/>
        <w:jc w:val="start"/>
        <w:rPr>
          <w:color w:val="000000"/>
          <w:sz w:val="16"/>
          <w:szCs w:val="16"/>
        </w:rPr>
      </w:pPr>
      <w:r>
        <w:rPr>
          <w:color w:val="000000"/>
          <w:sz w:val="16"/>
          <w:sz w:val="16"/>
          <w:szCs w:val="16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/Users/liorb/Downloads/study2025-p2/m07001041-39.doc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1041/07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עבסיון איברהים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Miriam"/>
      <w:shadow/>
      <w:sz w:val="30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Psika_word/mechozi/m07001041-45.doc" TargetMode="External"/><Relationship Id="rId4" Type="http://schemas.openxmlformats.org/officeDocument/2006/relationships/hyperlink" Target="http://www.nevo.co.il/Psika_word/elyon/08093310-f08.doc" TargetMode="External"/><Relationship Id="rId5" Type="http://schemas.openxmlformats.org/officeDocument/2006/relationships/hyperlink" Target="http://www.nevo.co.il/Psika_word/mechozi/m07001041-45.doc" TargetMode="External"/><Relationship Id="rId6" Type="http://schemas.openxmlformats.org/officeDocument/2006/relationships/hyperlink" Target="http://www.nevo.co.il/Psika_word/elyon/08093310-f08.doc" TargetMode="External"/><Relationship Id="rId7" Type="http://schemas.openxmlformats.org/officeDocument/2006/relationships/hyperlink" Target="http://www.nevo.co.il/Psika_word/elyon/08093310-f09.doc" TargetMode="External"/><Relationship Id="rId8" Type="http://schemas.openxmlformats.org/officeDocument/2006/relationships/hyperlink" Target="http://www.nevo.co.il/law_html/law01/073_002.htm" TargetMode="External"/><Relationship Id="rId9" Type="http://schemas.openxmlformats.org/officeDocument/2006/relationships/hyperlink" Target="http://www.nevo.co.il/law_html/law01/073_002.htm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2011-06-14T07:36:00Z</dcterms:created>
  <dc:creator> </dc:creator>
  <dc:description/>
  <cp:keywords/>
  <dc:language>en-IL</dc:language>
  <cp:lastModifiedBy>eli</cp:lastModifiedBy>
  <dcterms:modified xsi:type="dcterms:W3CDTF">2011-06-14T07:36:00Z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עבסיון איברהים</vt:lpwstr>
  </property>
  <property fmtid="{D5CDD505-2E9C-101B-9397-08002B2CF9AE}" pid="4" name="CITY">
    <vt:lpwstr>ת"א</vt:lpwstr>
  </property>
  <property fmtid="{D5CDD505-2E9C-101B-9397-08002B2CF9AE}" pid="5" name="DATE">
    <vt:lpwstr>20080923</vt:lpwstr>
  </property>
  <property fmtid="{D5CDD505-2E9C-101B-9397-08002B2CF9AE}" pid="6" name="DELEMATA">
    <vt:lpwstr>http://elyon2.court.gov.il/scripts9/mgrqispi93.dll?Appname=eScourt&amp;Prgname=GetFileDetails&amp;Arguments=-N2008-009331-0</vt:lpwstr>
  </property>
  <property fmtid="{D5CDD505-2E9C-101B-9397-08002B2CF9AE}" pid="7" name="ISABSTRACT">
    <vt:lpwstr>Y</vt:lpwstr>
  </property>
  <property fmtid="{D5CDD505-2E9C-101B-9397-08002B2CF9AE}" pid="8" name="JUDGE">
    <vt:lpwstr>אחיטוב;דיסקין;בן יוסף</vt:lpwstr>
  </property>
  <property fmtid="{D5CDD505-2E9C-101B-9397-08002B2CF9AE}" pid="9" name="LAWYER">
    <vt:lpwstr>אורן;אבנון צבי</vt:lpwstr>
  </property>
  <property fmtid="{D5CDD505-2E9C-101B-9397-08002B2CF9AE}" pid="10" name="LINKK1">
    <vt:lpwstr>http://www.nevo.co.il/Psika_word/mechozi/m07001041-45.doc;להכרעת-דין במחוזי (23-09-2008)#תפח 1041/07 מדינת ישראל נ' איברהים עבסיון#שופטים: נ' אחיטוב, מ' דיסקין, ר' בן יוסף#עו''ד: איילה אורן, צבי אבנון</vt:lpwstr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>http://www.nevo.co.il/Psika_word/elyon/08093310-f08.doc;להחלטה בעליון (13-04-2011)#עפ 9331/08 איברהים עבסיון נ' מדינת ישראל#שופטים: דנה כהן לקח</vt:lpwstr>
  </property>
  <property fmtid="{D5CDD505-2E9C-101B-9397-08002B2CF9AE}" pid="15" name="LINKK3">
    <vt:lpwstr>http://www.nevo.co.il/Psika_word/mechozi/m07001041-45.doc;להכרעת-דין במחוזי (23-09-2008)#תפח 1041/07 מדינת ישראל נ' איברהים עבסיון#שופטים: נ' אחיטוב, מ' דיסקין, ר' בן יוסף#עו''ד: איילה אורן, צבי אבנון</vt:lpwstr>
  </property>
  <property fmtid="{D5CDD505-2E9C-101B-9397-08002B2CF9AE}" pid="16" name="LINKK4">
    <vt:lpwstr>http://www.nevo.co.il/Psika_word/elyon/08093310-f08.doc;להחלטה בעליון (13-04-2011)#עפ 9331/08 איברהים עבסיון נ' מדינת ישראל#שופטים: דנה כהן לקח</vt:lpwstr>
  </property>
  <property fmtid="{D5CDD505-2E9C-101B-9397-08002B2CF9AE}" pid="17" name="LINKK5">
    <vt:lpwstr>http://www.nevo.co.il/Psika_word/elyon/08093310-f09.doc;להחלטה בעליון (25-05-2011)#עפ 9331/08 איברהים עבסיון נ' מדינת ישראל#שופטים: דנה כהן לקח#עו''ד: מ. מויס, הודעה, מיום 2</vt:lpwstr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תפח</vt:lpwstr>
  </property>
  <property fmtid="{D5CDD505-2E9C-101B-9397-08002B2CF9AE}" pid="30" name="PROCNUM">
    <vt:lpwstr>1041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390020080923</vt:lpwstr>
  </property>
  <property fmtid="{D5CDD505-2E9C-101B-9397-08002B2CF9AE}" pid="35" name="TYPE_N_DATE">
    <vt:lpwstr>39020080923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