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David"/>
        </w:rPr>
      </w:pPr>
      <w:bookmarkStart w:id="0" w:name="צד_ג"/>
      <w:bookmarkEnd w:id="0"/>
      <w:r>
        <w:rPr>
          <w:rFonts w:cs="David"/>
          <w:b/>
          <w:b/>
          <w:bCs/>
          <w:sz w:val="26"/>
          <w:sz w:val="26"/>
          <w:szCs w:val="26"/>
          <w:rtl w:val="true"/>
        </w:rPr>
        <w:t>בתי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פח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</w:rPr>
              <w:t>001099/05</w:t>
            </w:r>
          </w:p>
        </w:tc>
        <w:tc>
          <w:tcPr>
            <w:tcW w:w="56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</w:tr>
      <w:tr>
        <w:trPr>
          <w:trHeight w:val="286" w:hRule="atLeast"/>
        </w:trPr>
        <w:tc>
          <w:tcPr>
            <w:tcW w:w="195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3" w:name="LastJudge"/>
            <w:bookmarkStart w:id="4" w:name="שם_שופט"/>
            <w:bookmarkStart w:id="5" w:name="תאריך"/>
            <w:bookmarkEnd w:id="3"/>
            <w:bookmarkEnd w:id="4"/>
            <w:bookmarkEnd w:id="5"/>
            <w:r>
              <w:rPr>
                <w:rFonts w:cs="David"/>
                <w:b/>
                <w:bCs/>
                <w:sz w:val="26"/>
                <w:szCs w:val="26"/>
              </w:rPr>
              <w:t>21/11/06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רוטלוי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סלומון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רניאק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ורדי</w:t>
            </w:r>
          </w:p>
        </w:tc>
        <w:tc>
          <w:tcPr>
            <w:tcW w:w="90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FirstAppellant"/>
            <w:bookmarkStart w:id="7" w:name="שם_א"/>
            <w:bookmarkStart w:id="8" w:name="FirstAppellant"/>
            <w:bookmarkStart w:id="9" w:name="שם_א"/>
            <w:bookmarkEnd w:id="8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3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/>
            </w:pPr>
            <w:bookmarkStart w:id="10" w:name="FirstLawyer"/>
            <w:bookmarkStart w:id="11" w:name="כינוי_א"/>
            <w:bookmarkEnd w:id="10"/>
            <w:bookmarkEnd w:id="11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זנגו</w:t>
            </w:r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rFonts w:cs="David"/>
                <w:szCs w:val="26"/>
              </w:rPr>
            </w:pPr>
            <w:r>
              <w:rPr>
                <w:rFonts w:cs="David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("</w:t>
            </w:r>
            <w:r>
              <w:rPr>
                <w:rtl w:val="true"/>
              </w:rPr>
              <w:t>חרירי</w:t>
            </w:r>
            <w:r>
              <w:rPr>
                <w:rtl w:val="true"/>
              </w:rPr>
              <w:t>")</w:t>
            </w:r>
          </w:p>
        </w:tc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/>
            </w:pPr>
            <w:bookmarkStart w:id="14" w:name="כינוי_ב"/>
            <w:bookmarkEnd w:id="14"/>
            <w:r>
              <w:rPr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1"/>
        <w:ind w:end="0"/>
        <w:jc w:val="center"/>
        <w:rPr>
          <w:rFonts w:cs="David"/>
          <w:u w:val="none"/>
        </w:rPr>
      </w:pPr>
      <w:r>
        <w:rPr>
          <w:rFonts w:cs="David"/>
          <w:u w:val="none"/>
          <w:rtl w:val="true"/>
        </w:rPr>
      </w:r>
      <w:bookmarkStart w:id="15" w:name="צד_ג"/>
      <w:bookmarkStart w:id="16" w:name="סוג_מסמך"/>
      <w:bookmarkStart w:id="17" w:name="צד_ג"/>
      <w:bookmarkStart w:id="18" w:name="סוג_מסמך"/>
      <w:bookmarkEnd w:id="17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  <w:lang w:val="en-IL" w:eastAsia="en-IL"/>
        </w:rPr>
      </w:pPr>
      <w:bookmarkStart w:id="19" w:name="PsakDin"/>
      <w:bookmarkEnd w:id="19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דין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32"/>
          <w:szCs w:val="32"/>
          <w:u w:val="single"/>
          <w:lang w:val="en-IL" w:eastAsia="en-IL"/>
        </w:rPr>
      </w:pPr>
      <w:r>
        <w:rPr>
          <w:rFonts w:cs="David"/>
          <w:b/>
          <w:bCs/>
          <w:sz w:val="32"/>
          <w:szCs w:val="32"/>
          <w:u w:val="single"/>
          <w:rtl w:val="true"/>
          <w:lang w:val="en-IL" w:eastAsia="en-IL"/>
        </w:rPr>
      </w:r>
      <w:bookmarkStart w:id="20" w:name="PsakDin"/>
      <w:bookmarkStart w:id="21" w:name="PsakDin"/>
      <w:bookmarkEnd w:id="21"/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>
          <w:rFonts w:cs="David"/>
        </w:rPr>
      </w:pPr>
      <w:bookmarkStart w:id="22" w:name="ABSTRACT_START"/>
      <w:bookmarkEnd w:id="22"/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144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העונשין</w:t>
      </w:r>
      <w:r>
        <w:rPr>
          <w:rFonts w:cs="David"/>
          <w:rtl w:val="true"/>
        </w:rPr>
        <w:t xml:space="preserve">")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340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במסגרתו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>
          <w:rFonts w:cs="David"/>
        </w:rPr>
      </w:pPr>
      <w:r>
        <w:rPr>
          <w:rFonts w:cs="David"/>
          <w:rtl w:val="true"/>
        </w:rPr>
      </w:r>
      <w:bookmarkStart w:id="23" w:name="ABSTRACT_END"/>
      <w:bookmarkStart w:id="24" w:name="ABSTRACT_END"/>
      <w:bookmarkEnd w:id="24"/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בשנית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הוסרו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11.04.05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10:30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</w:rPr>
        <w:t>0442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ובהתקרבו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סניף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360" w:start="720" w:end="0"/>
        <w:jc w:val="start"/>
        <w:rPr/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שתחילתו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15.06.05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וסיומו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לכדי</w:t>
      </w:r>
      <w:r>
        <w:rPr>
          <w:rtl w:val="true"/>
        </w:rPr>
        <w:t xml:space="preserve"> 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בנמקה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שבבסיסו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לכריתתו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נצבה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שתביא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לחופשות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קנביס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כלשהן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כידוע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להעניק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</w:rPr>
        <w:t>218/85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ארביב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פרקליטות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393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</w:rPr>
        <w:t>98</w:t>
      </w:r>
      <w:r>
        <w:rPr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בהתקיימו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המובהק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</w:rPr>
        <w:t>1958/98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פלוני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</w:t>
      </w:r>
      <w:r>
        <w:rPr>
          <w:rFonts w:cs="David"/>
          <w:rtl w:val="true"/>
        </w:rPr>
        <w:t>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577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591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פ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פלוני</w:t>
      </w:r>
      <w:r>
        <w:rPr>
          <w:rFonts w:cs="David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מסקנתנו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שהתביעה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איזנה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פ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פלוני</w:t>
      </w:r>
      <w:r>
        <w:rPr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שסיכויי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כשרה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כעולה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שהעניקה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</w:rPr>
      </w:pP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ומטילים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  <w:bookmarkEnd w:id="18"/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144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340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ניתן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21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בנובמבר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2006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במעמד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הצדדים</w:t>
      </w:r>
      <w:r>
        <w:rPr>
          <w:rFonts w:cs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rFonts w:cs="David"/>
          <w:color w:val="000000"/>
          <w:sz w:val="22"/>
          <w:sz w:val="22"/>
          <w:szCs w:val="22"/>
          <w:rtl w:val="true"/>
        </w:rPr>
        <w:t>רוטלוי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>.</w:t>
      </w:r>
      <w:r>
        <w:rPr>
          <w:rFonts w:cs="David"/>
          <w:color w:val="000000"/>
          <w:sz w:val="22"/>
          <w:sz w:val="22"/>
          <w:szCs w:val="22"/>
          <w:rtl w:val="true"/>
        </w:rPr>
        <w:t>נ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54678313-1099/05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0000"/>
          <w:sz w:val="2"/>
          <w:szCs w:val="2"/>
        </w:rPr>
      </w:pPr>
      <w:r>
        <w:rPr>
          <w:rFonts w:cs="David"/>
          <w:b/>
          <w:bCs/>
          <w:color w:val="FF0000"/>
          <w:sz w:val="2"/>
          <w:szCs w:val="2"/>
        </w:rPr>
        <w:t>54678313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708"/>
        <w:gridCol w:w="2268"/>
        <w:gridCol w:w="851"/>
        <w:gridCol w:w="2467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דר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ורדי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ע</w:t>
            </w:r>
            <w:r>
              <w:rPr>
                <w:sz w:val="28"/>
                <w:szCs w:val="28"/>
                <w:u w:val="none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צ</w:t>
            </w:r>
            <w:r>
              <w:rPr>
                <w:sz w:val="28"/>
                <w:szCs w:val="28"/>
                <w:u w:val="none"/>
                <w:rtl w:val="true"/>
              </w:rPr>
              <w:t>'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רניאק</w:t>
            </w:r>
            <w:r>
              <w:rPr>
                <w:sz w:val="28"/>
                <w:szCs w:val="28"/>
                <w:u w:val="none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שופטת</w:t>
            </w:r>
          </w:p>
        </w:tc>
        <w:tc>
          <w:tcPr>
            <w:tcW w:w="85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  <w:u w:val="none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רוטלוי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  <w:lang w:eastAsia="en-US"/>
        </w:rPr>
      </w:pPr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/Users/liorb/Downloads/study2025-p2/m05001099.doc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1099/05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ויסאם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אגבריה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("</w:t>
    </w:r>
    <w:r>
      <w:rPr>
        <w:color w:val="000000"/>
        <w:sz w:val="22"/>
        <w:sz w:val="22"/>
        <w:szCs w:val="22"/>
        <w:rtl w:val="true"/>
      </w:rPr>
      <w:t>חרירי</w:t>
    </w:r>
    <w:r>
      <w:rPr>
        <w:rFonts w:cs="David"/>
        <w:color w:val="000000"/>
        <w:sz w:val="22"/>
        <w:szCs w:val="22"/>
        <w:rtl w:val="true"/>
      </w:rPr>
      <w:t>")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5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  <w:lang w:val="en-IL" w:eastAsia="en-IL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3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2006-11-21T14:25:00Z</dcterms:created>
  <dc:creator> </dc:creator>
  <dc:description/>
  <dc:language>en-IL</dc:language>
  <cp:lastModifiedBy>eli</cp:lastModifiedBy>
  <dcterms:modified xsi:type="dcterms:W3CDTF">2006-11-21T14:25:00Z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ויסאם בן אחמד אגבריה (#חרירי#)</vt:lpwstr>
  </property>
  <property fmtid="{D5CDD505-2E9C-101B-9397-08002B2CF9AE}" pid="4" name="CITY">
    <vt:lpwstr>ת"א</vt:lpwstr>
  </property>
  <property fmtid="{D5CDD505-2E9C-101B-9397-08002B2CF9AE}" pid="5" name="DATE">
    <vt:lpwstr>20061121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ס' רוטלוי ס.נ;ע' סלומון צ'רניאק;ד#ר ק' ורדי</vt:lpwstr>
  </property>
  <property fmtid="{D5CDD505-2E9C-101B-9397-08002B2CF9AE}" pid="9" name="LAWYER">
    <vt:lpwstr>תמי זנגו;משה שרמן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1099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