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</w:t>
            </w:r>
            <w:r>
              <w:rPr>
                <w:b/>
                <w:bCs/>
                <w:szCs w:val="28"/>
                <w:rtl w:val="true"/>
              </w:rPr>
              <w:t>.</w:t>
            </w: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000288/08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חיימוביץ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12/10/2008</w:t>
            </w:r>
          </w:p>
        </w:tc>
      </w:tr>
    </w:tbl>
    <w:p>
      <w:pPr>
        <w:pStyle w:val="Heading1"/>
        <w:spacing w:lineRule="auto" w:line="240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Heading4"/>
              <w:ind w:end="0"/>
              <w:jc w:val="both"/>
              <w:rPr/>
            </w:pPr>
            <w:bookmarkStart w:id="5" w:name="בא_כוח_א"/>
            <w:r>
              <w:rPr>
                <w:rtl w:val="true"/>
              </w:rPr>
              <w:t>מיטל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</w:t>
            </w:r>
            <w:r>
              <w:rPr>
                <w:rFonts w:cs="Times New Roman"/>
                <w:rtl w:val="true"/>
              </w:rPr>
              <w:t xml:space="preserve"> 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>
          <w:trHeight w:val="469" w:hRule="atLeast"/>
        </w:trPr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bookmarkStart w:id="6" w:name="שם_ב"/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אליהו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bookmarkStart w:id="7" w:name="בא_כוח_ב"/>
            <w:r>
              <w:rPr>
                <w:rtl w:val="true"/>
              </w:rPr>
              <w:t>הרצל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סמילה</w:t>
            </w:r>
            <w:r>
              <w:rPr>
                <w:rFonts w:cs="Times New Roman"/>
                <w:rtl w:val="true"/>
              </w:rPr>
              <w:t xml:space="preserve"> 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8" w:name="כינוי_ב"/>
            <w:bookmarkEnd w:id="8"/>
            <w:r>
              <w:rPr>
                <w:rtl w:val="true"/>
              </w:rPr>
              <w:t>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ing1"/>
        <w:spacing w:lineRule="auto" w:line="240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</w:t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 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        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tl w:val="true"/>
              </w:rPr>
              <w:t>הרצל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center"/>
        <w:rPr>
          <w:b/>
          <w:bCs/>
          <w:sz w:val="32"/>
          <w:szCs w:val="32"/>
          <w:u w:val="single"/>
        </w:rPr>
      </w:pPr>
      <w:bookmarkStart w:id="9" w:name="PsakDin"/>
      <w:bookmarkEnd w:id="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bookmarkStart w:id="10" w:name="PsakDin"/>
      <w:bookmarkStart w:id="11" w:name="ABSTRACT_START"/>
      <w:bookmarkEnd w:id="10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>") (</w:t>
      </w:r>
      <w:r>
        <w:rPr/>
        <w:t>X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 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הגנת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bookmarkStart w:id="12" w:name="ABSTRACT_END"/>
      <w:bookmarkEnd w:id="12"/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והגרלות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ויצביע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אובססיביות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שהסתיימה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התחתנה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בהפרעותיו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החתונה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לאחריה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קרוב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לודאי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חששותיה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תואמים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האמיתי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מכביד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הופנם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>:</w:t>
      </w:r>
    </w:p>
    <w:p>
      <w:pPr>
        <w:pStyle w:val="Normal"/>
        <w:numPr>
          <w:ilvl w:val="0"/>
          <w:numId w:val="6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שלושה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יחתום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2,000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לפיה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חתימה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תגרור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</w:t>
      </w:r>
      <w:r>
        <w:rPr>
          <w:sz w:val="26"/>
          <w:rtl w:val="true"/>
        </w:rPr>
        <w:t xml:space="preserve">     </w:t>
      </w:r>
      <w:r>
        <w:rPr>
          <w:sz w:val="26"/>
          <w:sz w:val="26"/>
          <w:rtl w:val="true"/>
        </w:rPr>
        <w:t>ימים</w:t>
      </w:r>
      <w:r>
        <w:rPr>
          <w:sz w:val="26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יפצה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800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שישולם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המוצג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קלטות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יושמד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לחלוף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הערעור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ואם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להחלטה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הטלפון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מוחזר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hanging="720" w:start="720" w:end="0"/>
        <w:jc w:val="both"/>
        <w:rPr>
          <w:b/>
          <w:bCs/>
          <w:sz w:val="26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ascii="David" w:hAnsi="David"/>
          <w:color w:val="000000"/>
          <w:sz w:val="22"/>
          <w:sz w:val="22"/>
          <w:szCs w:val="22"/>
          <w:u w:val="single"/>
          <w:rtl w:val="true"/>
        </w:rPr>
        <w:t xml:space="preserve">טלי חיימוביץ </w:t>
      </w:r>
      <w:r>
        <w:rPr>
          <w:rFonts w:cs="David" w:ascii="David" w:hAnsi="David"/>
          <w:color w:val="000000"/>
          <w:sz w:val="22"/>
          <w:szCs w:val="22"/>
          <w:u w:val="single"/>
        </w:rPr>
        <w:t>54678313-288/08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בתשרי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תשס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>(</w:t>
            </w:r>
            <w:r>
              <w:rPr>
                <w:b/>
                <w:bCs/>
                <w:sz w:val="26"/>
              </w:rPr>
              <w:t>12</w:t>
            </w:r>
            <w:r>
              <w:rPr>
                <w:b/>
                <w:bCs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באוקטובר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</w:rPr>
              <w:t>2008</w:t>
            </w:r>
            <w:r>
              <w:rPr>
                <w:b/>
                <w:bCs/>
                <w:sz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הנוכחים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חיימוביץ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/Users/liorb/Downloads/study2025-p2/s08000288-211.doc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288/08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לוי אליהו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1440"/>
        </w:tabs>
        <w:ind w:start="1440" w:hanging="360"/>
      </w:p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4"/>
        <w:iCs w:val="false"/>
        <w:bCs w:val="false"/>
      </w:rPr>
    </w:lvl>
  </w:abstractNum>
  <w:abstractNum w:abstractNumId="4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character" w:styleId="WW8Num3z0">
    <w:name w:val="WW8Num3z0"/>
    <w:qFormat/>
    <w:rPr>
      <w:bCs w:val="false"/>
      <w:iCs w:val="false"/>
      <w:szCs w:val="24"/>
    </w:rPr>
  </w:style>
  <w:style w:type="character" w:styleId="WW8Num4z0">
    <w:name w:val="WW8Num4z0"/>
    <w:qFormat/>
    <w:rPr>
      <w:bCs/>
      <w:iCs w:val="false"/>
      <w:szCs w:val="22"/>
    </w:rPr>
  </w:style>
  <w:style w:type="character" w:styleId="Style10">
    <w:name w:val="גופן ברירת המחדל של פיסקה"/>
    <w:qFormat/>
    <w:rPr/>
  </w:style>
  <w:style w:type="character" w:styleId="PageNumber">
    <w:name w:val="page number"/>
    <w:basedOn w:val="Style10"/>
    <w:rPr>
      <w:rFonts w:cs="David"/>
    </w:rPr>
  </w:style>
  <w:style w:type="character" w:styleId="Hyperlink">
    <w:name w:val="Hyperlink"/>
    <w:basedOn w:val="Style10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תשובה"/>
    <w:basedOn w:val="Normal"/>
    <w:next w:val="Style15"/>
    <w:qFormat/>
    <w:pPr>
      <w:numPr>
        <w:ilvl w:val="0"/>
        <w:numId w:val="3"/>
      </w:numPr>
      <w:ind w:hanging="0" w:start="737" w:end="0"/>
      <w:jc w:val="both"/>
    </w:pPr>
    <w:rPr/>
  </w:style>
  <w:style w:type="paragraph" w:styleId="Style15">
    <w:name w:val="שאלה"/>
    <w:basedOn w:val="Normal"/>
    <w:next w:val="Style14"/>
    <w:qFormat/>
    <w:pPr>
      <w:numPr>
        <w:ilvl w:val="0"/>
        <w:numId w:val="4"/>
      </w:numPr>
      <w:ind w:hanging="0" w:start="737" w:end="0"/>
      <w:jc w:val="both"/>
    </w:pPr>
    <w:rPr>
      <w:bCs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87_001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2008-10-14T12:03:00Z</dcterms:created>
  <dc:creator> </dc:creator>
  <dc:description/>
  <cp:keywords/>
  <dc:language>en-IL</dc:language>
  <cp:lastModifiedBy>user</cp:lastModifiedBy>
  <cp:lastPrinted>2008-10-12T11:52:00Z</cp:lastPrinted>
  <dcterms:modified xsi:type="dcterms:W3CDTF">2008-10-14T16:49:00Z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לוי אליהו</vt:lpwstr>
  </property>
  <property fmtid="{D5CDD505-2E9C-101B-9397-08002B2CF9AE}" pid="4" name="CITY">
    <vt:lpwstr>ק"ג</vt:lpwstr>
  </property>
  <property fmtid="{D5CDD505-2E9C-101B-9397-08002B2CF9AE}" pid="5" name="DATE">
    <vt:lpwstr>20081012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טלי חיימוביץ</vt:lpwstr>
  </property>
  <property fmtid="{D5CDD505-2E9C-101B-9397-08002B2CF9AE}" pid="9" name="LAWYER">
    <vt:lpwstr>מיטל פרי;הרצל סמילה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288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380020081012</vt:lpwstr>
  </property>
  <property fmtid="{D5CDD505-2E9C-101B-9397-08002B2CF9AE}" pid="35" name="TYPE_N_DATE">
    <vt:lpwstr>38020081012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