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0"/>
        <w:gridCol w:w="964"/>
        <w:gridCol w:w="4700"/>
        <w:gridCol w:w="908"/>
      </w:tblGrid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</w:t>
            </w:r>
            <w:r>
              <w:rPr>
                <w:b/>
                <w:bCs/>
                <w:szCs w:val="28"/>
                <w:rtl w:val="true"/>
              </w:rPr>
              <w:t>.</w:t>
            </w: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001022/04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קרית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גת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rtl w:val="true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>
          <w:trHeight w:val="286" w:hRule="atLeast"/>
        </w:trPr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19/02/2006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חיימוביץ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</w:tr>
    </w:tbl>
    <w:p>
      <w:pPr>
        <w:pStyle w:val="Header"/>
        <w:ind w:end="0"/>
        <w:jc w:val="start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בעניין</w:t>
            </w:r>
            <w:r>
              <w:rPr>
                <w:sz w:val="24"/>
                <w:szCs w:val="26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bookmarkStart w:id="3" w:name="FirstLawyer"/>
            <w:bookmarkStart w:id="4" w:name="בא_כוח_א"/>
            <w:bookmarkEnd w:id="3"/>
            <w:bookmarkEnd w:id="4"/>
            <w:r>
              <w:rPr>
                <w:sz w:val="24"/>
                <w:sz w:val="24"/>
                <w:szCs w:val="26"/>
                <w:rtl w:val="true"/>
              </w:rPr>
              <w:t>המאשימה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יריב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יקותיאלי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ע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rFonts w:cs="Times New Roman"/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2"/>
              <w:spacing w:lineRule="auto" w:line="240"/>
              <w:ind w:end="0"/>
              <w:jc w:val="center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</w:p>
          <w:p>
            <w:pPr>
              <w:pStyle w:val="Style12"/>
              <w:spacing w:lineRule="auto" w:line="240"/>
              <w:ind w:end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rFonts w:cs="Times New Roman"/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אלי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איבגי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bookmarkStart w:id="7" w:name="בא_כוח_ב"/>
            <w:bookmarkEnd w:id="7"/>
            <w:r>
              <w:rPr>
                <w:sz w:val="24"/>
                <w:sz w:val="24"/>
                <w:szCs w:val="26"/>
                <w:rtl w:val="true"/>
              </w:rPr>
              <w:t>ה</w:t>
            </w:r>
            <w:bookmarkStart w:id="8" w:name="כינוי_ב"/>
            <w:bookmarkEnd w:id="8"/>
            <w:r>
              <w:rPr>
                <w:sz w:val="24"/>
                <w:sz w:val="24"/>
                <w:szCs w:val="26"/>
                <w:rtl w:val="true"/>
              </w:rPr>
              <w:t>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רחמים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אייל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ע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</w:tr>
    </w:tbl>
    <w:p>
      <w:pPr>
        <w:pStyle w:val="Style12"/>
        <w:spacing w:lineRule="auto" w:line="240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המבקשת</w:t>
            </w:r>
            <w:r>
              <w:rPr>
                <w:sz w:val="24"/>
                <w:szCs w:val="26"/>
                <w:rtl w:val="true"/>
              </w:rPr>
              <w:t xml:space="preserve">: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 </w:t>
            </w:r>
            <w:r>
              <w:rPr>
                <w:sz w:val="24"/>
                <w:sz w:val="24"/>
                <w:szCs w:val="26"/>
                <w:rtl w:val="true"/>
              </w:rPr>
              <w:t>יריב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יקותיאלי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</w:p>
          <w:p>
            <w:pPr>
              <w:pStyle w:val="Style12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הנאשם</w:t>
            </w:r>
            <w:r>
              <w:rPr>
                <w:sz w:val="24"/>
                <w:szCs w:val="26"/>
                <w:rtl w:val="true"/>
              </w:rPr>
              <w:t xml:space="preserve">- </w:t>
            </w:r>
            <w:r>
              <w:rPr>
                <w:sz w:val="24"/>
                <w:sz w:val="24"/>
                <w:szCs w:val="26"/>
                <w:rtl w:val="true"/>
              </w:rPr>
              <w:t>בעצמו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           </w:t>
            </w:r>
            <w:r>
              <w:rPr>
                <w:sz w:val="24"/>
                <w:sz w:val="24"/>
                <w:szCs w:val="26"/>
                <w:rtl w:val="true"/>
              </w:rPr>
              <w:t>ובא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כוחו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רחמים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אייל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</w:p>
        </w:tc>
        <w:tc>
          <w:tcPr>
            <w:tcW w:w="1332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נוכחים</w:t>
            </w:r>
            <w:r>
              <w:rPr>
                <w:sz w:val="24"/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  <w:bookmarkStart w:id="9" w:name="צד_ג"/>
      <w:bookmarkStart w:id="10" w:name="צד_ג"/>
      <w:bookmarkEnd w:id="10"/>
    </w:p>
    <w:p>
      <w:pPr>
        <w:pStyle w:val="Heading1"/>
        <w:ind w:end="0"/>
        <w:jc w:val="center"/>
        <w:rPr>
          <w:sz w:val="36"/>
          <w:szCs w:val="34"/>
          <w:u w:val="none"/>
        </w:rPr>
      </w:pPr>
      <w:r>
        <w:rPr>
          <w:sz w:val="36"/>
          <w:szCs w:val="34"/>
          <w:u w:val="none"/>
          <w:rtl w:val="true"/>
        </w:rPr>
      </w:r>
      <w:bookmarkStart w:id="11" w:name="צד_ג"/>
      <w:bookmarkStart w:id="12" w:name="סוג_מסמך"/>
      <w:bookmarkStart w:id="13" w:name="צד_ג"/>
      <w:bookmarkStart w:id="14" w:name="סוג_מסמך"/>
      <w:bookmarkEnd w:id="13"/>
      <w:bookmarkEnd w:id="14"/>
    </w:p>
    <w:p>
      <w:pPr>
        <w:pStyle w:val="Normal"/>
        <w:spacing w:lineRule="auto" w:line="240"/>
        <w:ind w:end="0"/>
        <w:jc w:val="center"/>
        <w:rPr>
          <w:b/>
          <w:bCs/>
          <w:sz w:val="36"/>
          <w:szCs w:val="34"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b/>
          <w:b/>
          <w:bCs/>
          <w:sz w:val="36"/>
          <w:sz w:val="36"/>
          <w:szCs w:val="34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4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4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start"/>
        <w:rPr>
          <w:rFonts w:cs="Times New Roman"/>
          <w:sz w:val="26"/>
        </w:rPr>
      </w:pPr>
      <w:bookmarkStart w:id="17" w:name="PsakDin"/>
      <w:bookmarkEnd w:id="17"/>
      <w:r>
        <w:rPr>
          <w:sz w:val="30"/>
          <w:szCs w:val="28"/>
          <w:rtl w:val="true"/>
        </w:rPr>
        <w:t> </w:t>
      </w:r>
    </w:p>
    <w:p>
      <w:pPr>
        <w:pStyle w:val="Normal"/>
        <w:numPr>
          <w:ilvl w:val="0"/>
          <w:numId w:val="4"/>
        </w:numPr>
        <w:spacing w:before="0" w:after="0"/>
        <w:ind w:hanging="360" w:start="720" w:end="0"/>
        <w:jc w:val="both"/>
        <w:rPr>
          <w:sz w:val="28"/>
        </w:rPr>
      </w:pPr>
      <w:bookmarkStart w:id="18" w:name="ABSTRACT_START"/>
      <w:bookmarkEnd w:id="18"/>
      <w:r>
        <w:rPr>
          <w:rFonts w:ascii="Arial" w:hAnsi="Arial" w:cs="Arial"/>
          <w:color w:val="000000"/>
          <w:sz w:val="28"/>
          <w:sz w:val="28"/>
          <w:rtl w:val="true"/>
        </w:rPr>
        <w:t>הנאשם הורשע על פי הודאתו בכתב אישום מתוקן</w:t>
      </w:r>
      <w:r>
        <w:rPr>
          <w:rFonts w:cs="Arial" w:ascii="Arial" w:hAnsi="Arial"/>
          <w:color w:val="000000"/>
          <w:sz w:val="28"/>
          <w:rtl w:val="true"/>
        </w:rPr>
        <w:t xml:space="preserve">, </w:t>
      </w:r>
      <w:r>
        <w:rPr>
          <w:rFonts w:ascii="Arial" w:hAnsi="Arial" w:cs="Arial"/>
          <w:color w:val="000000"/>
          <w:sz w:val="28"/>
          <w:sz w:val="28"/>
          <w:rtl w:val="true"/>
        </w:rPr>
        <w:t xml:space="preserve">בשתי עבירות של איום לפי סעיף </w:t>
      </w:r>
      <w:r>
        <w:rPr>
          <w:rFonts w:cs="Arial" w:ascii="Arial" w:hAnsi="Arial"/>
          <w:color w:val="000000"/>
          <w:sz w:val="28"/>
        </w:rPr>
        <w:t>192</w:t>
      </w:r>
      <w:r>
        <w:rPr>
          <w:rFonts w:cs="Arial" w:ascii="Arial" w:hAnsi="Arial"/>
          <w:color w:val="000000"/>
          <w:sz w:val="28"/>
          <w:rtl w:val="true"/>
        </w:rPr>
        <w:t xml:space="preserve"> </w:t>
      </w:r>
      <w:r>
        <w:rPr>
          <w:rFonts w:ascii="Arial" w:hAnsi="Arial" w:cs="Arial"/>
          <w:color w:val="000000"/>
          <w:sz w:val="28"/>
          <w:sz w:val="28"/>
          <w:rtl w:val="true"/>
        </w:rPr>
        <w:t>לחוק העונשין</w:t>
      </w:r>
      <w:r>
        <w:rPr>
          <w:rFonts w:cs="Arial" w:ascii="Arial" w:hAnsi="Arial"/>
          <w:color w:val="000000"/>
          <w:sz w:val="28"/>
          <w:rtl w:val="true"/>
        </w:rPr>
        <w:t xml:space="preserve">, </w:t>
      </w:r>
      <w:r>
        <w:rPr>
          <w:rFonts w:ascii="Arial" w:hAnsi="Arial" w:cs="Arial"/>
          <w:color w:val="000000"/>
          <w:sz w:val="28"/>
          <w:sz w:val="28"/>
          <w:rtl w:val="true"/>
        </w:rPr>
        <w:t>תשל</w:t>
      </w:r>
      <w:r>
        <w:rPr>
          <w:rFonts w:cs="Arial" w:ascii="Arial" w:hAnsi="Arial"/>
          <w:color w:val="000000"/>
          <w:sz w:val="28"/>
          <w:rtl w:val="true"/>
        </w:rPr>
        <w:t>"</w:t>
      </w:r>
      <w:r>
        <w:rPr>
          <w:rFonts w:ascii="Arial" w:hAnsi="Arial" w:cs="Arial"/>
          <w:color w:val="000000"/>
          <w:sz w:val="28"/>
          <w:sz w:val="28"/>
          <w:rtl w:val="true"/>
        </w:rPr>
        <w:t>ז</w:t>
      </w:r>
      <w:r>
        <w:rPr>
          <w:rFonts w:cs="Arial" w:ascii="Arial" w:hAnsi="Arial"/>
          <w:color w:val="000000"/>
          <w:sz w:val="28"/>
          <w:rtl w:val="true"/>
        </w:rPr>
        <w:t>-</w:t>
      </w:r>
      <w:r>
        <w:rPr>
          <w:rFonts w:cs="Arial" w:ascii="Arial" w:hAnsi="Arial"/>
          <w:color w:val="000000"/>
          <w:sz w:val="28"/>
        </w:rPr>
        <w:t>1977</w:t>
      </w:r>
      <w:r>
        <w:rPr>
          <w:rFonts w:cs="Arial" w:ascii="Arial" w:hAnsi="Arial"/>
          <w:color w:val="000000"/>
          <w:sz w:val="28"/>
          <w:rtl w:val="true"/>
        </w:rPr>
        <w:t xml:space="preserve">, </w:t>
      </w:r>
      <w:r>
        <w:rPr>
          <w:rFonts w:ascii="Arial" w:hAnsi="Arial" w:cs="Arial"/>
          <w:color w:val="000000"/>
          <w:sz w:val="28"/>
          <w:sz w:val="28"/>
          <w:rtl w:val="true"/>
        </w:rPr>
        <w:t xml:space="preserve">בכך שביום </w:t>
      </w:r>
      <w:r>
        <w:rPr>
          <w:rFonts w:cs="Arial" w:ascii="Arial" w:hAnsi="Arial"/>
          <w:color w:val="000000"/>
          <w:sz w:val="28"/>
        </w:rPr>
        <w:t>9.10.04</w:t>
      </w:r>
      <w:r>
        <w:rPr>
          <w:rFonts w:cs="Arial" w:ascii="Arial" w:hAnsi="Arial"/>
          <w:color w:val="000000"/>
          <w:sz w:val="28"/>
          <w:rtl w:val="true"/>
        </w:rPr>
        <w:t xml:space="preserve"> </w:t>
      </w:r>
      <w:r>
        <w:rPr>
          <w:rFonts w:ascii="Arial" w:hAnsi="Arial" w:cs="Arial"/>
          <w:color w:val="000000"/>
          <w:sz w:val="28"/>
          <w:sz w:val="28"/>
          <w:rtl w:val="true"/>
        </w:rPr>
        <w:t>בהיותו בגילופין</w:t>
      </w:r>
      <w:r>
        <w:rPr>
          <w:rFonts w:cs="Arial" w:ascii="Arial" w:hAnsi="Arial"/>
          <w:color w:val="000000"/>
          <w:sz w:val="28"/>
          <w:rtl w:val="true"/>
        </w:rPr>
        <w:t xml:space="preserve">, </w:t>
      </w:r>
      <w:r>
        <w:rPr>
          <w:rFonts w:ascii="Arial" w:hAnsi="Arial" w:cs="Arial"/>
          <w:color w:val="000000"/>
          <w:sz w:val="28"/>
          <w:sz w:val="28"/>
          <w:rtl w:val="true"/>
        </w:rPr>
        <w:t>אמר לאשתו שיהרוג אותה היום</w:t>
      </w:r>
      <w:r>
        <w:rPr>
          <w:rFonts w:cs="Arial" w:ascii="Arial" w:hAnsi="Arial"/>
          <w:color w:val="000000"/>
          <w:sz w:val="28"/>
          <w:rtl w:val="true"/>
        </w:rPr>
        <w:t xml:space="preserve">, </w:t>
      </w:r>
      <w:r>
        <w:rPr>
          <w:rFonts w:ascii="Arial" w:hAnsi="Arial" w:cs="Arial"/>
          <w:color w:val="000000"/>
          <w:sz w:val="28"/>
          <w:sz w:val="28"/>
          <w:rtl w:val="true"/>
        </w:rPr>
        <w:t>פתח את המגירה</w:t>
      </w:r>
      <w:r>
        <w:rPr>
          <w:rFonts w:cs="Arial" w:ascii="Arial" w:hAnsi="Arial"/>
          <w:color w:val="000000"/>
          <w:sz w:val="28"/>
          <w:rtl w:val="true"/>
        </w:rPr>
        <w:t xml:space="preserve">, </w:t>
      </w:r>
      <w:r>
        <w:rPr>
          <w:rFonts w:ascii="Arial" w:hAnsi="Arial" w:cs="Arial"/>
          <w:color w:val="000000"/>
          <w:sz w:val="28"/>
          <w:sz w:val="28"/>
          <w:rtl w:val="true"/>
        </w:rPr>
        <w:t>לקח סכין מטבח</w:t>
      </w:r>
      <w:r>
        <w:rPr>
          <w:rFonts w:cs="Arial" w:ascii="Arial" w:hAnsi="Arial"/>
          <w:color w:val="000000"/>
          <w:sz w:val="28"/>
          <w:rtl w:val="true"/>
        </w:rPr>
        <w:t xml:space="preserve">, </w:t>
      </w:r>
      <w:r>
        <w:rPr>
          <w:rFonts w:ascii="Arial" w:hAnsi="Arial" w:cs="Arial"/>
          <w:color w:val="000000"/>
          <w:sz w:val="28"/>
          <w:sz w:val="28"/>
          <w:rtl w:val="true"/>
        </w:rPr>
        <w:t>על מנת להפחידה</w:t>
      </w:r>
      <w:r>
        <w:rPr>
          <w:rFonts w:cs="Arial" w:ascii="Arial" w:hAnsi="Arial"/>
          <w:color w:val="000000"/>
          <w:sz w:val="28"/>
          <w:rtl w:val="true"/>
        </w:rPr>
        <w:t xml:space="preserve">, </w:t>
      </w:r>
      <w:r>
        <w:rPr>
          <w:rFonts w:ascii="Arial" w:hAnsi="Arial" w:cs="Arial"/>
          <w:color w:val="000000"/>
          <w:sz w:val="28"/>
          <w:sz w:val="28"/>
          <w:rtl w:val="true"/>
        </w:rPr>
        <w:t xml:space="preserve">והמתלוננת </w:t>
      </w:r>
      <w:r>
        <w:rPr>
          <w:rFonts w:cs="Arial" w:ascii="Arial" w:hAnsi="Arial"/>
          <w:color w:val="000000"/>
          <w:sz w:val="28"/>
          <w:rtl w:val="true"/>
        </w:rPr>
        <w:t>(</w:t>
      </w:r>
      <w:r>
        <w:rPr>
          <w:rFonts w:ascii="Arial" w:hAnsi="Arial" w:cs="Arial"/>
          <w:color w:val="000000"/>
          <w:sz w:val="28"/>
          <w:sz w:val="28"/>
          <w:rtl w:val="true"/>
        </w:rPr>
        <w:t>להלן</w:t>
      </w:r>
      <w:r>
        <w:rPr>
          <w:rFonts w:cs="Arial" w:ascii="Arial" w:hAnsi="Arial"/>
          <w:color w:val="000000"/>
          <w:sz w:val="28"/>
          <w:rtl w:val="true"/>
        </w:rPr>
        <w:t>:"</w:t>
      </w:r>
      <w:r>
        <w:rPr>
          <w:rFonts w:ascii="Arial" w:hAnsi="Arial" w:cs="Arial"/>
          <w:color w:val="000000"/>
          <w:sz w:val="28"/>
          <w:sz w:val="28"/>
          <w:rtl w:val="true"/>
        </w:rPr>
        <w:t>המתלוננת</w:t>
      </w:r>
      <w:r>
        <w:rPr>
          <w:rFonts w:cs="Arial" w:ascii="Arial" w:hAnsi="Arial"/>
          <w:color w:val="000000"/>
          <w:sz w:val="28"/>
          <w:rtl w:val="true"/>
        </w:rPr>
        <w:t xml:space="preserve">")  </w:t>
      </w:r>
      <w:r>
        <w:rPr>
          <w:rFonts w:ascii="Arial" w:hAnsi="Arial" w:cs="Arial"/>
          <w:color w:val="000000"/>
          <w:sz w:val="28"/>
          <w:sz w:val="28"/>
          <w:rtl w:val="true"/>
        </w:rPr>
        <w:t>הסתגרה בחדר השירותים</w:t>
      </w:r>
      <w:bookmarkStart w:id="19" w:name="ABSTRACT_END"/>
      <w:bookmarkEnd w:id="19"/>
      <w:r>
        <w:rPr>
          <w:rFonts w:cs="Arial" w:ascii="Arial" w:hAnsi="Arial"/>
          <w:color w:val="000000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0"/>
        <w:ind w:hanging="360" w:start="720" w:end="0"/>
        <w:jc w:val="both"/>
        <w:rPr>
          <w:sz w:val="28"/>
        </w:rPr>
      </w:pPr>
      <w:r>
        <w:rPr>
          <w:rFonts w:ascii="Arial" w:hAnsi="Arial" w:cs="Arial"/>
          <w:sz w:val="28"/>
          <w:sz w:val="28"/>
          <w:rtl w:val="true"/>
        </w:rPr>
        <w:t>בהמשך זעקה המתלוננת לעזרת השכנים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וכשהגיע השכן ברחה המתלוננת מן הדירה והזעיקה את המשטרה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כאשר הגיעו השוטרים איים הנאשם בפניהם על המתלוננת ואמר לה שיהרוג אותה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ובגלל מה שעשתה יהרוג אותה והיא תשלם על זה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וזה הסוף שלה</w:t>
      </w:r>
      <w:r>
        <w:rPr>
          <w:rFonts w:cs="Arial" w:ascii="Arial" w:hAnsi="Arial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0"/>
        <w:ind w:hanging="360" w:start="720" w:end="0"/>
        <w:jc w:val="both"/>
        <w:rPr>
          <w:sz w:val="28"/>
        </w:rPr>
      </w:pPr>
      <w:r>
        <w:rPr>
          <w:rFonts w:ascii="Arial" w:hAnsi="Arial" w:cs="Arial"/>
          <w:sz w:val="28"/>
          <w:sz w:val="28"/>
          <w:rtl w:val="true"/>
        </w:rPr>
        <w:t>לנאשם אין הרשעות קודמות</w:t>
      </w:r>
      <w:r>
        <w:rPr>
          <w:rFonts w:cs="Arial" w:ascii="Arial" w:hAnsi="Arial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0"/>
        <w:ind w:hanging="360" w:start="720" w:end="0"/>
        <w:jc w:val="both"/>
        <w:rPr>
          <w:sz w:val="28"/>
        </w:rPr>
      </w:pPr>
      <w:r>
        <w:rPr>
          <w:rFonts w:ascii="Arial" w:hAnsi="Arial" w:cs="Arial"/>
          <w:sz w:val="28"/>
          <w:sz w:val="28"/>
          <w:rtl w:val="true"/>
        </w:rPr>
        <w:t>הצדדים הגיעו להסדר טיעון במסגרתו תוקן כתב האישום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וסוכם כי הנאשם יופנה לשירות המבחן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ואם יתקבל תסקיר חיובי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תגביל עצמה התביעה לעונש של מאסר שירוצה בעבודות שירות</w:t>
      </w:r>
      <w:r>
        <w:rPr>
          <w:rFonts w:cs="Arial" w:ascii="Arial" w:hAnsi="Arial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0"/>
        <w:ind w:hanging="360" w:start="720" w:end="0"/>
        <w:jc w:val="both"/>
        <w:rPr>
          <w:sz w:val="28"/>
        </w:rPr>
      </w:pPr>
      <w:r>
        <w:rPr>
          <w:rFonts w:ascii="Arial" w:hAnsi="Arial" w:cs="Arial"/>
          <w:sz w:val="28"/>
          <w:sz w:val="28"/>
          <w:rtl w:val="true"/>
        </w:rPr>
        <w:t>שירות המבחן לא הגיש תסקיר בעניינו של הנאשם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בשל קשיי תקשורת בין הצדדים</w:t>
      </w:r>
      <w:r>
        <w:rPr>
          <w:rFonts w:cs="Arial" w:ascii="Arial" w:hAnsi="Arial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0"/>
        <w:ind w:hanging="360" w:start="720" w:end="0"/>
        <w:jc w:val="both"/>
        <w:rPr>
          <w:sz w:val="28"/>
        </w:rPr>
      </w:pPr>
      <w:r>
        <w:rPr>
          <w:rFonts w:ascii="Arial" w:hAnsi="Arial" w:cs="Arial"/>
          <w:sz w:val="28"/>
          <w:sz w:val="28"/>
          <w:rtl w:val="true"/>
        </w:rPr>
        <w:t>הנאשם הופנה לממונה על עבודות שירות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אולם נקבע כי נוכח מצבו הרפואי אין הוא כשיר לבצע עבודות שירות</w:t>
      </w:r>
      <w:r>
        <w:rPr>
          <w:rFonts w:cs="Arial" w:ascii="Arial" w:hAnsi="Arial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0"/>
        <w:ind w:hanging="360" w:start="720" w:end="0"/>
        <w:jc w:val="both"/>
        <w:rPr>
          <w:sz w:val="28"/>
        </w:rPr>
      </w:pPr>
      <w:r>
        <w:rPr>
          <w:rFonts w:ascii="Arial" w:hAnsi="Arial" w:cs="Arial"/>
          <w:sz w:val="28"/>
          <w:sz w:val="28"/>
          <w:rtl w:val="true"/>
        </w:rPr>
        <w:t>ב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כ המאשימה עותר להשית על הנאשם עונש של מאסר בפועל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ולו לתקופה קצרה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וזאת נוכח חומרת העבירה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ונסיבותיה והצורך בהרתעת הנאשם והציבור</w:t>
      </w:r>
      <w:r>
        <w:rPr>
          <w:rFonts w:cs="Arial" w:ascii="Arial" w:hAnsi="Arial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0"/>
        <w:ind w:hanging="360" w:start="720" w:end="0"/>
        <w:jc w:val="both"/>
        <w:rPr>
          <w:sz w:val="28"/>
        </w:rPr>
      </w:pPr>
      <w:r>
        <w:rPr>
          <w:rFonts w:ascii="Arial" w:hAnsi="Arial" w:cs="Arial"/>
          <w:sz w:val="28"/>
          <w:sz w:val="28"/>
          <w:rtl w:val="true"/>
        </w:rPr>
        <w:t>ב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כ הנאשם עותר להסתתפק בעונש מותנה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ומפנה לעברו הנקי של הנאשם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לגילו המתקדם </w:t>
      </w:r>
      <w:r>
        <w:rPr>
          <w:rFonts w:cs="Arial" w:ascii="Arial" w:hAnsi="Arial"/>
          <w:sz w:val="28"/>
          <w:rtl w:val="true"/>
        </w:rPr>
        <w:t>(</w:t>
      </w:r>
      <w:r>
        <w:rPr>
          <w:rFonts w:cs="Arial" w:ascii="Arial" w:hAnsi="Arial"/>
          <w:sz w:val="28"/>
        </w:rPr>
        <w:t>70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שנה</w:t>
      </w:r>
      <w:r>
        <w:rPr>
          <w:rFonts w:cs="Arial" w:ascii="Arial" w:hAnsi="Arial"/>
          <w:sz w:val="28"/>
          <w:rtl w:val="true"/>
        </w:rPr>
        <w:t xml:space="preserve">), </w:t>
      </w:r>
      <w:r>
        <w:rPr>
          <w:rFonts w:ascii="Arial" w:hAnsi="Arial" w:cs="Arial"/>
          <w:sz w:val="28"/>
          <w:sz w:val="28"/>
          <w:rtl w:val="true"/>
        </w:rPr>
        <w:t>למעצר הבית הארוך בו שהה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ולהרחקה הארוכה מביתו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וכן למצבו הבריאותי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בגינו אין הוא כשיר לבצע עבודות שירות</w:t>
      </w:r>
      <w:r>
        <w:rPr>
          <w:rFonts w:cs="Arial" w:ascii="Arial" w:hAnsi="Arial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0"/>
        <w:ind w:hanging="360" w:start="720" w:end="0"/>
        <w:jc w:val="both"/>
        <w:rPr>
          <w:sz w:val="28"/>
        </w:rPr>
      </w:pPr>
      <w:r>
        <w:rPr>
          <w:rFonts w:ascii="Arial" w:hAnsi="Arial" w:cs="Arial"/>
          <w:sz w:val="28"/>
          <w:sz w:val="28"/>
          <w:rtl w:val="true"/>
        </w:rPr>
        <w:t>המתלוננת עתרה אף היא שלא להחמיר עם הנאשם ולא להשית עליו עונש של מאסר בפועל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לדבריה הנאשם הפסיק לשתות לשכרה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והתנהגותו עתה תקינה</w:t>
      </w:r>
      <w:r>
        <w:rPr>
          <w:rFonts w:cs="Arial" w:ascii="Arial" w:hAnsi="Arial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0"/>
        <w:ind w:hanging="360" w:start="720" w:end="0"/>
        <w:jc w:val="both"/>
        <w:rPr>
          <w:sz w:val="28"/>
        </w:rPr>
      </w:pPr>
      <w:r>
        <w:rPr>
          <w:rFonts w:ascii="Arial" w:hAnsi="Arial" w:cs="Arial"/>
          <w:sz w:val="28"/>
          <w:sz w:val="28"/>
          <w:rtl w:val="true"/>
        </w:rPr>
        <w:t>אודה כי התלבטתי רבות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שכן אני סבורה כי העבירה בה הורשע הנאשם חמורה ביותר בנסיבותיה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שכן הנאשם ביצע את האיום באמצעות סכין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והמתלוננת נאלצה לברוח מפניו ולהסתגר בשירותים</w:t>
      </w:r>
      <w:r>
        <w:rPr>
          <w:rFonts w:cs="Arial" w:ascii="Arial" w:hAnsi="Arial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0"/>
        <w:ind w:hanging="360" w:start="720" w:end="0"/>
        <w:jc w:val="both"/>
        <w:rPr>
          <w:sz w:val="28"/>
        </w:rPr>
      </w:pPr>
      <w:r>
        <w:rPr>
          <w:rFonts w:ascii="Arial" w:hAnsi="Arial" w:cs="Arial"/>
          <w:sz w:val="28"/>
          <w:sz w:val="28"/>
          <w:rtl w:val="true"/>
        </w:rPr>
        <w:t>העונש הראוי לכך היה מאסר בפועל</w:t>
      </w:r>
      <w:r>
        <w:rPr>
          <w:rFonts w:cs="Arial" w:ascii="Arial" w:hAnsi="Arial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280"/>
        <w:ind w:hanging="360" w:start="720" w:end="0"/>
        <w:jc w:val="both"/>
        <w:rPr>
          <w:sz w:val="28"/>
        </w:rPr>
      </w:pPr>
      <w:r>
        <w:rPr>
          <w:rFonts w:ascii="Arial" w:hAnsi="Arial" w:cs="Arial"/>
          <w:sz w:val="28"/>
          <w:sz w:val="28"/>
          <w:rtl w:val="true"/>
        </w:rPr>
        <w:t>יחד עם זאת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הנאשם אינו מסוגל לרצות מאסר בעבודות שירות בגין מצבו הבריאותי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משמע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שבשל נסיבה שאינה תלויה בו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יאלץ לרצות עונש של מאסר בפועל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הבאתי בחשבון שיקולי גם את עמדת המתלוננת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ובמיוחד את עובדת היות זה אירוע האלימות הראשון בו מורשע הנאשם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ותקוותי היא כי המעצר הקצר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ומעצר הבית הארוך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וההרחקה הארוכה מביתו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לימדו את הנאשם לקח</w:t>
      </w:r>
      <w:r>
        <w:rPr>
          <w:rFonts w:cs="Arial" w:ascii="Arial" w:hAnsi="Arial"/>
          <w:sz w:val="28"/>
          <w:rtl w:val="true"/>
        </w:rPr>
        <w:t xml:space="preserve">,  </w:t>
      </w:r>
      <w:r>
        <w:rPr>
          <w:rFonts w:ascii="Arial" w:hAnsi="Arial" w:cs="Arial"/>
          <w:sz w:val="28"/>
          <w:sz w:val="28"/>
          <w:rtl w:val="true"/>
        </w:rPr>
        <w:t>והוא לא יחזור על מעשיו הרעים</w:t>
      </w:r>
      <w:r>
        <w:rPr>
          <w:rFonts w:cs="Arial" w:ascii="Arial" w:hAnsi="Arial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spacing w:before="280" w:after="28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before="280" w:after="28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before="280" w:after="28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numPr>
          <w:ilvl w:val="0"/>
          <w:numId w:val="4"/>
        </w:numPr>
        <w:spacing w:before="0" w:after="280"/>
        <w:ind w:hanging="360" w:start="720" w:end="0"/>
        <w:jc w:val="both"/>
        <w:rPr>
          <w:sz w:val="28"/>
        </w:rPr>
      </w:pPr>
      <w:r>
        <w:rPr>
          <w:rFonts w:ascii="Arial" w:hAnsi="Arial" w:cs="Arial"/>
          <w:sz w:val="28"/>
          <w:sz w:val="28"/>
          <w:rtl w:val="true"/>
        </w:rPr>
        <w:t xml:space="preserve">אשר על כן אני גוזרת על הנאשם עונש של שלושה חודשי מאסר על תנאי שלא יעבור תוך </w:t>
      </w:r>
      <w:r>
        <w:rPr>
          <w:rFonts w:cs="Arial" w:ascii="Arial" w:hAnsi="Arial"/>
          <w:sz w:val="28"/>
        </w:rPr>
        <w:t>3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שנים מהיום עבירה בה הורשע בתיק זה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או כל עבירת אלימות</w:t>
      </w:r>
      <w:r>
        <w:rPr>
          <w:rFonts w:cs="Arial" w:ascii="Arial" w:hAnsi="Arial"/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6"/>
          <w:sz w:val="26"/>
          <w:rtl w:val="true"/>
        </w:rPr>
        <w:t>המוצג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יושמד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בכפוף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לחלוף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הערעור</w:t>
      </w:r>
      <w:r>
        <w:rPr>
          <w:sz w:val="26"/>
          <w:rtl w:val="true"/>
        </w:rPr>
        <w:t xml:space="preserve">,  </w:t>
      </w:r>
      <w:r>
        <w:rPr>
          <w:sz w:val="26"/>
          <w:sz w:val="26"/>
          <w:rtl w:val="true"/>
        </w:rPr>
        <w:t>ואם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להחלטה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6"/>
        </w:rPr>
      </w:pPr>
      <w:r>
        <w:rPr>
          <w:b/>
          <w:b/>
          <w:bCs/>
          <w:color w:val="000000"/>
          <w:sz w:val="26"/>
          <w:sz w:val="26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כ</w:t>
      </w:r>
      <w:r>
        <w:rPr>
          <w:b/>
          <w:bCs/>
          <w:color w:val="000000"/>
          <w:sz w:val="26"/>
          <w:rtl w:val="true"/>
        </w:rPr>
        <w:t>"</w:t>
      </w:r>
      <w:r>
        <w:rPr>
          <w:b/>
          <w:b/>
          <w:bCs/>
          <w:color w:val="000000"/>
          <w:sz w:val="26"/>
          <w:sz w:val="26"/>
          <w:rtl w:val="true"/>
        </w:rPr>
        <w:t>א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בשבט</w:t>
      </w:r>
      <w:r>
        <w:rPr>
          <w:b/>
          <w:bCs/>
          <w:color w:val="000000"/>
          <w:sz w:val="26"/>
          <w:rtl w:val="true"/>
        </w:rPr>
        <w:t xml:space="preserve">, </w:t>
      </w:r>
      <w:r>
        <w:rPr>
          <w:b/>
          <w:b/>
          <w:bCs/>
          <w:color w:val="000000"/>
          <w:sz w:val="26"/>
          <w:sz w:val="26"/>
          <w:rtl w:val="true"/>
        </w:rPr>
        <w:t>תשס</w:t>
      </w:r>
      <w:r>
        <w:rPr>
          <w:b/>
          <w:bCs/>
          <w:color w:val="000000"/>
          <w:sz w:val="26"/>
          <w:rtl w:val="true"/>
        </w:rPr>
        <w:t>"</w:t>
      </w:r>
      <w:r>
        <w:rPr>
          <w:b/>
          <w:b/>
          <w:bCs/>
          <w:color w:val="000000"/>
          <w:sz w:val="26"/>
          <w:sz w:val="26"/>
          <w:rtl w:val="true"/>
        </w:rPr>
        <w:t>ו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Cs/>
          <w:color w:val="000000"/>
          <w:sz w:val="26"/>
          <w:rtl w:val="true"/>
        </w:rPr>
        <w:t>(</w:t>
      </w:r>
      <w:r>
        <w:rPr>
          <w:b/>
          <w:bCs/>
          <w:color w:val="000000"/>
          <w:sz w:val="26"/>
        </w:rPr>
        <w:t>19</w:t>
      </w:r>
      <w:r>
        <w:rPr>
          <w:b/>
          <w:bCs/>
          <w:color w:val="000000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בפברואר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Cs/>
          <w:color w:val="000000"/>
          <w:sz w:val="26"/>
        </w:rPr>
        <w:t>2006</w:t>
      </w:r>
      <w:r>
        <w:rPr>
          <w:b/>
          <w:bCs/>
          <w:color w:val="000000"/>
          <w:sz w:val="26"/>
          <w:rtl w:val="true"/>
        </w:rPr>
        <w:t xml:space="preserve">) </w:t>
      </w:r>
      <w:r>
        <w:rPr>
          <w:b/>
          <w:b/>
          <w:bCs/>
          <w:color w:val="000000"/>
          <w:sz w:val="26"/>
          <w:sz w:val="26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</w:rPr>
        <w:t>הצדדים</w:t>
      </w:r>
      <w:r>
        <w:rPr>
          <w:b/>
          <w:bCs/>
          <w:color w:val="000000"/>
          <w:sz w:val="26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טלי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חיימוביץ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54678313-1022/04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6"/>
          <w:szCs w:val="22"/>
        </w:rPr>
      </w:pPr>
      <w:r>
        <w:rPr>
          <w:rFonts w:cs="David"/>
          <w:b/>
          <w:bCs/>
          <w:color w:val="000000"/>
          <w:sz w:val="26"/>
          <w:szCs w:val="22"/>
          <w:rtl w:val="true"/>
        </w:rPr>
      </w:r>
    </w:p>
    <w:tbl>
      <w:tblPr>
        <w:tblW w:w="236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חיימוביץ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  <w:sz w:val="26"/>
        </w:rPr>
      </w:pPr>
      <w:r>
        <w:rPr>
          <w:b/>
          <w:bCs/>
          <w:color w:val="FF0000"/>
          <w:sz w:val="26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001022/04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140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/Users/liorb/Downloads/study2025-p2/s04001022-372.doc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1022/04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איבגי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Style16">
    <w:name w:val="תשובה"/>
    <w:basedOn w:val="Normal"/>
    <w:next w:val="Style17"/>
    <w:qFormat/>
    <w:pPr>
      <w:numPr>
        <w:ilvl w:val="0"/>
        <w:numId w:val="3"/>
      </w:numPr>
      <w:ind w:hanging="0" w:start="720" w:end="0"/>
      <w:jc w:val="both"/>
    </w:pPr>
    <w:rPr/>
  </w:style>
  <w:style w:type="paragraph" w:styleId="Style17">
    <w:name w:val="שאלה"/>
    <w:basedOn w:val="Normal"/>
    <w:next w:val="Style16"/>
    <w:qFormat/>
    <w:pPr>
      <w:numPr>
        <w:ilvl w:val="0"/>
        <w:numId w:val="2"/>
      </w:numPr>
      <w:ind w:hanging="0" w:start="720" w:end="0"/>
      <w:jc w:val="both"/>
    </w:pPr>
    <w:rPr>
      <w:bCs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2006-02-22T08:23:00Z</dcterms:created>
  <dc:creator> </dc:creator>
  <dc:description/>
  <dc:language>en-IL</dc:language>
  <cp:lastModifiedBy>eli</cp:lastModifiedBy>
  <dcterms:modified xsi:type="dcterms:W3CDTF">2006-02-22T09:10:00Z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אלי איבגי</vt:lpwstr>
  </property>
  <property fmtid="{D5CDD505-2E9C-101B-9397-08002B2CF9AE}" pid="4" name="CITY">
    <vt:lpwstr>ק"ג</vt:lpwstr>
  </property>
  <property fmtid="{D5CDD505-2E9C-101B-9397-08002B2CF9AE}" pid="5" name="DATE">
    <vt:lpwstr>20060219</vt:lpwstr>
  </property>
  <property fmtid="{D5CDD505-2E9C-101B-9397-08002B2CF9AE}" pid="6" name="ISABSTRACT">
    <vt:lpwstr>Y</vt:lpwstr>
  </property>
  <property fmtid="{D5CDD505-2E9C-101B-9397-08002B2CF9AE}" pid="7" name="JUDGE">
    <vt:lpwstr>טלי חיימוביץ</vt:lpwstr>
  </property>
  <property fmtid="{D5CDD505-2E9C-101B-9397-08002B2CF9AE}" pid="8" name="LAWYER">
    <vt:lpwstr>יריב יקותיאלי;רחמים אייל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1022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