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Cs/>
              </w:rPr>
              <w:t>175/08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11/09/2008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שם_א"/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שם_ב"/>
            <w:r>
              <w:rPr>
                <w:b/>
                <w:b/>
                <w:bCs/>
                <w:rtl w:val="true"/>
              </w:rPr>
              <w:t>חודיפה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איברהים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חמאדה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bookmarkEnd w:id="3"/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הרבסט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קוואסמי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מתורגמנית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הייא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עאבסי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</w:p>
    <w:p>
      <w:pPr>
        <w:pStyle w:val="Heading"/>
        <w:ind w:end="0"/>
        <w:jc w:val="center"/>
        <w:rPr>
          <w:sz w:val="38"/>
          <w:szCs w:val="36"/>
          <w:u w:val="none"/>
        </w:rPr>
      </w:pPr>
      <w:r>
        <w:rPr>
          <w:sz w:val="38"/>
          <w:szCs w:val="36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8"/>
          <w:szCs w:val="36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rFonts w:ascii="Arial" w:hAnsi="Arial" w:cs="Arial"/>
          <w:b/>
          <w:b/>
          <w:bCs/>
          <w:sz w:val="38"/>
          <w:sz w:val="38"/>
          <w:szCs w:val="36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36"/>
          <w:u w:val="single"/>
        </w:rPr>
      </w:pPr>
      <w:r>
        <w:rPr>
          <w:rFonts w:cs="Arial" w:ascii="Arial" w:hAnsi="Arial"/>
          <w:b/>
          <w:bCs/>
          <w:sz w:val="26"/>
          <w:szCs w:val="3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Subtitle"/>
        <w:ind w:end="0"/>
        <w:jc w:val="both"/>
        <w:rPr/>
      </w:pPr>
      <w:r>
        <w:rPr>
          <w:rtl w:val="true"/>
        </w:rPr>
        <w:t>רקע</w:t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bookmarkStart w:id="15" w:name="ABSTRACT_START"/>
      <w:bookmarkEnd w:id="15"/>
      <w:r>
        <w:rPr>
          <w:rtl w:val="true"/>
        </w:rPr>
        <w:t xml:space="preserve">במסגרת הסדר טיעון הודה הנאשם בכתב אישום מתוקן והורשע בעבירות של נשיאת נשק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 </w:t>
      </w:r>
      <w:r>
        <w:rPr>
          <w:rtl w:val="true"/>
        </w:rPr>
        <w:t xml:space="preserve">וניסיון לחבלה במזיד ברכב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בצירוף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 העונשין</w:t>
      </w:r>
      <w:r>
        <w:rPr>
          <w:color w:val="000000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 היה הסדר בין הצדדים לעניין העונש</w:t>
      </w:r>
      <w:r>
        <w:rPr>
          <w:rtl w:val="true"/>
        </w:rPr>
        <w:t>.</w:t>
      </w:r>
      <w:bookmarkStart w:id="16" w:name="ABSTRACT_END"/>
      <w:bookmarkEnd w:id="16"/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על 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במועד כלשהו בשנת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קיבל הנאשם לידיו רימון יד מאדם ושמו עבדאללה עפאנה</w:t>
      </w:r>
      <w:r>
        <w:rPr>
          <w:rtl w:val="true"/>
        </w:rPr>
        <w:t xml:space="preserve">, </w:t>
      </w:r>
      <w:r>
        <w:rPr>
          <w:rtl w:val="true"/>
        </w:rPr>
        <w:t>והלה ביקש שיעבירנו לחברו ג</w:t>
      </w:r>
      <w:r>
        <w:rPr>
          <w:rtl w:val="true"/>
        </w:rPr>
        <w:t>'</w:t>
      </w:r>
      <w:r>
        <w:rPr>
          <w:rtl w:val="true"/>
        </w:rPr>
        <w:t>יהאד עאטון</w:t>
      </w:r>
      <w:r>
        <w:rPr>
          <w:rtl w:val="true"/>
        </w:rPr>
        <w:t xml:space="preserve">. </w:t>
      </w:r>
      <w:r>
        <w:rPr>
          <w:rtl w:val="true"/>
        </w:rPr>
        <w:t>הנאשם נענה לבקשה</w:t>
      </w:r>
      <w:r>
        <w:rPr>
          <w:rtl w:val="true"/>
        </w:rPr>
        <w:t xml:space="preserve">, </w:t>
      </w:r>
      <w:r>
        <w:rPr>
          <w:rtl w:val="true"/>
        </w:rPr>
        <w:t>נטל את הרימון ומסר את הרימון 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  <w:r>
        <w:rPr>
          <w:rtl w:val="true"/>
        </w:rPr>
        <w:t>באותו יום שב ופנה אליו 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וביקש ממנו שיקח את הרימון מביתו</w:t>
      </w:r>
      <w:r>
        <w:rPr>
          <w:rtl w:val="true"/>
        </w:rPr>
        <w:t xml:space="preserve">. </w:t>
      </w:r>
      <w:r>
        <w:rPr>
          <w:rtl w:val="true"/>
        </w:rPr>
        <w:t>הנאשם הגיע אליו</w:t>
      </w:r>
      <w:r>
        <w:rPr>
          <w:rtl w:val="true"/>
        </w:rPr>
        <w:t xml:space="preserve">, </w:t>
      </w:r>
      <w:r>
        <w:rPr>
          <w:rtl w:val="true"/>
        </w:rPr>
        <w:t>וקיבל לידיו את הרימון כשהוא מוסלק בקופסת ביסקוויטים</w:t>
      </w:r>
      <w:r>
        <w:rPr>
          <w:rtl w:val="true"/>
        </w:rPr>
        <w:t xml:space="preserve">. </w:t>
      </w:r>
      <w:r>
        <w:rPr>
          <w:rtl w:val="true"/>
        </w:rPr>
        <w:t>הנאשם נשא את הרימון למערה הנמצאת בשכונה בה הוא מתגורר</w:t>
      </w:r>
      <w:r>
        <w:rPr>
          <w:rtl w:val="true"/>
        </w:rPr>
        <w:t xml:space="preserve">, </w:t>
      </w:r>
      <w:r>
        <w:rPr>
          <w:rtl w:val="true"/>
        </w:rPr>
        <w:t>והחביא בה את הרימון</w:t>
      </w:r>
      <w:r>
        <w:rPr>
          <w:rtl w:val="true"/>
        </w:rPr>
        <w:t xml:space="preserve">. </w:t>
      </w:r>
      <w:r>
        <w:rPr>
          <w:rtl w:val="true"/>
        </w:rPr>
        <w:t>כעבור יומיים הלך הנאשם לביתו של סעיד עמירה כשהוא נושא את הרימון</w:t>
      </w:r>
      <w:r>
        <w:rPr>
          <w:rtl w:val="true"/>
        </w:rPr>
        <w:t xml:space="preserve">, </w:t>
      </w:r>
      <w:r>
        <w:rPr>
          <w:rtl w:val="true"/>
        </w:rPr>
        <w:t>ומסר לו אותו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על פי עובדות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כלשהו בחודש אוגוסט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פגש הנאשם את חברו השאם חמאדה</w:t>
      </w:r>
      <w:r>
        <w:rPr>
          <w:rtl w:val="true"/>
        </w:rPr>
        <w:t xml:space="preserve">, </w:t>
      </w:r>
      <w:r>
        <w:rPr>
          <w:rtl w:val="true"/>
        </w:rPr>
        <w:t>במגרש בשכונת ארמון הנציב</w:t>
      </w:r>
      <w:r>
        <w:rPr>
          <w:rtl w:val="true"/>
        </w:rPr>
        <w:t xml:space="preserve">. </w:t>
      </w:r>
      <w:r>
        <w:rPr>
          <w:rtl w:val="true"/>
        </w:rPr>
        <w:t>הם הלכו לביתם שבצור באחר</w:t>
      </w:r>
      <w:r>
        <w:rPr>
          <w:rtl w:val="true"/>
        </w:rPr>
        <w:t xml:space="preserve">, </w:t>
      </w:r>
      <w:r>
        <w:rPr>
          <w:rtl w:val="true"/>
        </w:rPr>
        <w:t>והנאשם הציע לחברו להצית רכב שחנה בסמוך</w:t>
      </w:r>
      <w:r>
        <w:rPr>
          <w:rtl w:val="true"/>
        </w:rPr>
        <w:t xml:space="preserve">. </w:t>
      </w:r>
      <w:r>
        <w:rPr>
          <w:rtl w:val="true"/>
        </w:rPr>
        <w:t>השניים נגשו לרכב שחנה ברח</w:t>
      </w:r>
      <w:r>
        <w:rPr>
          <w:rtl w:val="true"/>
        </w:rPr>
        <w:t xml:space="preserve">' </w:t>
      </w:r>
      <w:r>
        <w:rPr>
          <w:rtl w:val="true"/>
        </w:rPr>
        <w:t>פיינשטיין</w:t>
      </w:r>
      <w:r>
        <w:rPr>
          <w:rtl w:val="true"/>
        </w:rPr>
        <w:t xml:space="preserve">, </w:t>
      </w:r>
      <w:r>
        <w:rPr>
          <w:rtl w:val="true"/>
        </w:rPr>
        <w:t>הנאשם הצית נייר עיתון שמצא והניח אותו מתחת לאחד מגלגלי הרכב</w:t>
      </w:r>
      <w:r>
        <w:rPr>
          <w:rtl w:val="true"/>
        </w:rPr>
        <w:t xml:space="preserve">. </w:t>
      </w:r>
      <w:r>
        <w:rPr>
          <w:rtl w:val="true"/>
        </w:rPr>
        <w:t>לאחר מכן ברחו השניים מן המקום</w:t>
      </w:r>
      <w:r>
        <w:rPr>
          <w:rtl w:val="true"/>
        </w:rPr>
        <w:t xml:space="preserve">. </w:t>
      </w:r>
    </w:p>
    <w:p>
      <w:pPr>
        <w:pStyle w:val="BodyText"/>
        <w:ind w:start="360" w:end="36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u w:val="single"/>
          <w:rtl w:val="true"/>
        </w:rPr>
        <w:t>טיעוני הצדדים</w:t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עמדה בטיעוניה על כך שהנאשם גילה פעילות ממשית בהעברת הרימון</w:t>
      </w:r>
      <w:r>
        <w:rPr>
          <w:rtl w:val="true"/>
        </w:rPr>
        <w:t xml:space="preserve">. </w:t>
      </w:r>
      <w:r>
        <w:rPr>
          <w:rtl w:val="true"/>
        </w:rPr>
        <w:t>אין המדובר בשליח שנתבקש להעביר את הרימון מיד ליד</w:t>
      </w:r>
      <w:r>
        <w:rPr>
          <w:rtl w:val="true"/>
        </w:rPr>
        <w:t xml:space="preserve">. </w:t>
      </w:r>
      <w:r>
        <w:rPr>
          <w:rtl w:val="true"/>
        </w:rPr>
        <w:t>הוא נשא את הרימון פעמים מספר</w:t>
      </w:r>
      <w:r>
        <w:rPr>
          <w:rtl w:val="true"/>
        </w:rPr>
        <w:t xml:space="preserve">, </w:t>
      </w:r>
      <w:r>
        <w:rPr>
          <w:rtl w:val="true"/>
        </w:rPr>
        <w:t xml:space="preserve">עד שנמצא לו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 xml:space="preserve">". </w:t>
      </w:r>
      <w:r>
        <w:rPr>
          <w:rtl w:val="true"/>
        </w:rPr>
        <w:t>העבירה ונסיבותיה מעידות על אופיה הבטחוני</w:t>
      </w:r>
      <w:r>
        <w:rPr>
          <w:rtl w:val="true"/>
        </w:rPr>
        <w:t xml:space="preserve">, </w:t>
      </w:r>
      <w:r>
        <w:rPr>
          <w:rtl w:val="true"/>
        </w:rPr>
        <w:t>והנאשם היה מודע לפוטנציאל הקטלני של הרימון</w:t>
      </w:r>
      <w:r>
        <w:rPr>
          <w:rtl w:val="true"/>
        </w:rPr>
        <w:t xml:space="preserve">. </w:t>
      </w:r>
      <w:r>
        <w:rPr>
          <w:rtl w:val="true"/>
        </w:rPr>
        <w:t>אלא שבכך לא הסתכמו מעשי הנאשם</w:t>
      </w:r>
      <w:r>
        <w:rPr>
          <w:rtl w:val="true"/>
        </w:rPr>
        <w:t xml:space="preserve">, </w:t>
      </w:r>
      <w:r>
        <w:rPr>
          <w:rtl w:val="true"/>
        </w:rPr>
        <w:t>ועל פי העובדות נשוא האישום השני</w:t>
      </w:r>
      <w:r>
        <w:rPr>
          <w:rtl w:val="true"/>
        </w:rPr>
        <w:t xml:space="preserve">, </w:t>
      </w:r>
      <w:r>
        <w:rPr>
          <w:rtl w:val="true"/>
        </w:rPr>
        <w:t>ביקש לפגוע פגיעה סתמית ברכב של יהודי</w:t>
      </w:r>
      <w:r>
        <w:rPr>
          <w:rtl w:val="true"/>
        </w:rPr>
        <w:t xml:space="preserve">, </w:t>
      </w:r>
      <w:r>
        <w:rPr>
          <w:rtl w:val="true"/>
        </w:rPr>
        <w:t>שחנה בשכונת ארמון הנציב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הזמן שחלף אינו מקהה את חומרתן של העבירות המתוארות לעיל</w:t>
      </w:r>
      <w:r>
        <w:rPr>
          <w:rtl w:val="true"/>
        </w:rPr>
        <w:t xml:space="preserve">, </w:t>
      </w:r>
      <w:r>
        <w:rPr>
          <w:rtl w:val="true"/>
        </w:rPr>
        <w:t>ואין בתסקיר המבחן כדי ללמד שהנאשם נוטל אחריות על מעשיו</w:t>
      </w:r>
      <w:r>
        <w:rPr>
          <w:rtl w:val="true"/>
        </w:rPr>
        <w:t xml:space="preserve">. </w:t>
      </w:r>
    </w:p>
    <w:p>
      <w:pPr>
        <w:pStyle w:val="BodyText"/>
        <w:ind w:start="360" w:end="36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על כך שהנאשם שוהה במעצר זה חמישה חודשים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המדובר באדם צעיר מאוד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 xml:space="preserve">שבעת ביצוע עבירת הנשק היה כבן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לנאשם אין עבר פלילי</w:t>
      </w:r>
      <w:r>
        <w:rPr>
          <w:rtl w:val="true"/>
        </w:rPr>
        <w:t xml:space="preserve">. </w:t>
      </w:r>
      <w:r>
        <w:rPr>
          <w:rtl w:val="true"/>
        </w:rPr>
        <w:t>מנסיבות ביצוע העבירה עולה כי הנאשם לא יזם את קבלת הרימון לידיו</w:t>
      </w:r>
      <w:r>
        <w:rPr>
          <w:rtl w:val="true"/>
        </w:rPr>
        <w:t xml:space="preserve">, </w:t>
      </w:r>
      <w:r>
        <w:rPr>
          <w:rtl w:val="true"/>
        </w:rPr>
        <w:t>והוא הגיע אליו לבקשת אחרים</w:t>
      </w:r>
      <w:r>
        <w:rPr>
          <w:rtl w:val="true"/>
        </w:rPr>
        <w:t xml:space="preserve">. </w:t>
      </w:r>
      <w:r>
        <w:rPr>
          <w:rtl w:val="true"/>
        </w:rPr>
        <w:t>המדובר בהחזקה זמנית שנמשכה כשבוע</w:t>
      </w:r>
      <w:r>
        <w:rPr>
          <w:rtl w:val="true"/>
        </w:rPr>
        <w:t xml:space="preserve">. </w:t>
      </w:r>
      <w:r>
        <w:rPr>
          <w:rtl w:val="true"/>
        </w:rPr>
        <w:t>עוד עמד ב</w:t>
      </w:r>
      <w:r>
        <w:rPr>
          <w:rtl w:val="true"/>
        </w:rPr>
        <w:t>"</w:t>
      </w:r>
      <w:r>
        <w:rPr>
          <w:rtl w:val="true"/>
        </w:rPr>
        <w:t>כ הנאשם על כך שנגד שניים מן המעורבים בפרשת הרימון</w:t>
      </w:r>
      <w:r>
        <w:rPr>
          <w:rtl w:val="true"/>
        </w:rPr>
        <w:t xml:space="preserve">, </w:t>
      </w:r>
      <w:r>
        <w:rPr>
          <w:rtl w:val="true"/>
        </w:rPr>
        <w:t>עבדאללה וג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שהם קטינים</w:t>
      </w:r>
      <w:r>
        <w:rPr>
          <w:rtl w:val="true"/>
        </w:rPr>
        <w:t xml:space="preserve">, </w:t>
      </w:r>
      <w:r>
        <w:rPr>
          <w:rtl w:val="true"/>
        </w:rPr>
        <w:t>טרם הוגש כתב אישום</w:t>
      </w:r>
      <w:r>
        <w:rPr>
          <w:rtl w:val="true"/>
        </w:rPr>
        <w:t xml:space="preserve">, </w:t>
      </w:r>
      <w:r>
        <w:rPr>
          <w:rtl w:val="true"/>
        </w:rPr>
        <w:t>והתביעה ממתינה לקבלת אישורו של היועץ המשפטי לממשלה</w:t>
      </w:r>
      <w:r>
        <w:rPr>
          <w:rtl w:val="true"/>
        </w:rPr>
        <w:t xml:space="preserve">, </w:t>
      </w:r>
      <w:r>
        <w:rPr>
          <w:rtl w:val="true"/>
        </w:rPr>
        <w:t xml:space="preserve">הנדרש בשל חלוף הזמן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 xml:space="preserve">חוק הנוער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שפיטה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ענישה ודרכי טיפול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סעיד עמירה</w:t>
      </w:r>
      <w:r>
        <w:rPr>
          <w:rtl w:val="true"/>
        </w:rPr>
        <w:t xml:space="preserve">, </w:t>
      </w:r>
      <w:r>
        <w:rPr>
          <w:rtl w:val="true"/>
        </w:rPr>
        <w:t>הוא אסיר בטחוני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לקבל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בשים לב לעובדה שהמדובר בעבירה שבוצעה לפני למעלה משנתיים</w:t>
      </w:r>
      <w:r>
        <w:rPr>
          <w:rtl w:val="true"/>
        </w:rPr>
        <w:t xml:space="preserve">, </w:t>
      </w:r>
      <w:r>
        <w:rPr>
          <w:rtl w:val="true"/>
        </w:rPr>
        <w:t>ואילו העבירה השנייה אין בה חומרה של ממש</w:t>
      </w:r>
      <w:r>
        <w:rPr>
          <w:rtl w:val="true"/>
        </w:rPr>
        <w:t xml:space="preserve">. </w:t>
      </w:r>
    </w:p>
    <w:p>
      <w:pPr>
        <w:pStyle w:val="BodyText"/>
        <w:ind w:start="360" w:end="36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u w:val="single"/>
          <w:rtl w:val="true"/>
        </w:rPr>
        <w:t>תסקיר המבחן</w:t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מן התסקיר עולה כי לנאשם אישיות חלשה ונגררת</w:t>
      </w:r>
      <w:r>
        <w:rPr>
          <w:rtl w:val="true"/>
        </w:rPr>
        <w:t xml:space="preserve">, </w:t>
      </w:r>
      <w:r>
        <w:rPr>
          <w:rtl w:val="true"/>
        </w:rPr>
        <w:t>המנסה לרצות את הסובבים אותו</w:t>
      </w:r>
      <w:r>
        <w:rPr>
          <w:rtl w:val="true"/>
        </w:rPr>
        <w:t xml:space="preserve">, </w:t>
      </w:r>
      <w:r>
        <w:rPr>
          <w:rtl w:val="true"/>
        </w:rPr>
        <w:t>וכי הוא מתקשה לגלות תובנה מלאה למהלך חייו</w:t>
      </w:r>
      <w:r>
        <w:rPr>
          <w:rtl w:val="true"/>
        </w:rPr>
        <w:t xml:space="preserve">. </w:t>
      </w:r>
      <w:r>
        <w:rPr>
          <w:rtl w:val="true"/>
        </w:rPr>
        <w:t>משפחתו נורמטיבית ומתפקדת</w:t>
      </w:r>
      <w:r>
        <w:rPr>
          <w:rtl w:val="true"/>
        </w:rPr>
        <w:t xml:space="preserve">. </w:t>
      </w:r>
      <w:r>
        <w:rPr>
          <w:rtl w:val="true"/>
        </w:rPr>
        <w:t>הנאשם היה בכיתה י</w:t>
      </w:r>
      <w:r>
        <w:rPr>
          <w:rtl w:val="true"/>
        </w:rPr>
        <w:t>"</w:t>
      </w:r>
      <w:r>
        <w:rPr>
          <w:rtl w:val="true"/>
        </w:rPr>
        <w:t>ב כשנעצר בגין מעורבותו בעבירות נשוא כתב האישום</w:t>
      </w:r>
      <w:r>
        <w:rPr>
          <w:rtl w:val="true"/>
        </w:rPr>
        <w:t xml:space="preserve">. </w:t>
      </w:r>
      <w:r>
        <w:rPr>
          <w:rtl w:val="true"/>
        </w:rPr>
        <w:t>לדברי קצינת המבחן</w:t>
      </w:r>
      <w:r>
        <w:rPr>
          <w:rtl w:val="true"/>
        </w:rPr>
        <w:t xml:space="preserve">, </w:t>
      </w:r>
      <w:r>
        <w:rPr>
          <w:rtl w:val="true"/>
        </w:rPr>
        <w:t>הנאשם נטל על עצמו אחריות חלקית לביצוע העבירות</w:t>
      </w:r>
      <w:r>
        <w:rPr>
          <w:rtl w:val="true"/>
        </w:rPr>
        <w:t xml:space="preserve">, </w:t>
      </w:r>
      <w:r>
        <w:rPr>
          <w:rtl w:val="true"/>
        </w:rPr>
        <w:t>תוך נטייה להפחית מחומרת מעשיו וכשהוא מתקשה לספק להם הסברים</w:t>
      </w:r>
      <w:r>
        <w:rPr>
          <w:rtl w:val="true"/>
        </w:rPr>
        <w:t xml:space="preserve">. </w:t>
      </w:r>
      <w:r>
        <w:rPr>
          <w:rtl w:val="true"/>
        </w:rPr>
        <w:t>שירות המבחן מתרשם כי לניהול ההליכים המשפטיים ולתקופת מעצרו הייתה השפעה אפקטיבית עליו</w:t>
      </w:r>
      <w:r>
        <w:rPr>
          <w:rtl w:val="true"/>
        </w:rPr>
        <w:t xml:space="preserve">, </w:t>
      </w:r>
      <w:r>
        <w:rPr>
          <w:rtl w:val="true"/>
        </w:rPr>
        <w:t>הן בחידוד גבולות המותר והאסור</w:t>
      </w:r>
      <w:r>
        <w:rPr>
          <w:rtl w:val="true"/>
        </w:rPr>
        <w:t xml:space="preserve">, </w:t>
      </w:r>
      <w:r>
        <w:rPr>
          <w:rtl w:val="true"/>
        </w:rPr>
        <w:t>והן בהרתעה מפני חזרה על מעשים דומים בעתיד</w:t>
      </w:r>
      <w:r>
        <w:rPr>
          <w:rtl w:val="true"/>
        </w:rPr>
        <w:t xml:space="preserve">. </w:t>
      </w:r>
      <w:r>
        <w:rPr>
          <w:rtl w:val="true"/>
        </w:rPr>
        <w:t>כדי לצמצם את ההשלכות השליליות של ישיבה ממושכת בכלא</w:t>
      </w:r>
      <w:r>
        <w:rPr>
          <w:rtl w:val="true"/>
        </w:rPr>
        <w:t xml:space="preserve">, </w:t>
      </w:r>
      <w:r>
        <w:rPr>
          <w:rtl w:val="true"/>
        </w:rPr>
        <w:t>מציע שירות המבחן כי תקופת המאסר שתגזר על הנאשם תהיה קצרה ככל הניתן</w:t>
      </w:r>
      <w:r>
        <w:rPr>
          <w:rtl w:val="true"/>
        </w:rPr>
        <w:t xml:space="preserve">. </w:t>
      </w:r>
    </w:p>
    <w:p>
      <w:pPr>
        <w:pStyle w:val="BodyText"/>
        <w:ind w:start="360" w:end="36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u w:val="single"/>
          <w:rtl w:val="true"/>
        </w:rPr>
        <w:t>דיון והכרעה</w:t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נשיאת רימון ממקום למקום לשם הסתרתו היא עבירה היוצרת סיכון לציבור</w:t>
      </w:r>
      <w:r>
        <w:rPr>
          <w:rtl w:val="true"/>
        </w:rPr>
        <w:t xml:space="preserve">, </w:t>
      </w:r>
      <w:r>
        <w:rPr>
          <w:rtl w:val="true"/>
        </w:rPr>
        <w:t>שכן רימון הוא נשק בעל פוטנציאל קטלני של ממש</w:t>
      </w:r>
      <w:r>
        <w:rPr>
          <w:rtl w:val="true"/>
        </w:rPr>
        <w:t xml:space="preserve">. </w:t>
      </w:r>
      <w:r>
        <w:rPr>
          <w:rtl w:val="true"/>
        </w:rPr>
        <w:t>הנאשם חזר על מעשה זה פעם אחר פעם</w:t>
      </w:r>
      <w:r>
        <w:rPr>
          <w:rtl w:val="true"/>
        </w:rPr>
        <w:t xml:space="preserve">, </w:t>
      </w:r>
      <w:r>
        <w:rPr>
          <w:rtl w:val="true"/>
        </w:rPr>
        <w:t>לבקשת חבריו</w:t>
      </w:r>
      <w:r>
        <w:rPr>
          <w:rtl w:val="true"/>
        </w:rPr>
        <w:t xml:space="preserve">. </w:t>
      </w:r>
      <w:r>
        <w:rPr>
          <w:rtl w:val="true"/>
        </w:rPr>
        <w:t>עובדות האישום השני</w:t>
      </w:r>
      <w:r>
        <w:rPr>
          <w:rtl w:val="true"/>
        </w:rPr>
        <w:t xml:space="preserve">, </w:t>
      </w:r>
      <w:r>
        <w:rPr>
          <w:rtl w:val="true"/>
        </w:rPr>
        <w:t>שעניינו ניסיון לחבלה במזיד בכלי רכב</w:t>
      </w:r>
      <w:r>
        <w:rPr>
          <w:rtl w:val="true"/>
        </w:rPr>
        <w:t xml:space="preserve">, </w:t>
      </w:r>
      <w:r>
        <w:rPr>
          <w:rtl w:val="true"/>
        </w:rPr>
        <w:t>צובעות את מעשיו של הנאשם ביתר שאת בצבעי עבריינות בעלת אופי בטחוני</w:t>
      </w:r>
      <w:r>
        <w:rPr>
          <w:rtl w:val="true"/>
        </w:rPr>
        <w:t xml:space="preserve">. </w:t>
      </w:r>
      <w:r>
        <w:rPr>
          <w:rtl w:val="true"/>
        </w:rPr>
        <w:t>נסיבות אלה מצדיקות ענישה במאסר בפועל</w:t>
      </w:r>
      <w:r>
        <w:rPr>
          <w:rtl w:val="true"/>
        </w:rPr>
        <w:t xml:space="preserve">, </w:t>
      </w:r>
      <w:r>
        <w:rPr>
          <w:rtl w:val="true"/>
        </w:rPr>
        <w:t>הן בשל חומרתן והן בשל הצורך להרתיע את הנאשם</w:t>
      </w:r>
      <w:r>
        <w:rPr>
          <w:rtl w:val="true"/>
        </w:rPr>
        <w:t xml:space="preserve">, </w:t>
      </w:r>
      <w:r>
        <w:rPr>
          <w:rtl w:val="true"/>
        </w:rPr>
        <w:t>וכך גם עבריינים פוטנציאלים</w:t>
      </w:r>
      <w:r>
        <w:rPr>
          <w:rtl w:val="true"/>
        </w:rPr>
        <w:t xml:space="preserve">, </w:t>
      </w:r>
      <w:r>
        <w:rPr>
          <w:rtl w:val="true"/>
        </w:rPr>
        <w:t>מפני חזרה על מעשים כאלה</w:t>
      </w:r>
      <w:r>
        <w:rPr>
          <w:rtl w:val="true"/>
        </w:rPr>
        <w:t xml:space="preserve">. </w:t>
      </w:r>
      <w:r>
        <w:rPr>
          <w:rtl w:val="true"/>
        </w:rPr>
        <w:t>כך באשר לנסיבות לחומרה</w:t>
      </w:r>
      <w:r>
        <w:rPr>
          <w:rtl w:val="true"/>
        </w:rPr>
        <w:t xml:space="preserve">. </w:t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אשר לנסיבות לקולא</w:t>
      </w:r>
      <w:r>
        <w:rPr>
          <w:rtl w:val="true"/>
        </w:rPr>
        <w:t xml:space="preserve">, </w:t>
      </w:r>
      <w:r>
        <w:rPr>
          <w:rtl w:val="true"/>
        </w:rPr>
        <w:t>אלה אינן מבוטלות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עבירת הנשק נעברה עת היה הנאשם קטין</w:t>
      </w:r>
      <w:r>
        <w:rPr>
          <w:rtl w:val="true"/>
        </w:rPr>
        <w:t xml:space="preserve">, </w:t>
      </w:r>
      <w:r>
        <w:rPr>
          <w:rtl w:val="true"/>
        </w:rPr>
        <w:t>וחלף זמן של ממש ממועד ביצועה</w:t>
      </w:r>
      <w:r>
        <w:rPr>
          <w:rtl w:val="true"/>
        </w:rPr>
        <w:t xml:space="preserve">. </w:t>
      </w:r>
      <w:r>
        <w:rPr>
          <w:rtl w:val="true"/>
        </w:rPr>
        <w:t>גם מעת ביצוע העבירה השנייה חלפה למעלה משנה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חבריו של הנאשם</w:t>
      </w:r>
      <w:r>
        <w:rPr>
          <w:rtl w:val="true"/>
        </w:rPr>
        <w:t xml:space="preserve">, </w:t>
      </w:r>
      <w:r>
        <w:rPr>
          <w:rtl w:val="true"/>
        </w:rPr>
        <w:t>אשר לפחות לפי עובדות כתב האישום היו פעילים הימנו</w:t>
      </w:r>
      <w:r>
        <w:rPr>
          <w:rtl w:val="true"/>
        </w:rPr>
        <w:t xml:space="preserve">, </w:t>
      </w:r>
      <w:r>
        <w:rPr>
          <w:rtl w:val="true"/>
        </w:rPr>
        <w:t>והוא פעל בשליחותם</w:t>
      </w:r>
      <w:r>
        <w:rPr>
          <w:rtl w:val="true"/>
        </w:rPr>
        <w:t xml:space="preserve">, </w:t>
      </w:r>
      <w:r>
        <w:rPr>
          <w:rtl w:val="true"/>
        </w:rPr>
        <w:t>טרם הועמדו לדין</w:t>
      </w:r>
      <w:r>
        <w:rPr>
          <w:rtl w:val="true"/>
        </w:rPr>
        <w:t xml:space="preserve">. </w:t>
      </w:r>
      <w:r>
        <w:rPr>
          <w:rtl w:val="true"/>
        </w:rPr>
        <w:t>לא ניתן לי הסבר של ממש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ודומה כי מעת שנעצר הנאשם </w:t>
      </w:r>
      <w:r>
        <w:rPr>
          <w:rtl w:val="true"/>
        </w:rPr>
        <w:t>(</w:t>
      </w:r>
      <w:r>
        <w:rPr>
          <w:rtl w:val="true"/>
        </w:rPr>
        <w:t>בתחילת חודש אפריל</w:t>
      </w:r>
      <w:r>
        <w:rPr>
          <w:rtl w:val="true"/>
        </w:rPr>
        <w:t xml:space="preserve">),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מעת שנחשפה הפרשה</w:t>
      </w:r>
      <w:r>
        <w:rPr>
          <w:rtl w:val="true"/>
        </w:rPr>
        <w:t xml:space="preserve">, </w:t>
      </w:r>
      <w:r>
        <w:rPr>
          <w:rtl w:val="true"/>
        </w:rPr>
        <w:t>היה זמן די והותר כדי לקבל את האישור הנדרש לשם העמדתם לדין של השותפים</w:t>
      </w:r>
      <w:r>
        <w:rPr>
          <w:rtl w:val="true"/>
        </w:rPr>
        <w:t xml:space="preserve">.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שהוא אדם צעיר</w:t>
      </w:r>
      <w:r>
        <w:rPr>
          <w:rtl w:val="true"/>
        </w:rPr>
        <w:t xml:space="preserve">, </w:t>
      </w:r>
      <w:r>
        <w:rPr>
          <w:rtl w:val="true"/>
        </w:rPr>
        <w:t>אין עבר פלילי</w:t>
      </w:r>
      <w:r>
        <w:rPr>
          <w:rtl w:val="true"/>
        </w:rPr>
        <w:t xml:space="preserve">, </w:t>
      </w:r>
      <w:r>
        <w:rPr>
          <w:rtl w:val="true"/>
        </w:rPr>
        <w:t>ויש מקום להתחשב בעמדת שירות המבחן</w:t>
      </w:r>
      <w:r>
        <w:rPr>
          <w:rtl w:val="true"/>
        </w:rPr>
        <w:t xml:space="preserve">, </w:t>
      </w:r>
      <w:r>
        <w:rPr>
          <w:rtl w:val="true"/>
        </w:rPr>
        <w:t>החושש מפני חשיפה ממושכת לנורמות עברייניות בכלא</w:t>
      </w:r>
      <w:r>
        <w:rPr>
          <w:rtl w:val="true"/>
        </w:rPr>
        <w:t>.</w:t>
      </w:r>
    </w:p>
    <w:p>
      <w:pPr>
        <w:pStyle w:val="BodyText"/>
        <w:ind w:start="360" w:end="36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720"/>
        <w:jc w:val="both"/>
        <w:rPr/>
      </w:pPr>
      <w:r>
        <w:rPr>
          <w:rtl w:val="true"/>
        </w:rPr>
        <w:t>בשוקלי את כל אלה</w:t>
      </w:r>
      <w:r>
        <w:rPr>
          <w:rtl w:val="true"/>
        </w:rPr>
        <w:t xml:space="preserve">, </w:t>
      </w:r>
      <w:r>
        <w:rPr>
          <w:rtl w:val="true"/>
        </w:rPr>
        <w:t>החלטתי להטיל על הנאשם את העונשים הבאים</w:t>
      </w:r>
      <w:r>
        <w:rPr>
          <w:rtl w:val="true"/>
        </w:rPr>
        <w:t>:</w:t>
      </w:r>
    </w:p>
    <w:p>
      <w:pPr>
        <w:pStyle w:val="BodyText"/>
        <w:ind w:start="1440" w:end="144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החל מיום המעצר</w:t>
      </w:r>
      <w:r>
        <w:rPr>
          <w:rtl w:val="true"/>
        </w:rPr>
        <w:t xml:space="preserve">, </w:t>
      </w:r>
      <w:r>
        <w:rPr/>
        <w:t>3.4.08</w:t>
      </w:r>
      <w:r>
        <w:rPr>
          <w:rtl w:val="true"/>
        </w:rPr>
        <w:t>.</w:t>
      </w:r>
    </w:p>
    <w:p>
      <w:pPr>
        <w:pStyle w:val="BodyText"/>
        <w:ind w:start="1440" w:end="144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התנאי שהנאשם לא יעבור כל עבירת נשק</w:t>
      </w:r>
      <w:r>
        <w:rPr>
          <w:rtl w:val="true"/>
        </w:rPr>
        <w:t>.</w:t>
      </w:r>
    </w:p>
    <w:p>
      <w:pPr>
        <w:pStyle w:val="BodyText"/>
        <w:ind w:start="1440" w:end="144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זכות ערעור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המזכירות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תמציא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העתקים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rFonts w:cs="David" w:ascii="David" w:hAnsi="David"/>
          <w:color w:val="000000"/>
          <w:sz w:val="22"/>
          <w:szCs w:val="22"/>
        </w:rPr>
        <w:t>54678313-175/08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sz w:val="18"/>
          <w:sz w:val="18"/>
          <w:szCs w:val="20"/>
          <w:rtl w:val="true"/>
        </w:rPr>
        <w:t>הוקלד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ע</w:t>
      </w:r>
      <w:r>
        <w:rPr>
          <w:sz w:val="18"/>
          <w:szCs w:val="20"/>
          <w:rtl w:val="true"/>
        </w:rPr>
        <w:t>"</w:t>
      </w:r>
      <w:r>
        <w:rPr>
          <w:sz w:val="18"/>
          <w:sz w:val="18"/>
          <w:szCs w:val="20"/>
          <w:rtl w:val="true"/>
        </w:rPr>
        <w:t>י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עידית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אזולאי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/Users/liorb/Downloads/study2025-p2/m08000175-233.doc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חודיפה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איברהים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חמאדה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ascii="Arial" w:hAnsi="Arial" w:cs="Arial"/>
      <w:b/>
      <w:bCs/>
      <w:sz w:val="32"/>
      <w:szCs w:val="32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rFonts w:ascii="Arial" w:hAnsi="Arial" w:cs="Arial"/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>
      <w:rFonts w:ascii="Arial" w:hAnsi="Arial" w:cs="Arial"/>
      <w:sz w:val="26"/>
      <w:u w:val="single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48" TargetMode="External"/><Relationship Id="rId7" Type="http://schemas.openxmlformats.org/officeDocument/2006/relationships/hyperlink" Target="http://www.nevo.co.il/law/70348/1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48/14" TargetMode="External"/><Relationship Id="rId13" Type="http://schemas.openxmlformats.org/officeDocument/2006/relationships/hyperlink" Target="http://www.nevo.co.il/law/70348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2016-09-18T10:38:00Z</dcterms:created>
  <dc:creator>Shahar Goldstein</dc:creator>
  <dc:description/>
  <cp:keywords/>
  <dc:language>en-IL</dc:language>
  <cp:lastModifiedBy>run</cp:lastModifiedBy>
  <cp:lastPrinted>2008-09-11T11:03:00Z</cp:lastPrinted>
  <dcterms:modified xsi:type="dcterms:W3CDTF">2016-09-18T10:38:00Z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חודיפה (בן איברהים) חמאדה</vt:lpwstr>
  </property>
  <property fmtid="{D5CDD505-2E9C-101B-9397-08002B2CF9AE}" pid="4" name="CITY">
    <vt:lpwstr>י-ם</vt:lpwstr>
  </property>
  <property fmtid="{D5CDD505-2E9C-101B-9397-08002B2CF9AE}" pid="5" name="DATE">
    <vt:lpwstr>20080911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נאוה בן אור</vt:lpwstr>
  </property>
  <property fmtid="{D5CDD505-2E9C-101B-9397-08002B2CF9AE}" pid="9" name="LAWLISTTMP1">
    <vt:lpwstr>70301/144.b;413e;025</vt:lpwstr>
  </property>
  <property fmtid="{D5CDD505-2E9C-101B-9397-08002B2CF9AE}" pid="10" name="LAWLISTTMP2">
    <vt:lpwstr>70348/014</vt:lpwstr>
  </property>
  <property fmtid="{D5CDD505-2E9C-101B-9397-08002B2CF9AE}" pid="11" name="LAWYER">
    <vt:lpwstr>שמואל הרבסט;קוואסמי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175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390020080911</vt:lpwstr>
  </property>
  <property fmtid="{D5CDD505-2E9C-101B-9397-08002B2CF9AE}" pid="37" name="TYPE_N_DATE">
    <vt:lpwstr>39020080911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