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Cs/>
              </w:rPr>
              <w:t>3089/07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27/05/2008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שם_א"/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שם_ב"/>
            <w:r>
              <w:rPr>
                <w:b/>
                <w:b/>
                <w:bCs/>
                <w:rtl w:val="true"/>
              </w:rPr>
              <w:t>דיב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שקיראת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bookmarkEnd w:id="3"/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bookmarkStart w:id="6" w:name="בא_כוח_ב"/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פסק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גוש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מתורגמנית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עבסי</w:t>
            </w:r>
          </w:p>
        </w:tc>
      </w:tr>
    </w:tbl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לפסק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26-02-2009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6125/08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דיב שקיראת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לוי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נאור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דנציגר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שירות המבחן ליאנה בלומנפלד מגד גב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אדוה פרויד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מוחמד אבו גוש </w:t>
      </w:r>
      <w:bookmarkStart w:id="7" w:name="LawTable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BodyText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במסגרת הסדר טיעון הודה הנאשם והורשע לפי הודאתו 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רכישת נשק שלא כדין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הובלת נשק שלא כדין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רכישת נשק שלא כדין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);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הובלת נשק שלא כדין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) </w:t>
      </w:r>
      <w:r>
        <w:rPr>
          <w:rtl w:val="true"/>
        </w:rPr>
        <w:t xml:space="preserve">ועבירה של עסקה אחרת בנשק שלא כדין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bookmarkStart w:id="16" w:name="ABSTRACT_END"/>
      <w:bookmarkEnd w:id="16"/>
      <w:r>
        <w:rPr>
          <w:rtl w:val="true"/>
        </w:rPr>
        <w:t>בהסדר טיעון מאוחר להודאתו של הנאשם שבפניי</w:t>
      </w:r>
      <w:r>
        <w:rPr>
          <w:rtl w:val="true"/>
        </w:rPr>
        <w:t xml:space="preserve">, </w:t>
      </w:r>
      <w:r>
        <w:rPr>
          <w:rtl w:val="true"/>
        </w:rPr>
        <w:t>שנערך עם נאשם אחר שהיה מעורב בפרשה</w:t>
      </w:r>
      <w:r>
        <w:rPr>
          <w:rtl w:val="true"/>
        </w:rPr>
        <w:t xml:space="preserve">, </w:t>
      </w:r>
      <w:r>
        <w:rPr>
          <w:rtl w:val="true"/>
        </w:rPr>
        <w:t>ואשר האישום הרביעי יוחס גם לו</w:t>
      </w:r>
      <w:r>
        <w:rPr>
          <w:rtl w:val="true"/>
        </w:rPr>
        <w:t xml:space="preserve">, </w:t>
      </w:r>
      <w:r>
        <w:rPr>
          <w:rtl w:val="true"/>
        </w:rPr>
        <w:t xml:space="preserve">הוסכם כי מאחר שלא הייתה בידי המאשימה חוות דעת כי הנשק מסוג </w:t>
      </w:r>
      <w:r>
        <w:rPr>
          <w:rtl w:val="true"/>
        </w:rPr>
        <w:t>"</w:t>
      </w:r>
      <w:r>
        <w:rPr>
          <w:rtl w:val="true"/>
        </w:rPr>
        <w:t>קארלו</w:t>
      </w:r>
      <w:r>
        <w:rPr>
          <w:rtl w:val="true"/>
        </w:rPr>
        <w:t xml:space="preserve">" </w:t>
      </w:r>
      <w:r>
        <w:rPr>
          <w:rtl w:val="true"/>
        </w:rPr>
        <w:t xml:space="preserve">שהיה מושא האישום הוא אכן נשק </w:t>
      </w:r>
      <w:r>
        <w:rPr>
          <w:rtl w:val="true"/>
        </w:rPr>
        <w:t>(</w:t>
      </w:r>
      <w:r>
        <w:rPr>
          <w:rtl w:val="true"/>
        </w:rPr>
        <w:t>משום שלא נתפס</w:t>
      </w:r>
      <w:r>
        <w:rPr>
          <w:rtl w:val="true"/>
        </w:rPr>
        <w:t xml:space="preserve">), </w:t>
      </w:r>
      <w:r>
        <w:rPr>
          <w:rtl w:val="true"/>
        </w:rPr>
        <w:t>ייוחסו לאותו נאשם עבירות של ניסיון באותו אישום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הסכימה המאשימה בטיעוניה לעונש כי בסעיף האישום הרביעי ייוחסו לנאשם עבירות של ניסיון לרכישת נשק</w:t>
      </w:r>
      <w:r>
        <w:rPr>
          <w:rtl w:val="true"/>
        </w:rPr>
        <w:t xml:space="preserve">, </w:t>
      </w:r>
      <w:r>
        <w:rPr>
          <w:rtl w:val="true"/>
        </w:rPr>
        <w:t>ניסיון לעסקה אחרת בנשק וניסיון להובלת נשק שלא כדין</w:t>
      </w:r>
      <w:r>
        <w:rPr>
          <w:rtl w:val="true"/>
        </w:rPr>
        <w:t xml:space="preserve">. </w:t>
      </w:r>
      <w:r>
        <w:rPr>
          <w:rtl w:val="true"/>
        </w:rPr>
        <w:t>עם זאת הוסכם על הצדדים כי הנאשם וחבריו לא טענו כל טענה ביחס למהותו של הנשק בהודעותיהם במשטרה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2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הסדר הטיעון כלל הסכמה לעניין העונש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במובן זה שהמאשימה הגבילה עצמה לטיעון לחמש שנות מאסר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הנאשם היה חופשי לטעון כהבנתו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עוד הוסכם כי הנאשם יוכל לבקש תסקיר מבחן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3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על פי עובדות האישום הראשון בו הודה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בסוף שנת </w:t>
      </w:r>
      <w:r>
        <w:rPr>
          <w:rFonts w:cs="Arial" w:ascii="Arial" w:hAnsi="Arial"/>
          <w:sz w:val="26"/>
        </w:rPr>
        <w:t>2006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 xml:space="preserve">פנה הנאשם אל דורגאם אבו סכראן וביקש ממנו להשיג עבורו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 xml:space="preserve">אקדח </w:t>
      </w:r>
      <w:r>
        <w:rPr>
          <w:rFonts w:cs="Arial" w:ascii="Arial" w:hAnsi="Arial"/>
          <w:sz w:val="26"/>
        </w:rPr>
        <w:t>14</w:t>
      </w:r>
      <w:r>
        <w:rPr>
          <w:rFonts w:cs="Arial" w:ascii="Arial" w:hAnsi="Arial"/>
          <w:sz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rtl w:val="true"/>
        </w:rPr>
        <w:t xml:space="preserve">משום שיש לו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בעיות במשפחה</w:t>
      </w:r>
      <w:r>
        <w:rPr>
          <w:rFonts w:cs="Arial" w:ascii="Arial" w:hAnsi="Arial"/>
          <w:sz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rtl w:val="true"/>
        </w:rPr>
        <w:t>דורגאם פנה לחברו אוסאמה זחאיכה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והשניים נסעו לכפר בידו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שם פגשו ברג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>אי אבו רידא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ובקשו לרכוש ממנו אקדח כזה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>אי הבטיח להשתדל להשיג את האקדח המבוקש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וכעבור שבועיים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מששבו השניים לבידו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הודיע להם 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 xml:space="preserve">אי כי השיג אקדח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סטאר</w:t>
      </w:r>
      <w:r>
        <w:rPr>
          <w:rFonts w:cs="Arial" w:ascii="Arial" w:hAnsi="Arial"/>
          <w:sz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rtl w:val="true"/>
        </w:rPr>
        <w:t xml:space="preserve">בקוטר </w:t>
      </w:r>
      <w:r>
        <w:rPr>
          <w:rFonts w:cs="Arial" w:ascii="Arial" w:hAnsi="Arial"/>
          <w:sz w:val="26"/>
        </w:rPr>
        <w:t>9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מ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מ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וביקש עבורו </w:t>
      </w:r>
      <w:r>
        <w:rPr>
          <w:rFonts w:cs="Arial" w:ascii="Arial" w:hAnsi="Arial"/>
          <w:sz w:val="26"/>
        </w:rPr>
        <w:t>9,000</w:t>
      </w:r>
      <w:r>
        <w:rPr>
          <w:rFonts w:cs="Arial" w:ascii="Arial" w:hAnsi="Arial"/>
          <w:sz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rtl w:val="true"/>
        </w:rPr>
        <w:t xml:space="preserve">דורגאם חזר אל הנאשם והודיע לו כי יוכל לספק לו את האקדח תמורת </w:t>
      </w:r>
      <w:r>
        <w:rPr>
          <w:rFonts w:cs="Arial" w:ascii="Arial" w:hAnsi="Arial"/>
          <w:sz w:val="26"/>
        </w:rPr>
        <w:t>11,000</w:t>
      </w:r>
      <w:r>
        <w:rPr>
          <w:rFonts w:cs="Arial" w:ascii="Arial" w:hAnsi="Arial"/>
          <w:sz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rtl w:val="true"/>
        </w:rPr>
        <w:t>והוא הסכים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עוד באותו יום שילש את הסכום הנדרש לידיו של דורגאם וזחיאכה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והשניים רכשו את האקדח ומסרוהו לנאשם</w:t>
      </w:r>
      <w:r>
        <w:rPr>
          <w:rFonts w:cs="Arial" w:ascii="Arial" w:hAnsi="Arial"/>
          <w:sz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4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על פי עובדות האישום השני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כחודש לאחר האירוע המתואר לעיל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פנה 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 xml:space="preserve">אי לדורגאם ואמר לו שיש בידיו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 xml:space="preserve">אקדח </w:t>
      </w:r>
      <w:r>
        <w:rPr>
          <w:rFonts w:cs="Arial" w:ascii="Arial" w:hAnsi="Arial"/>
          <w:sz w:val="26"/>
        </w:rPr>
        <w:t>7</w:t>
      </w:r>
      <w:r>
        <w:rPr>
          <w:rFonts w:cs="Arial" w:ascii="Arial" w:hAnsi="Arial"/>
          <w:sz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rtl w:val="true"/>
        </w:rPr>
        <w:t>אותו הוא מעוניין למכור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וביקש מדורגאם שימצא עבורו קונה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דורגאם פנה לנאשם והציע לו לרכוש את האקדח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הנאשם הסכים ונסע עם דורגאם לכפר בידו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ורכש את האקדח תמורת </w:t>
      </w:r>
      <w:r>
        <w:rPr>
          <w:rFonts w:cs="Arial" w:ascii="Arial" w:hAnsi="Arial"/>
          <w:sz w:val="26"/>
        </w:rPr>
        <w:t>5,000</w:t>
      </w:r>
      <w:r>
        <w:rPr>
          <w:rFonts w:cs="Arial" w:ascii="Arial" w:hAnsi="Arial"/>
          <w:sz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rtl w:val="true"/>
        </w:rPr>
        <w:t>מידיו של 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>אי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5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על פי עובדות האישום השלישי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זמן קצר לאחר מכן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פנה הנאשם לדורגאם וביקש ממנו כי ישיג לו כדורים עבור האקדח שרכש באמצעותו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דורגאם נענה לבקשתו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נסע לכפר בידו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ורכש מרג</w:t>
      </w:r>
      <w:r>
        <w:rPr>
          <w:rFonts w:cs="Arial" w:ascii="Arial" w:hAnsi="Arial"/>
          <w:sz w:val="26"/>
          <w:rtl w:val="true"/>
        </w:rPr>
        <w:t>'</w:t>
      </w:r>
      <w:r>
        <w:rPr>
          <w:rFonts w:ascii="Arial" w:hAnsi="Arial" w:cs="Arial"/>
          <w:sz w:val="26"/>
          <w:sz w:val="26"/>
          <w:rtl w:val="true"/>
        </w:rPr>
        <w:t>אי כ</w:t>
      </w:r>
      <w:r>
        <w:rPr>
          <w:rFonts w:cs="Arial" w:ascii="Arial" w:hAnsi="Arial"/>
          <w:sz w:val="26"/>
          <w:rtl w:val="true"/>
        </w:rPr>
        <w:t xml:space="preserve">- </w:t>
      </w:r>
      <w:r>
        <w:rPr>
          <w:rFonts w:cs="Arial" w:ascii="Arial" w:hAnsi="Arial"/>
          <w:sz w:val="26"/>
        </w:rPr>
        <w:t>200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כדורי אקדח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דורגאם מכר חלק מן הכדורים לנאשם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תמורת </w:t>
      </w:r>
      <w:r>
        <w:rPr>
          <w:rFonts w:cs="Arial" w:ascii="Arial" w:hAnsi="Arial"/>
          <w:sz w:val="26"/>
        </w:rPr>
        <w:t>15</w:t>
      </w:r>
      <w:r>
        <w:rPr>
          <w:rFonts w:cs="Arial" w:ascii="Arial" w:hAnsi="Arial"/>
          <w:sz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rtl w:val="true"/>
        </w:rPr>
        <w:t>לכדור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בהזדמנות נוספת מכר דורגאם לנאשם כמות נוספת של כדורים במחיר האמור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6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על פי עובדות האישום הרביעי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בסוף שנת </w:t>
      </w:r>
      <w:r>
        <w:rPr>
          <w:rFonts w:cs="Arial" w:ascii="Arial" w:hAnsi="Arial"/>
          <w:sz w:val="26"/>
        </w:rPr>
        <w:t>2006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פנה ענאן חליאלה אל דורגאם ואל הנאשם והציע להם שירכשו ביחד מקלע מסוג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קארלו</w:t>
      </w:r>
      <w:r>
        <w:rPr>
          <w:rFonts w:cs="Arial" w:ascii="Arial" w:hAnsi="Arial"/>
          <w:sz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rtl w:val="true"/>
        </w:rPr>
        <w:t>דורגאם והנאשם הסכימו להצעה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זמן קצר לאחר מכן מכר הנאשם את המקלע לעאדל רדואן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וקיבל תמורתו </w:t>
      </w:r>
      <w:r>
        <w:rPr>
          <w:rFonts w:cs="Arial" w:ascii="Arial" w:hAnsi="Arial"/>
          <w:sz w:val="26"/>
        </w:rPr>
        <w:t>11,500</w:t>
      </w:r>
      <w:r>
        <w:rPr>
          <w:rFonts w:cs="Arial" w:ascii="Arial" w:hAnsi="Arial"/>
          <w:sz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rtl w:val="true"/>
        </w:rPr>
        <w:t>במסגרת אישום זה הסכימה המאשימה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כאמור לעיל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לראות את הנאשם כמי שהודה בעבירות של ניסיון לרכישת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ניסיון לעשיית עסקה בנשק וניסיון להובלת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בשל הסדר הטיעון שנערך בעניין זה עם ענאן חליאלה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7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הנאשם הינו צעיר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כבן </w:t>
      </w:r>
      <w:r>
        <w:rPr>
          <w:rFonts w:cs="Arial" w:ascii="Arial" w:hAnsi="Arial"/>
          <w:sz w:val="26"/>
        </w:rPr>
        <w:t>23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ללא עבר פלילי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כעולה מתסקיר המבחן שהוגש בעניינו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עד למעצרו ניהל הנאשם בית מטבחיים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התמונה המצטיירת היא כי הנאשם הוא בן למשפחה נורמטיבית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בפני שירות המבחן הביע הנאשם צער על המעשים שעשה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השירות התרשם כי הוא מתקשה להתייחס לעבירות ולמניע להן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וכי הוא מתקשה להפנים את חומרתן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שירות המבחן מעריך כי הן בוצעו למען בצע כסף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שירות המבחן לא בא בהמלצה טיפולית בשל חומרת העבירות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ביקש להדגיש את גילו הצעיר ואת העובדה שזו לו ההסתבכות הראשונה עם החוק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sz w:val="26"/>
        </w:rPr>
        <w:t>8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במסגרת פרשת הנשק שהנאשם היה מעורב בה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נדונו בפניי מספר נאשמים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 xml:space="preserve">על זחאיכה הטלתי עונש של שנת מאסר לריצוי בפועל </w:t>
      </w:r>
      <w:r>
        <w:rPr>
          <w:rFonts w:cs="Arial" w:ascii="Arial" w:hAnsi="Arial"/>
          <w:sz w:val="26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6"/>
            <w:u w:val="single"/>
          </w:rPr>
          <w:t>3083/07</w:t>
        </w:r>
      </w:hyperlink>
      <w:r>
        <w:rPr>
          <w:rFonts w:cs="Arial" w:ascii="Arial" w:hAnsi="Arial"/>
          <w:sz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rtl w:val="true"/>
        </w:rPr>
        <w:t>בשים לב לכך שהעבירות בהן הורשע כללו עשיית עיסקה במספר כדורי אקדח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הובלת רובה מסוג קרבין בתוך שטחי הרשות הפלשתינית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והסתרת מחסנית ששימשה מחבל לביצוע פיגוע ירי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לאחר מעשה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לבקשתו של דורגאם אבו סכראן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על סרחי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שהורשע במכירת אקדח לחברו ענאן חליאלה </w:t>
      </w:r>
      <w:r>
        <w:rPr>
          <w:rFonts w:cs="Arial" w:ascii="Arial" w:hAnsi="Arial"/>
          <w:sz w:val="26"/>
          <w:rtl w:val="true"/>
        </w:rPr>
        <w:t>(</w:t>
      </w:r>
      <w:r>
        <w:rPr>
          <w:rFonts w:ascii="Arial" w:hAnsi="Arial" w:cs="Arial"/>
          <w:sz w:val="26"/>
          <w:sz w:val="26"/>
          <w:rtl w:val="true"/>
        </w:rPr>
        <w:t>אקדח זה הגיע בסופו של דבר לידי מי שביצע פיגוע ירי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לא היה בידי המאשימה לקשור את סרחי לידיעה על כך</w:t>
      </w:r>
      <w:r>
        <w:rPr>
          <w:rFonts w:cs="Arial" w:ascii="Arial" w:hAnsi="Arial"/>
          <w:sz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rtl w:val="true"/>
        </w:rPr>
        <w:t>וכן בעבירה של ניסיון לשידול לגנוב נשק מחייל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הטלתי שלוש שנות מאסר לריצוי בפועל </w:t>
      </w:r>
      <w:r>
        <w:rPr>
          <w:rFonts w:cs="Arial" w:ascii="Arial" w:hAnsi="Arial"/>
          <w:sz w:val="26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6"/>
            <w:u w:val="single"/>
          </w:rPr>
          <w:t>3088/07</w:t>
        </w:r>
      </w:hyperlink>
      <w:r>
        <w:rPr>
          <w:rFonts w:cs="Arial" w:ascii="Arial" w:hAnsi="Arial"/>
          <w:sz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rtl w:val="true"/>
        </w:rPr>
        <w:t>על דורגאם אבו סכראן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שהואשם באותם מעשים בהם הודה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ובנוסף בעבירה של הסתרת מחסנית עבור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הטלתי חמש שנות מאסר לריצוי בפועל </w:t>
      </w:r>
      <w:r>
        <w:rPr>
          <w:rFonts w:cs="Arial" w:ascii="Arial" w:hAnsi="Arial"/>
          <w:sz w:val="26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6"/>
            <w:u w:val="single"/>
          </w:rPr>
          <w:t>3085/07</w:t>
        </w:r>
      </w:hyperlink>
      <w:r>
        <w:rPr>
          <w:rFonts w:cs="Arial" w:ascii="Arial" w:hAnsi="Arial"/>
          <w:sz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rtl w:val="true"/>
        </w:rPr>
        <w:t>על עדאל רדואן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מי שרכש את המקלע מסוג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קארלו</w:t>
      </w:r>
      <w:r>
        <w:rPr>
          <w:rFonts w:cs="Arial" w:ascii="Arial" w:hAnsi="Arial"/>
          <w:sz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rtl w:val="true"/>
        </w:rPr>
        <w:t xml:space="preserve">הטלתי עונש של </w:t>
      </w:r>
      <w:r>
        <w:rPr>
          <w:rFonts w:cs="Arial" w:ascii="Arial" w:hAnsi="Arial"/>
          <w:sz w:val="26"/>
        </w:rPr>
        <w:t>20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 xml:space="preserve">חודשי מאסר בפועל </w:t>
      </w:r>
      <w:r>
        <w:rPr>
          <w:rFonts w:cs="Arial" w:ascii="Arial" w:hAnsi="Arial"/>
          <w:sz w:val="26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6"/>
            <w:u w:val="single"/>
          </w:rPr>
          <w:t>3090/07</w:t>
        </w:r>
      </w:hyperlink>
      <w:r>
        <w:rPr>
          <w:rFonts w:cs="Arial" w:ascii="Arial" w:hAnsi="Arial"/>
          <w:sz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rtl w:val="true"/>
        </w:rPr>
        <w:t>ואילו על ענאן חלאילה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שהורשע ברכישת הנשק מסרחי עבור המחבל שביצע את פיגוע הירי </w:t>
      </w:r>
      <w:r>
        <w:rPr>
          <w:rFonts w:cs="Arial" w:ascii="Arial" w:hAnsi="Arial"/>
          <w:sz w:val="26"/>
          <w:rtl w:val="true"/>
        </w:rPr>
        <w:t>(</w:t>
      </w:r>
      <w:r>
        <w:rPr>
          <w:rFonts w:ascii="Arial" w:hAnsi="Arial" w:cs="Arial"/>
          <w:sz w:val="26"/>
          <w:sz w:val="26"/>
          <w:rtl w:val="true"/>
        </w:rPr>
        <w:t>ושוב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לא היה בידי המאשימה לקשור את חלאילה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ולו בידיעה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לפיגוע עצמו</w:t>
      </w:r>
      <w:r>
        <w:rPr>
          <w:rFonts w:cs="Arial" w:ascii="Arial" w:hAnsi="Arial"/>
          <w:sz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rtl w:val="true"/>
        </w:rPr>
        <w:t xml:space="preserve">בעסקת רכישת המקלע מסוג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קארלו</w:t>
      </w:r>
      <w:r>
        <w:rPr>
          <w:rFonts w:cs="Arial" w:ascii="Arial" w:hAnsi="Arial"/>
          <w:sz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rtl w:val="true"/>
        </w:rPr>
        <w:t xml:space="preserve">ובניסיון לעשיית עסקה נוספת בנשק </w:t>
      </w:r>
      <w:r>
        <w:rPr>
          <w:rFonts w:cs="Arial" w:ascii="Arial" w:hAnsi="Arial"/>
          <w:sz w:val="26"/>
          <w:rtl w:val="true"/>
        </w:rPr>
        <w:t>(</w:t>
      </w:r>
      <w:r>
        <w:rPr>
          <w:rFonts w:cs="Arial" w:ascii="Arial" w:hAnsi="Arial"/>
          <w:sz w:val="26"/>
        </w:rPr>
        <w:t>4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 xml:space="preserve">רובים מסוג </w:t>
      </w:r>
      <w:r>
        <w:rPr>
          <w:rFonts w:cs="Arial" w:ascii="Arial" w:hAnsi="Arial"/>
          <w:sz w:val="26"/>
        </w:rPr>
        <w:t>M-16</w:t>
      </w:r>
      <w:r>
        <w:rPr>
          <w:rFonts w:cs="Arial" w:ascii="Arial" w:hAnsi="Arial"/>
          <w:sz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rtl w:val="true"/>
        </w:rPr>
        <w:t>שלא התממשה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הטלתי עונש של </w:t>
      </w:r>
      <w:r>
        <w:rPr>
          <w:rFonts w:cs="Arial" w:ascii="Arial" w:hAnsi="Arial"/>
          <w:sz w:val="26"/>
        </w:rPr>
        <w:t>44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חודשי מאסר לריצוי בפועל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ובכללם הפעלת מאסר על תנאי בגין עבירת נשק קודמת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9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לטענת ב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כ המאשימה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עניינו של הנאשם זהה לעניינו של דורגאם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ועל כן יש להטיל עליו עונש של חמש שנות מאסר בפועל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10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לעומתו טוען ב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כ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כי לדורגאם ייחסו עבירות חמורות יותר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של סחר בנשק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בגין אותה מערכת עובדתית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 xml:space="preserve">עבירות אלה נושאות עימן עונש מירבי של </w:t>
      </w:r>
      <w:r>
        <w:rPr>
          <w:rFonts w:cs="Arial" w:ascii="Arial" w:hAnsi="Arial"/>
          <w:sz w:val="26"/>
        </w:rPr>
        <w:t>15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שנות מאסר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ואילו העבירות של רכישת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שיוחסו לנאשם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נושאות עימן עונש של </w:t>
      </w:r>
      <w:r>
        <w:rPr>
          <w:rFonts w:cs="Arial" w:ascii="Arial" w:hAnsi="Arial"/>
          <w:sz w:val="26"/>
        </w:rPr>
        <w:t>7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שנות מאסר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כ הנאשם סבור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כי לנוכח גזרי הדין של המעורבים האחרים בפרשה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עניינו של הנאשם הוא מן החמורים פחות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והעונש המתאים הוא עונש של </w:t>
      </w:r>
      <w:r>
        <w:rPr>
          <w:rFonts w:cs="Arial" w:ascii="Arial" w:hAnsi="Arial"/>
          <w:sz w:val="26"/>
        </w:rPr>
        <w:t>24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חודשי מאסר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11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אני סבורה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כי מקומו של הנאשם במדרג החומרה ביחס לכל המעורבים בפרשה דומה לזה של דורגאם אבו סכראן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אמנם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לדורגאם ייחסה המאשימה עבירות של סחר בנשק ואילו לנאשם שבפניי יוחסו עבירות של רכישת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מן הבחינה המהותית המדובר בשני צדדים של אותה עיסקה</w:t>
      </w:r>
      <w:r>
        <w:rPr>
          <w:rFonts w:cs="Arial" w:ascii="Arial" w:hAnsi="Arial"/>
          <w:sz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rtl w:val="true"/>
        </w:rPr>
        <w:t>דורגאם רכש אקדח לבקשתו של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ומכרו לנאשם</w:t>
      </w:r>
      <w:r>
        <w:rPr>
          <w:rFonts w:cs="Arial" w:ascii="Arial" w:hAnsi="Arial"/>
          <w:sz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rtl w:val="true"/>
        </w:rPr>
        <w:t>לבקשתו של אחר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מצא דורגאם קונה לאקדח נוסף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הלא הוא הנאשם</w:t>
      </w:r>
      <w:r>
        <w:rPr>
          <w:rFonts w:cs="Arial" w:ascii="Arial" w:hAnsi="Arial"/>
          <w:sz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rtl w:val="true"/>
        </w:rPr>
        <w:t>לבקשת הנאשם רכש עבורו דורגאם כדורי אקדח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ולבסוף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נענה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ביחד עם דורגאם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להצעה לרכוש מקלע מסוג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קארלו</w:t>
      </w:r>
      <w:r>
        <w:rPr>
          <w:rFonts w:cs="Arial" w:ascii="Arial" w:hAnsi="Arial"/>
          <w:sz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rtl w:val="true"/>
        </w:rPr>
        <w:t>אותו מכר הנאשם לגורם שלישי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יתרה מזאת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הנאשם הוא היוזם לעסקת הנשק הראשונה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ואילו כעולה מן השנייה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הנאשם נתפס כמי שמעוניין לרכוש עוד ועוד כלי נשק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בנסיבות אלה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על אף שדורגאם עושה עסקאות בנשק </w:t>
      </w:r>
      <w:r>
        <w:rPr>
          <w:rFonts w:cs="Arial" w:ascii="Arial" w:hAnsi="Arial"/>
          <w:sz w:val="26"/>
          <w:rtl w:val="true"/>
        </w:rPr>
        <w:t>(</w:t>
      </w:r>
      <w:r>
        <w:rPr>
          <w:rFonts w:ascii="Arial" w:hAnsi="Arial" w:cs="Arial"/>
          <w:sz w:val="26"/>
          <w:sz w:val="26"/>
          <w:rtl w:val="true"/>
        </w:rPr>
        <w:t>קונה ומוכר</w:t>
      </w:r>
      <w:r>
        <w:rPr>
          <w:rFonts w:cs="Arial" w:ascii="Arial" w:hAnsi="Arial"/>
          <w:sz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rtl w:val="true"/>
        </w:rPr>
        <w:t>הרי הנאשם הוא המזמין והוא מי שלמענו מיועדת העסקה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השניים מעורבים במספר דומה של אישומים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בעלי מאפיינים זהים של חומרה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עונשו של דורגאם נגזר על ידי מתוך התייחסות להסדר הטיעון אליו הגיעו הצדדים בתיק זה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ואשר בשלב גזירת הדין של דורגאם טרם אושר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במהלך הטיעון לעונש במשפטו של דורגאם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ניסתה המאשימה לשכנעני כי עניינו של דורגאם חמור יותר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ואילו ב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כ הנאשם ביקש לשכנע כי עניינו של הנאשם כאן חמור יותר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שכן יש לראותו כמי ששידל את דורגאם לרכוש כלי נשק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בגזר הדין קבעתי כי עיון בשני כתבי האישום מביא למסקנה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כי מעמדם של השניים דומה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וכי על כן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משהגבילה עצמה המאשימה בעניינו של הנאשם כאן לעונש של </w:t>
      </w:r>
      <w:r>
        <w:rPr>
          <w:rFonts w:cs="Arial" w:ascii="Arial" w:hAnsi="Arial"/>
          <w:sz w:val="26"/>
        </w:rPr>
        <w:t>5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שנות מאסר כרף עליון לענישה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מחייבת אותה עמדה זו גם בעניינו של דורגאם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שאינו שונה ממנו באופן מהותי </w:t>
      </w:r>
      <w:r>
        <w:rPr>
          <w:rFonts w:cs="Arial" w:ascii="Arial" w:hAnsi="Arial"/>
          <w:sz w:val="26"/>
          <w:rtl w:val="true"/>
        </w:rPr>
        <w:t>(</w:t>
      </w:r>
      <w:r>
        <w:rPr>
          <w:rFonts w:ascii="Arial" w:hAnsi="Arial" w:cs="Arial"/>
          <w:sz w:val="26"/>
          <w:sz w:val="26"/>
          <w:rtl w:val="true"/>
        </w:rPr>
        <w:t xml:space="preserve">פסקה </w:t>
      </w:r>
      <w:r>
        <w:rPr>
          <w:rFonts w:cs="Arial" w:ascii="Arial" w:hAnsi="Arial"/>
          <w:sz w:val="26"/>
        </w:rPr>
        <w:t>14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לגזר הדין</w:t>
      </w:r>
      <w:r>
        <w:rPr>
          <w:rFonts w:cs="Arial" w:ascii="Arial" w:hAnsi="Arial"/>
          <w:sz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rtl w:val="true"/>
        </w:rPr>
        <w:t>בית המשפט אינו כבול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כמובן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בהסדר הטיעון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ככל שנראה כי המדובר במעשים ובנסיבות בעלי מאפיינים דומים ביותר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מתחייבת ענישה זהה</w:t>
      </w:r>
      <w:r>
        <w:rPr>
          <w:rFonts w:cs="Arial" w:ascii="Arial" w:hAnsi="Arial"/>
          <w:sz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12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מעורבות כה עמוקה כפי שגילה הנאשם בעבירות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עבור בצע כסף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מעידה על העדר מצפון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נשק דרכו להמית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והרוכש 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 xml:space="preserve">בוודאי בכמויות </w:t>
      </w:r>
      <w:r>
        <w:rPr>
          <w:rFonts w:cs="Arial" w:ascii="Arial" w:hAnsi="Arial"/>
          <w:sz w:val="26"/>
          <w:rtl w:val="true"/>
        </w:rPr>
        <w:t>"</w:t>
      </w:r>
      <w:r>
        <w:rPr>
          <w:rFonts w:ascii="Arial" w:hAnsi="Arial" w:cs="Arial"/>
          <w:sz w:val="26"/>
          <w:sz w:val="26"/>
          <w:rtl w:val="true"/>
        </w:rPr>
        <w:t>מסחריות</w:t>
      </w:r>
      <w:r>
        <w:rPr>
          <w:rFonts w:cs="Arial" w:ascii="Arial" w:hAnsi="Arial"/>
          <w:sz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rtl w:val="true"/>
        </w:rPr>
        <w:t>מעיד על עצמו כי אין לו כל עכבות לסייע בידי מי שמוכן לעשות שימוש קטלני בנשק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תהיה מטרת השימוש בו אשר תהיה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התנהלותו זו של הנאשם מעידה עליו כי הוא מסוכן לציבור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וכי למען הפקת רווחים כספיים הוא נכון לבצע עבירות נשק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בשים לב לנסיבותיו האישיות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אין בידי הנאשם לגייס לטובתו טיעון בדבר מצוקה כלכלית קשה או רקע משפחתי שאין בו כדי להבהיר ערכי מוסר יסודיים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ככלל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לא יהיה בנתונים מסוג זה כדי להקל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כאשר מדובר בעבירות כה חמורות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אולם דומה כי משנה חומרה יש כאשר המניעים אינם נובעים ממצוקה כלכלית או עזובה רגשית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13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כמו בעניינו של דורגאם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השיקולים לקולה מתבטאים בגילו הצעיר של הנאשם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בעובדה שאין לו עבר פלילי וממילא העונש שייגזר עליו הוא בבחינת מאסר ראשון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על העונש להותיר בידי הנאשם פתח לתקווה לניהול חיים נורמטיביים עם שחרורו מן המאסר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14</w:t>
      </w:r>
      <w:r>
        <w:rPr>
          <w:rFonts w:cs="Arial" w:ascii="Arial" w:hAnsi="Arial"/>
          <w:sz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rtl w:val="true"/>
        </w:rPr>
        <w:t>בשוקלי את כל אלה החלטתי להטיל על הנאשם את העונשים הבאים</w:t>
      </w:r>
      <w:r>
        <w:rPr>
          <w:rFonts w:cs="Arial" w:ascii="Arial" w:hAnsi="Arial"/>
          <w:sz w:val="26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sz w:val="26"/>
        </w:rPr>
        <w:t>1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עונש מאסר של חמש שנים לריצוי בפועל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החל מיום מעצרו</w:t>
      </w:r>
      <w:r>
        <w:rPr>
          <w:rFonts w:cs="Arial" w:ascii="Arial" w:hAnsi="Arial"/>
          <w:sz w:val="26"/>
          <w:rtl w:val="true"/>
        </w:rPr>
        <w:t>.</w:t>
      </w:r>
    </w:p>
    <w:p>
      <w:pPr>
        <w:pStyle w:val="Normal"/>
        <w:ind w:hanging="222" w:start="942"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</w:rPr>
        <w:t>2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 xml:space="preserve">עונש של </w:t>
      </w:r>
      <w:r>
        <w:rPr>
          <w:rFonts w:cs="Arial" w:ascii="Arial" w:hAnsi="Arial"/>
          <w:sz w:val="26"/>
        </w:rPr>
        <w:t>12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חודשים מאסר על תנאי</w:t>
      </w:r>
      <w:r>
        <w:rPr>
          <w:rFonts w:cs="Arial" w:ascii="Arial" w:hAnsi="Arial"/>
          <w:sz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rtl w:val="true"/>
        </w:rPr>
        <w:t>למשך שלוש שנים</w:t>
      </w:r>
      <w:r>
        <w:rPr>
          <w:rFonts w:cs="Arial" w:ascii="Arial" w:hAnsi="Arial"/>
          <w:sz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rtl w:val="true"/>
        </w:rPr>
        <w:t>התנאי הוא שהנאשם לא יעבור כל עבירת נשק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sz w:val="26"/>
        </w:rPr>
        <w:t>45</w:t>
      </w:r>
      <w:r>
        <w:rPr>
          <w:rFonts w:cs="Arial" w:ascii="Arial" w:hAnsi="Arial"/>
          <w:sz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rtl w:val="true"/>
        </w:rPr>
        <w:t>יום מהיום</w:t>
      </w:r>
      <w:r>
        <w:rPr>
          <w:rFonts w:cs="Arial" w:ascii="Arial" w:hAnsi="Arial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</w:rPr>
      </w:pPr>
      <w:r>
        <w:rPr>
          <w:rFonts w:cs="Arial" w:ascii="Arial" w:hAnsi="Arial"/>
          <w:sz w:val="26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rFonts w:cs="David" w:ascii="David" w:hAnsi="David"/>
          <w:color w:val="000000"/>
          <w:sz w:val="22"/>
          <w:szCs w:val="22"/>
        </w:rPr>
        <w:t>54678313-3089/07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כ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באייר</w:t>
      </w:r>
      <w:r>
        <w:rPr>
          <w:b/>
          <w:bCs/>
          <w:color w:val="000000"/>
          <w:sz w:val="26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תשס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ח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  <w:rtl w:val="true"/>
        </w:rPr>
        <w:t>(</w:t>
      </w:r>
      <w:r>
        <w:rPr>
          <w:b/>
          <w:bCs/>
          <w:color w:val="000000"/>
          <w:sz w:val="26"/>
          <w:szCs w:val="28"/>
        </w:rPr>
        <w:t>27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במאי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2008</w:t>
      </w:r>
      <w:r>
        <w:rPr>
          <w:b/>
          <w:bCs/>
          <w:color w:val="000000"/>
          <w:sz w:val="26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הצדדים</w:t>
      </w:r>
      <w:r>
        <w:rPr>
          <w:b/>
          <w:bCs/>
          <w:color w:val="000000"/>
          <w:sz w:val="26"/>
          <w:szCs w:val="28"/>
          <w:rtl w:val="true"/>
        </w:rPr>
        <w:t xml:space="preserve">. 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אור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/Users/liorb/Downloads/study2025-p2/m07003089-306.doc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3089/07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דיב בן מוחמד שקיראת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ascii="Arial" w:hAnsi="Arial" w:cs="Arial"/>
      <w:b/>
      <w:bCs/>
      <w:sz w:val="32"/>
      <w:szCs w:val="32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rFonts w:ascii="Arial" w:hAnsi="Arial" w:cs="Arial"/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0501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case/633564" TargetMode="External"/><Relationship Id="rId14" Type="http://schemas.openxmlformats.org/officeDocument/2006/relationships/hyperlink" Target="http://www.nevo.co.il/case/627388" TargetMode="External"/><Relationship Id="rId15" Type="http://schemas.openxmlformats.org/officeDocument/2006/relationships/hyperlink" Target="http://www.nevo.co.il/case/559224" TargetMode="External"/><Relationship Id="rId16" Type="http://schemas.openxmlformats.org/officeDocument/2006/relationships/hyperlink" Target="http://www.nevo.co.il/case/55933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2016-08-15T14:46:00Z</dcterms:created>
  <dc:creator>סתיו צולר</dc:creator>
  <dc:description/>
  <cp:keywords/>
  <dc:language>en-IL</dc:language>
  <cp:lastModifiedBy>run</cp:lastModifiedBy>
  <cp:lastPrinted>2008-05-27T09:45:00Z</cp:lastPrinted>
  <dcterms:modified xsi:type="dcterms:W3CDTF">2016-08-15T14:46:00Z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דיב בן מוחמד שקיראת</vt:lpwstr>
  </property>
  <property fmtid="{D5CDD505-2E9C-101B-9397-08002B2CF9AE}" pid="4" name="CASESLISTTMP1">
    <vt:lpwstr>6050140;627388;559224;559331</vt:lpwstr>
  </property>
  <property fmtid="{D5CDD505-2E9C-101B-9397-08002B2CF9AE}" pid="5" name="CITY">
    <vt:lpwstr>י-ם</vt:lpwstr>
  </property>
  <property fmtid="{D5CDD505-2E9C-101B-9397-08002B2CF9AE}" pid="6" name="DATE">
    <vt:lpwstr>20080527</vt:lpwstr>
  </property>
  <property fmtid="{D5CDD505-2E9C-101B-9397-08002B2CF9AE}" pid="7" name="DELEMATA">
    <vt:lpwstr>http://elyon2.court.gov.il/scripts9/mgrqispi93.dll?Appname=eScourt&amp;Prgname=GetFileDetails&amp;Arguments=-N2008-006125-0</vt:lpwstr>
  </property>
  <property fmtid="{D5CDD505-2E9C-101B-9397-08002B2CF9AE}" pid="8" name="ISABSTRACT">
    <vt:lpwstr>Y</vt:lpwstr>
  </property>
  <property fmtid="{D5CDD505-2E9C-101B-9397-08002B2CF9AE}" pid="9" name="JUDGE">
    <vt:lpwstr>נאוה בן אור</vt:lpwstr>
  </property>
  <property fmtid="{D5CDD505-2E9C-101B-9397-08002B2CF9AE}" pid="10" name="LAWLISTTMP1">
    <vt:lpwstr>70301/144.a;144.b:2;144.b2:2</vt:lpwstr>
  </property>
  <property fmtid="{D5CDD505-2E9C-101B-9397-08002B2CF9AE}" pid="11" name="LAWYER">
    <vt:lpwstr>אבו גוש;פסק</vt:lpwstr>
  </property>
  <property fmtid="{D5CDD505-2E9C-101B-9397-08002B2CF9AE}" pid="12" name="LINKK1">
    <vt:lpwstr>http://www.nevo.co.il/Psika_word/elyon/08061250-o01.doc;לפסק-דין בעליון (26-02-2009)#עפ 6125/08 דיב שקיראת נ' מדינת ישראל#שופטים: א' א' לוי, מ' נאור, י' דנציגר#עו''ד: שירות המבחן ליאנה בלומנפלד מגד גב' אדוה פרויד, מוחמד אבו גוש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3089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390020080527</vt:lpwstr>
  </property>
  <property fmtid="{D5CDD505-2E9C-101B-9397-08002B2CF9AE}" pid="37" name="TYPE_N_DATE">
    <vt:lpwstr>39020080527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