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40"/>
        <w:gridCol w:w="446"/>
        <w:gridCol w:w="954"/>
        <w:gridCol w:w="517"/>
        <w:gridCol w:w="5045"/>
      </w:tblGrid>
      <w:tr>
        <w:trPr>
          <w:trHeight w:val="418" w:hRule="exact"/>
        </w:trPr>
        <w:tc>
          <w:tcPr>
            <w:tcW w:w="3757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בנצרת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84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42-08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מדור תביעות חיפה והצפון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אחים חורי עבודות צבע ושיפוצים בע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 ואח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4530/05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4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471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מדור תביעות חיפה והצפון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</w:rPr>
              <w:t>1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אחים חורי עבודות צבע ושיפוצים בע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</w:rPr>
              <w:t>2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חורי מנסור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מטעם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ורד גילאור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מטעם הנאשמים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מס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בעצמו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י 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רש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יסוד הודאת הנאשמים אני מרשיעה אותם בעבירה המיוחסת להם בכתב האישום שעניינה</w:t>
      </w:r>
      <w:r>
        <w:rPr>
          <w:rtl w:val="true"/>
        </w:rPr>
        <w:t xml:space="preserve">, </w:t>
      </w:r>
      <w:r>
        <w:rPr>
          <w:rtl w:val="true"/>
        </w:rPr>
        <w:t>אי הגשת דו</w:t>
      </w:r>
      <w:r>
        <w:rPr>
          <w:rtl w:val="true"/>
        </w:rPr>
        <w:t>"</w:t>
      </w:r>
      <w:r>
        <w:rPr>
          <w:rtl w:val="true"/>
        </w:rPr>
        <w:t xml:space="preserve">ח במועד </w:t>
      </w:r>
      <w:r>
        <w:rPr>
          <w:rtl w:val="true"/>
        </w:rPr>
        <w:t xml:space="preserve">- </w:t>
      </w:r>
      <w:r>
        <w:rPr>
          <w:rtl w:val="true"/>
        </w:rPr>
        <w:t xml:space="preserve">עבירה לפי סעיף </w:t>
      </w:r>
      <w:r>
        <w:rPr/>
        <w:t>216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>)+</w:t>
      </w:r>
      <w:r>
        <w:rPr>
          <w:rtl w:val="true"/>
        </w:rPr>
        <w:t xml:space="preserve">סעיף </w:t>
      </w:r>
      <w:r>
        <w:rPr/>
        <w:t>224</w:t>
      </w:r>
      <w:r>
        <w:rPr>
          <w:rtl w:val="true"/>
        </w:rPr>
        <w:t>א ל</w:t>
      </w:r>
      <w:hyperlink r:id="rId2">
        <w:r>
          <w:rPr>
            <w:rStyle w:val="Hyperlink"/>
            <w:color w:val="0000FF"/>
            <w:u w:val="single"/>
            <w:rtl w:val="true"/>
          </w:rPr>
          <w:t>פקודת מס הכנסה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טבת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18/01/2009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יפעת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שיטרית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eastAsia="David" w:cs="David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4" w:name="ABSTRACT_START"/>
      <w:bookmarkEnd w:id="4"/>
      <w:r>
        <w:rPr>
          <w:rtl w:val="true"/>
        </w:rPr>
        <w:t>הנאשמים הורשעו עפ</w:t>
      </w:r>
      <w:r>
        <w:rPr>
          <w:rtl w:val="true"/>
        </w:rPr>
        <w:t>"</w:t>
      </w:r>
      <w:r>
        <w:rPr>
          <w:rtl w:val="true"/>
        </w:rPr>
        <w:t>י הודאתם בעבירה שעניינה אי הגשת דו</w:t>
      </w:r>
      <w:r>
        <w:rPr>
          <w:rtl w:val="true"/>
        </w:rPr>
        <w:t>"</w:t>
      </w:r>
      <w:r>
        <w:rPr>
          <w:rtl w:val="true"/>
        </w:rPr>
        <w:t>ח במועד</w:t>
      </w:r>
      <w:r>
        <w:rPr>
          <w:rtl w:val="true"/>
        </w:rPr>
        <w:t xml:space="preserve">, </w:t>
      </w:r>
      <w:r>
        <w:rPr>
          <w:rtl w:val="true"/>
        </w:rPr>
        <w:t>כאשר עסקינן בעבירה בגין אי הגשת דו</w:t>
      </w:r>
      <w:r>
        <w:rPr>
          <w:rtl w:val="true"/>
        </w:rPr>
        <w:t>"</w:t>
      </w:r>
      <w:r>
        <w:rPr>
          <w:rtl w:val="true"/>
        </w:rPr>
        <w:t xml:space="preserve">ח במועד וזאת ביחס לשנת המס </w:t>
      </w:r>
      <w:r>
        <w:rPr/>
        <w:t>2001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5" w:name="ABSTRACT_END"/>
      <w:bookmarkEnd w:id="5"/>
      <w:r>
        <w:rPr>
          <w:rtl w:val="true"/>
        </w:rPr>
        <w:t>מחד תצוין לחומרא מהות העבירה באשר יש בה כדי לחתור תחת הסדר הציבורי וכדי לפגוע בקופה הציבורית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עוד שמתי ליבי לעובדה כי לחובת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הרשעה קודמת  מאותו סוג וזאת בשים לב לאסמכתאות 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המונחות בפניי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תצוין לקולא הודאת הנאשמים</w:t>
      </w:r>
      <w:r>
        <w:rPr>
          <w:rtl w:val="true"/>
        </w:rPr>
        <w:t xml:space="preserve">, </w:t>
      </w:r>
      <w:r>
        <w:rPr>
          <w:rtl w:val="true"/>
        </w:rPr>
        <w:t>חיסכון זמן שיפוטי יקר</w:t>
      </w:r>
      <w:r>
        <w:rPr>
          <w:rtl w:val="true"/>
        </w:rPr>
        <w:t xml:space="preserve">, </w:t>
      </w:r>
      <w:r>
        <w:rPr>
          <w:rtl w:val="true"/>
        </w:rPr>
        <w:t>לקיחת האחריות</w:t>
      </w:r>
      <w:r>
        <w:rPr>
          <w:rtl w:val="true"/>
        </w:rPr>
        <w:t xml:space="preserve">, </w:t>
      </w:r>
      <w:r>
        <w:rPr>
          <w:rtl w:val="true"/>
        </w:rPr>
        <w:t>הניסיון שעשו בדיעבד להסרת המחדל</w:t>
      </w:r>
      <w:r>
        <w:rPr>
          <w:rtl w:val="true"/>
        </w:rPr>
        <w:t xml:space="preserve">, </w:t>
      </w:r>
      <w:r>
        <w:rPr>
          <w:rtl w:val="true"/>
        </w:rPr>
        <w:t>גם אם אלה בסופו של יום לא צלחו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שמתי ליבי להסברים שהתקבלו מאת ב</w:t>
      </w:r>
      <w:r>
        <w:rPr>
          <w:rtl w:val="true"/>
        </w:rPr>
        <w:t>"</w:t>
      </w:r>
      <w:r>
        <w:rPr>
          <w:rtl w:val="true"/>
        </w:rPr>
        <w:t>כ הנאשמים באשר לנסיבות אשר בעטין כך אירע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עוד שמתי ליבי לנסיבותיו האישיות של הנאשם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מצבו הכלכלי</w:t>
      </w:r>
      <w:r>
        <w:rPr>
          <w:rtl w:val="true"/>
        </w:rPr>
        <w:t xml:space="preserve">, </w:t>
      </w:r>
      <w:r>
        <w:rPr>
          <w:rtl w:val="true"/>
        </w:rPr>
        <w:t>והמועד שחלף מאת ביצוע 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בזיקה לכל אלה</w:t>
      </w:r>
      <w:r>
        <w:rPr>
          <w:rtl w:val="true"/>
        </w:rPr>
        <w:t xml:space="preserve">, </w:t>
      </w:r>
      <w:r>
        <w:rPr>
          <w:rtl w:val="true"/>
        </w:rPr>
        <w:t>ולאחר שערכתי איזון ראוי</w:t>
      </w:r>
      <w:r>
        <w:rPr>
          <w:rtl w:val="true"/>
        </w:rPr>
        <w:t xml:space="preserve">, </w:t>
      </w:r>
      <w:r>
        <w:rPr>
          <w:rtl w:val="true"/>
        </w:rPr>
        <w:t>אני רואה להשית על כל אחד מהנאשמים את העונשים 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על נאשמת </w:t>
      </w:r>
      <w:r>
        <w:rPr>
          <w:b/>
          <w:bCs/>
          <w:u w:val="single"/>
        </w:rPr>
        <w:t>1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קנס בסך </w:t>
      </w:r>
      <w:r>
        <w:rPr/>
        <w:t>4,500</w:t>
      </w:r>
      <w:r>
        <w:rPr>
          <w:rtl w:val="true"/>
        </w:rPr>
        <w:t xml:space="preserve"> ₪ </w:t>
      </w:r>
      <w:r>
        <w:rPr>
          <w:rtl w:val="true"/>
        </w:rPr>
        <w:t xml:space="preserve">אשר ישולם בתוך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 מהיום שאם לא כן</w:t>
      </w:r>
      <w:r>
        <w:rPr>
          <w:rtl w:val="true"/>
        </w:rPr>
        <w:t xml:space="preserve">, </w:t>
      </w:r>
      <w:r>
        <w:rPr>
          <w:rtl w:val="true"/>
        </w:rPr>
        <w:t>ישא בתוספת פיגורים 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 xml:space="preserve">על נאשם </w:t>
      </w:r>
      <w:r>
        <w:rPr>
          <w:b/>
          <w:bCs/>
          <w:u w:val="single"/>
        </w:rPr>
        <w:t>2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 מאסר על תנאי והתנאי הוא שהנאשם לא יעבור תוך תקופה של שנתיים מהיום כל עבירה ל</w:t>
      </w:r>
      <w:hyperlink r:id="rId3">
        <w:r>
          <w:rPr>
            <w:rStyle w:val="Hyperlink"/>
            <w:color w:val="0000FF"/>
            <w:u w:val="single"/>
            <w:rtl w:val="true"/>
          </w:rPr>
          <w:t>פקודת מס הכנסה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[ </w:t>
      </w:r>
      <w:r>
        <w:rPr>
          <w:rtl w:val="true"/>
        </w:rPr>
        <w:t>נוסח חדש</w:t>
      </w:r>
      <w:r>
        <w:rPr>
          <w:rtl w:val="true"/>
        </w:rPr>
        <w:t xml:space="preserve">]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 </w:t>
      </w:r>
      <w:r>
        <w:rPr>
          <w:rtl w:val="true"/>
        </w:rPr>
        <w:t>ויורשע בגין אחת מאלה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קנס בסך </w:t>
      </w:r>
      <w:r>
        <w:rPr/>
        <w:t>4,500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הקנס ישולם ב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תשלומים חודשיים שווים ורצופים בסך </w:t>
      </w:r>
      <w:r>
        <w:rPr/>
        <w:t>500</w:t>
      </w:r>
      <w:r>
        <w:rPr>
          <w:rtl w:val="true"/>
        </w:rPr>
        <w:t xml:space="preserve"> ₪ </w:t>
      </w:r>
      <w:r>
        <w:rPr>
          <w:rtl w:val="true"/>
        </w:rPr>
        <w:t>כל אחד</w:t>
      </w:r>
      <w:r>
        <w:rPr>
          <w:rtl w:val="true"/>
        </w:rPr>
        <w:t xml:space="preserve">, </w:t>
      </w:r>
      <w:r>
        <w:rPr>
          <w:rtl w:val="true"/>
        </w:rPr>
        <w:t xml:space="preserve">התשלום הראשון ישולם לא יאוחר מיום  </w:t>
      </w:r>
      <w:r>
        <w:rPr/>
        <w:t>15.2.09</w:t>
      </w:r>
      <w:r>
        <w:rPr>
          <w:rtl w:val="true"/>
        </w:rPr>
        <w:t xml:space="preserve"> </w:t>
      </w:r>
      <w:r>
        <w:rPr>
          <w:rtl w:val="true"/>
        </w:rPr>
        <w:t xml:space="preserve">ובכל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לחודש אחריו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 עמידה באחד התשלומים במועד</w:t>
      </w:r>
      <w:r>
        <w:rPr>
          <w:rtl w:val="true"/>
        </w:rPr>
        <w:t xml:space="preserve">, </w:t>
      </w:r>
      <w:r>
        <w:rPr>
          <w:rtl w:val="true"/>
        </w:rPr>
        <w:t>תעמיד את יתרת התשלומים אשר לא נפרעו</w:t>
      </w:r>
      <w:r>
        <w:rPr>
          <w:rtl w:val="true"/>
        </w:rPr>
        <w:t xml:space="preserve">, </w:t>
      </w:r>
      <w:r>
        <w:rPr>
          <w:rtl w:val="true"/>
        </w:rPr>
        <w:t>לפירעון במועד אחד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לבית המשפט המחוזי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 מהיום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טבת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18/01/2009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יפעת שיטרית </w:t>
      </w:r>
      <w:r>
        <w:rPr>
          <w:color w:val="000000"/>
          <w:sz w:val="22"/>
          <w:szCs w:val="22"/>
        </w:rPr>
        <w:t>54678313-4530/05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יפעת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שיטרית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eastAsia="David" w:cs="David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אפרת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מנשקו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/Users/liorb/Downloads/study2025-p2/SH-08-42.doc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4530/05</w:t>
    </w:r>
    <w:r>
      <w:rPr>
        <w:color w:val="000000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42-08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מדור תביעות חיפה והצפון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אחים חורי עבודות צבע ושיפוצים בע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מ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42-08"/>
    <w:docVar w:name="caseId" w:val="1975522"/>
    <w:docVar w:name="deriveClass" w:val="NGCS.Protocol.BL.Client.ProtocolBLClientCriminal"/>
    <w:docVar w:name="firstPageNumber" w:val="4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222628"/>
    <w:docVar w:name="releaseSign" w:val="0"/>
    <w:docVar w:name="sittingDateTime" w:val="18/01/2009 09:00     "/>
    <w:docVar w:name="sittingId" w:val="12223996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Style11">
    <w:name w:val="גופן ברירת המחדל של פיסקה"/>
    <w:qFormat/>
    <w:rPr/>
  </w:style>
  <w:style w:type="character" w:styleId="Style12">
    <w:name w:val="הפנייה להערה"/>
    <w:basedOn w:val="Style11"/>
    <w:qFormat/>
    <w:rPr>
      <w:sz w:val="16"/>
      <w:szCs w:val="16"/>
    </w:rPr>
  </w:style>
  <w:style w:type="character" w:styleId="PageNumber">
    <w:name w:val="page number"/>
    <w:basedOn w:val="Style11"/>
    <w:rPr/>
  </w:style>
  <w:style w:type="character" w:styleId="LineNumber">
    <w:name w:val="line number"/>
    <w:basedOn w:val="Style11"/>
    <w:rPr>
      <w:rFonts w:cs="Arial"/>
      <w:szCs w:val="20"/>
    </w:rPr>
  </w:style>
  <w:style w:type="character" w:styleId="Hyperlink">
    <w:name w:val="Hyperlink"/>
    <w:basedOn w:val="Style11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3">
    <w:name w:val="טקסט הערה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Style14">
    <w:name w:val="טקסט בלונים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255_001a.htm" TargetMode="External"/><Relationship Id="rId3" Type="http://schemas.openxmlformats.org/officeDocument/2006/relationships/hyperlink" Target="http://www.nevo.co.il/law_html/law01/255_001a.htm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2009-01-19T00:13:00Z</dcterms:created>
  <dc:creator> </dc:creator>
  <dc:description/>
  <cp:keywords/>
  <dc:language>en-IL</dc:language>
  <cp:lastModifiedBy>hofit</cp:lastModifiedBy>
  <dcterms:modified xsi:type="dcterms:W3CDTF">2009-01-19T11:05:00Z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מדור תביעות חיפה והצפון</vt:lpwstr>
  </property>
  <property fmtid="{D5CDD505-2E9C-101B-9397-08002B2CF9AE}" pid="3" name="APPELLEE">
    <vt:lpwstr>אחים חורי עבודות צבע ושיפוצים בע#מ; חורי מנסור</vt:lpwstr>
  </property>
  <property fmtid="{D5CDD505-2E9C-101B-9397-08002B2CF9AE}" pid="4" name="CITY">
    <vt:lpwstr>נצ'</vt:lpwstr>
  </property>
  <property fmtid="{D5CDD505-2E9C-101B-9397-08002B2CF9AE}" pid="5" name="DATE">
    <vt:lpwstr>20090118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יפעת שיטרית</vt:lpwstr>
  </property>
  <property fmtid="{D5CDD505-2E9C-101B-9397-08002B2CF9AE}" pid="9" name="LAWYER">
    <vt:lpwstr>ורד גילאור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42</vt:lpwstr>
  </property>
  <property fmtid="{D5CDD505-2E9C-101B-9397-08002B2CF9AE}" pid="23" name="NEWPARTB">
    <vt:lpwstr/>
  </property>
  <property fmtid="{D5CDD505-2E9C-101B-9397-08002B2CF9AE}" pid="24" name="NEWPARTC">
    <vt:lpwstr>08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4530;42</vt:lpwstr>
  </property>
  <property fmtid="{D5CDD505-2E9C-101B-9397-08002B2CF9AE}" pid="31" name="PROCYEAR">
    <vt:lpwstr>05;08</vt:lpwstr>
  </property>
  <property fmtid="{D5CDD505-2E9C-101B-9397-08002B2CF9AE}" pid="32" name="PSAKDIN">
    <vt:lpwstr>החלטה</vt:lpwstr>
  </property>
  <property fmtid="{D5CDD505-2E9C-101B-9397-08002B2CF9AE}" pid="33" name="TYPE">
    <vt:lpwstr>3</vt:lpwstr>
  </property>
  <property fmtid="{D5CDD505-2E9C-101B-9397-08002B2CF9AE}" pid="34" name="TYPE_ABS_DATE">
    <vt:lpwstr>380020090118</vt:lpwstr>
  </property>
  <property fmtid="{D5CDD505-2E9C-101B-9397-08002B2CF9AE}" pid="35" name="TYPE_N_DATE">
    <vt:lpwstr>38020090118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