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84513B" w:rsidRPr="00650679" w14:paraId="166A4CCF" w14:textId="77777777" w:rsidTr="0078023B">
        <w:trPr>
          <w:trHeight w:hRule="exact" w:val="418"/>
          <w:jc w:val="center"/>
        </w:trPr>
        <w:tc>
          <w:tcPr>
            <w:tcW w:w="8721" w:type="dxa"/>
            <w:gridSpan w:val="2"/>
          </w:tcPr>
          <w:p w14:paraId="4B690179" w14:textId="77777777" w:rsidR="0084513B" w:rsidRPr="00650679" w:rsidRDefault="0084513B" w:rsidP="00806636">
            <w:pPr>
              <w:pStyle w:val="a3"/>
              <w:jc w:val="center"/>
              <w:rPr>
                <w:rFonts w:ascii="Tahoma" w:hAnsi="Tahoma" w:cs="Tahoma"/>
                <w:color w:val="000080"/>
                <w:rtl/>
              </w:rPr>
            </w:pPr>
            <w:bookmarkStart w:id="0" w:name="FirstLawyer"/>
            <w:bookmarkStart w:id="1" w:name="LastJudge"/>
            <w:r w:rsidRPr="00650679">
              <w:rPr>
                <w:rFonts w:ascii="Tahoma" w:hAnsi="Tahoma" w:cs="Tahoma"/>
                <w:b/>
                <w:bCs/>
                <w:color w:val="000080"/>
                <w:rtl/>
              </w:rPr>
              <w:t>בית המשפט המחוזי בירושלים</w:t>
            </w:r>
          </w:p>
        </w:tc>
      </w:tr>
      <w:tr w:rsidR="0084513B" w:rsidRPr="00650679" w14:paraId="31DA4635" w14:textId="77777777" w:rsidTr="0078023B">
        <w:trPr>
          <w:trHeight w:val="337"/>
          <w:jc w:val="center"/>
        </w:trPr>
        <w:tc>
          <w:tcPr>
            <w:tcW w:w="5054" w:type="dxa"/>
          </w:tcPr>
          <w:p w14:paraId="0711707A" w14:textId="77777777" w:rsidR="0084513B" w:rsidRPr="00650679" w:rsidRDefault="0084513B" w:rsidP="00806636">
            <w:pPr>
              <w:rPr>
                <w:rFonts w:cs="FrankRuehl"/>
                <w:sz w:val="28"/>
                <w:szCs w:val="28"/>
                <w:rtl/>
              </w:rPr>
            </w:pPr>
            <w:r w:rsidRPr="00650679">
              <w:rPr>
                <w:rFonts w:cs="FrankRuehl"/>
                <w:sz w:val="28"/>
                <w:szCs w:val="28"/>
                <w:rtl/>
              </w:rPr>
              <w:t>ת"פ</w:t>
            </w:r>
            <w:r w:rsidRPr="00650679">
              <w:rPr>
                <w:rFonts w:cs="FrankRuehl" w:hint="cs"/>
                <w:sz w:val="28"/>
                <w:szCs w:val="28"/>
                <w:rtl/>
              </w:rPr>
              <w:t xml:space="preserve"> </w:t>
            </w:r>
            <w:r w:rsidRPr="00650679">
              <w:rPr>
                <w:rFonts w:cs="FrankRuehl"/>
                <w:sz w:val="28"/>
                <w:szCs w:val="28"/>
                <w:rtl/>
              </w:rPr>
              <w:t>11786-06-16</w:t>
            </w:r>
            <w:r w:rsidRPr="00650679">
              <w:rPr>
                <w:rFonts w:cs="FrankRuehl" w:hint="cs"/>
                <w:sz w:val="28"/>
                <w:szCs w:val="28"/>
                <w:rtl/>
              </w:rPr>
              <w:t xml:space="preserve"> </w:t>
            </w:r>
            <w:r w:rsidRPr="00650679">
              <w:rPr>
                <w:rFonts w:cs="FrankRuehl"/>
                <w:sz w:val="28"/>
                <w:szCs w:val="28"/>
                <w:rtl/>
              </w:rPr>
              <w:t>מדינת ישראל נ' רזאק</w:t>
            </w:r>
          </w:p>
          <w:p w14:paraId="4314B28A" w14:textId="77777777" w:rsidR="0084513B" w:rsidRPr="00650679" w:rsidRDefault="0084513B" w:rsidP="00806636">
            <w:pPr>
              <w:pStyle w:val="a3"/>
              <w:rPr>
                <w:rFonts w:cs="FrankRuehl"/>
                <w:sz w:val="28"/>
                <w:szCs w:val="28"/>
                <w:rtl/>
              </w:rPr>
            </w:pPr>
          </w:p>
        </w:tc>
        <w:tc>
          <w:tcPr>
            <w:tcW w:w="3667" w:type="dxa"/>
          </w:tcPr>
          <w:p w14:paraId="0C123725" w14:textId="77777777" w:rsidR="0084513B" w:rsidRPr="00650679" w:rsidRDefault="0084513B" w:rsidP="00806636">
            <w:pPr>
              <w:pStyle w:val="a3"/>
              <w:jc w:val="right"/>
              <w:rPr>
                <w:rFonts w:cs="FrankRuehl"/>
                <w:sz w:val="28"/>
                <w:szCs w:val="28"/>
                <w:rtl/>
              </w:rPr>
            </w:pPr>
          </w:p>
        </w:tc>
      </w:tr>
    </w:tbl>
    <w:p w14:paraId="1DC428D6" w14:textId="77777777" w:rsidR="0084513B" w:rsidRPr="00650679" w:rsidRDefault="0084513B" w:rsidP="0084513B">
      <w:pPr>
        <w:pStyle w:val="a3"/>
        <w:rPr>
          <w:rtl/>
        </w:rPr>
      </w:pPr>
      <w:r w:rsidRPr="00650679">
        <w:rPr>
          <w:rFonts w:hint="cs"/>
          <w:rtl/>
        </w:rPr>
        <w:t xml:space="preserve"> </w:t>
      </w:r>
    </w:p>
    <w:p w14:paraId="095F5B75" w14:textId="77777777" w:rsidR="0084513B" w:rsidRPr="00650679" w:rsidRDefault="0084513B" w:rsidP="0084513B">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84513B" w:rsidRPr="00650679" w14:paraId="77413A12" w14:textId="77777777" w:rsidTr="0084513B">
        <w:trPr>
          <w:trHeight w:val="295"/>
          <w:jc w:val="center"/>
        </w:trPr>
        <w:tc>
          <w:tcPr>
            <w:tcW w:w="923" w:type="dxa"/>
            <w:tcBorders>
              <w:top w:val="nil"/>
              <w:left w:val="nil"/>
              <w:bottom w:val="nil"/>
              <w:right w:val="nil"/>
            </w:tcBorders>
            <w:shd w:val="clear" w:color="auto" w:fill="auto"/>
          </w:tcPr>
          <w:p w14:paraId="2A445672" w14:textId="77777777" w:rsidR="0084513B" w:rsidRPr="00650679" w:rsidRDefault="0084513B" w:rsidP="0084513B">
            <w:pPr>
              <w:jc w:val="both"/>
              <w:rPr>
                <w:rFonts w:ascii="Arial" w:hAnsi="Arial"/>
                <w:b/>
                <w:bCs/>
                <w:sz w:val="28"/>
                <w:szCs w:val="28"/>
              </w:rPr>
            </w:pPr>
            <w:r w:rsidRPr="00650679">
              <w:rPr>
                <w:rFonts w:ascii="Arial" w:hAnsi="Arial" w:hint="cs"/>
                <w:b/>
                <w:bCs/>
                <w:sz w:val="28"/>
                <w:szCs w:val="28"/>
                <w:rtl/>
              </w:rPr>
              <w:t>ב</w:t>
            </w:r>
            <w:r w:rsidRPr="00650679">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1AB51D12" w14:textId="77777777" w:rsidR="0084513B" w:rsidRPr="00650679" w:rsidRDefault="0084513B" w:rsidP="00806636">
            <w:pPr>
              <w:rPr>
                <w:rFonts w:ascii="Arial" w:hAnsi="Arial"/>
                <w:b/>
                <w:bCs/>
                <w:rtl/>
              </w:rPr>
            </w:pPr>
            <w:r w:rsidRPr="00650679">
              <w:rPr>
                <w:rFonts w:ascii="Arial" w:hAnsi="Arial" w:hint="cs"/>
                <w:b/>
                <w:bCs/>
                <w:rtl/>
              </w:rPr>
              <w:t>כבוד ה</w:t>
            </w:r>
            <w:r w:rsidRPr="00650679">
              <w:rPr>
                <w:rFonts w:ascii="Arial" w:hAnsi="Arial"/>
                <w:b/>
                <w:bCs/>
                <w:rtl/>
              </w:rPr>
              <w:t>שופטת</w:t>
            </w:r>
            <w:r w:rsidRPr="00650679">
              <w:rPr>
                <w:rFonts w:ascii="Arial" w:hAnsi="Arial" w:hint="cs"/>
                <w:b/>
                <w:bCs/>
                <w:rtl/>
              </w:rPr>
              <w:t xml:space="preserve">  </w:t>
            </w:r>
            <w:r w:rsidRPr="00650679">
              <w:rPr>
                <w:rFonts w:ascii="Arial" w:hAnsi="Arial"/>
                <w:b/>
                <w:bCs/>
                <w:rtl/>
              </w:rPr>
              <w:t>חגית מאק-קלמנוביץ</w:t>
            </w:r>
          </w:p>
          <w:p w14:paraId="31290439" w14:textId="77777777" w:rsidR="0084513B" w:rsidRPr="00650679" w:rsidRDefault="0084513B" w:rsidP="00806636">
            <w:pPr>
              <w:rPr>
                <w:b/>
                <w:bCs/>
                <w:rtl/>
              </w:rPr>
            </w:pPr>
          </w:p>
          <w:p w14:paraId="0D93B987" w14:textId="77777777" w:rsidR="0084513B" w:rsidRPr="00650679" w:rsidRDefault="0084513B" w:rsidP="0084513B">
            <w:pPr>
              <w:jc w:val="both"/>
              <w:rPr>
                <w:rFonts w:ascii="Arial" w:hAnsi="Arial"/>
                <w:b/>
                <w:bCs/>
                <w:sz w:val="28"/>
                <w:szCs w:val="28"/>
              </w:rPr>
            </w:pPr>
          </w:p>
        </w:tc>
      </w:tr>
      <w:tr w:rsidR="0084513B" w:rsidRPr="00650679" w14:paraId="1650753E" w14:textId="77777777" w:rsidTr="0084513B">
        <w:trPr>
          <w:trHeight w:val="355"/>
          <w:jc w:val="center"/>
        </w:trPr>
        <w:tc>
          <w:tcPr>
            <w:tcW w:w="923" w:type="dxa"/>
            <w:tcBorders>
              <w:top w:val="nil"/>
              <w:left w:val="nil"/>
              <w:bottom w:val="nil"/>
              <w:right w:val="nil"/>
            </w:tcBorders>
            <w:shd w:val="clear" w:color="auto" w:fill="auto"/>
          </w:tcPr>
          <w:p w14:paraId="1C5DB010" w14:textId="77777777" w:rsidR="0084513B" w:rsidRPr="00650679" w:rsidRDefault="0084513B" w:rsidP="0084513B">
            <w:pPr>
              <w:jc w:val="both"/>
              <w:rPr>
                <w:rFonts w:ascii="Arial" w:hAnsi="Arial"/>
                <w:b/>
                <w:bCs/>
                <w:sz w:val="28"/>
                <w:szCs w:val="28"/>
              </w:rPr>
            </w:pPr>
            <w:bookmarkStart w:id="2" w:name="FirstAppellant"/>
            <w:r w:rsidRPr="00650679">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51382277" w14:textId="77777777" w:rsidR="0084513B" w:rsidRPr="00650679" w:rsidRDefault="0084513B" w:rsidP="00806636">
            <w:pPr>
              <w:rPr>
                <w:b/>
                <w:bCs/>
              </w:rPr>
            </w:pPr>
            <w:r w:rsidRPr="00650679">
              <w:rPr>
                <w:rFonts w:ascii="Arial" w:hAnsi="Arial"/>
                <w:b/>
                <w:bCs/>
                <w:sz w:val="28"/>
                <w:szCs w:val="28"/>
                <w:rtl/>
              </w:rPr>
              <w:t>מדינת ישראל</w:t>
            </w:r>
            <w:r w:rsidRPr="00650679">
              <w:rPr>
                <w:rFonts w:ascii="Arial" w:hAnsi="Arial"/>
                <w:b/>
                <w:bCs/>
                <w:sz w:val="28"/>
                <w:szCs w:val="28"/>
                <w:rtl/>
              </w:rPr>
              <w:br/>
            </w:r>
            <w:r w:rsidRPr="00650679">
              <w:rPr>
                <w:rFonts w:hint="cs"/>
                <w:b/>
                <w:bCs/>
                <w:rtl/>
              </w:rPr>
              <w:t>ע"י פרקליטות מחוז ירושלים (פלילי)</w:t>
            </w:r>
          </w:p>
        </w:tc>
        <w:tc>
          <w:tcPr>
            <w:tcW w:w="3771" w:type="dxa"/>
            <w:tcBorders>
              <w:top w:val="nil"/>
              <w:left w:val="nil"/>
              <w:bottom w:val="nil"/>
              <w:right w:val="nil"/>
            </w:tcBorders>
            <w:shd w:val="clear" w:color="auto" w:fill="auto"/>
          </w:tcPr>
          <w:p w14:paraId="718F0219" w14:textId="77777777" w:rsidR="0084513B" w:rsidRPr="00650679" w:rsidRDefault="0084513B" w:rsidP="0084513B">
            <w:pPr>
              <w:jc w:val="both"/>
              <w:rPr>
                <w:rFonts w:ascii="Arial" w:hAnsi="Arial"/>
                <w:b/>
                <w:bCs/>
                <w:sz w:val="28"/>
                <w:szCs w:val="28"/>
              </w:rPr>
            </w:pPr>
          </w:p>
        </w:tc>
      </w:tr>
      <w:bookmarkEnd w:id="2"/>
      <w:tr w:rsidR="0084513B" w:rsidRPr="00650679" w14:paraId="7BD294A5" w14:textId="77777777" w:rsidTr="0084513B">
        <w:trPr>
          <w:trHeight w:val="355"/>
          <w:jc w:val="center"/>
        </w:trPr>
        <w:tc>
          <w:tcPr>
            <w:tcW w:w="923" w:type="dxa"/>
            <w:tcBorders>
              <w:top w:val="nil"/>
              <w:left w:val="nil"/>
              <w:bottom w:val="nil"/>
              <w:right w:val="nil"/>
            </w:tcBorders>
            <w:shd w:val="clear" w:color="auto" w:fill="auto"/>
          </w:tcPr>
          <w:p w14:paraId="27AE7E40" w14:textId="77777777" w:rsidR="0084513B" w:rsidRPr="00650679" w:rsidRDefault="0084513B" w:rsidP="0084513B">
            <w:pPr>
              <w:jc w:val="both"/>
              <w:rPr>
                <w:rFonts w:ascii="Arial" w:hAnsi="Arial"/>
                <w:b/>
                <w:bCs/>
                <w:sz w:val="28"/>
                <w:szCs w:val="28"/>
                <w:rtl/>
              </w:rPr>
            </w:pPr>
          </w:p>
        </w:tc>
        <w:tc>
          <w:tcPr>
            <w:tcW w:w="4126" w:type="dxa"/>
            <w:tcBorders>
              <w:top w:val="nil"/>
              <w:left w:val="nil"/>
              <w:bottom w:val="nil"/>
              <w:right w:val="nil"/>
            </w:tcBorders>
            <w:shd w:val="clear" w:color="auto" w:fill="auto"/>
          </w:tcPr>
          <w:p w14:paraId="6C2E35F6" w14:textId="77777777" w:rsidR="0084513B" w:rsidRPr="00650679" w:rsidRDefault="0084513B" w:rsidP="0084513B">
            <w:pPr>
              <w:jc w:val="both"/>
              <w:rPr>
                <w:b/>
                <w:bCs/>
                <w:rtl/>
              </w:rPr>
            </w:pPr>
          </w:p>
        </w:tc>
        <w:tc>
          <w:tcPr>
            <w:tcW w:w="3771" w:type="dxa"/>
            <w:tcBorders>
              <w:top w:val="nil"/>
              <w:left w:val="nil"/>
              <w:bottom w:val="nil"/>
              <w:right w:val="nil"/>
            </w:tcBorders>
            <w:shd w:val="clear" w:color="auto" w:fill="auto"/>
          </w:tcPr>
          <w:p w14:paraId="43D920F8" w14:textId="77777777" w:rsidR="0084513B" w:rsidRPr="00650679" w:rsidRDefault="0084513B" w:rsidP="0084513B">
            <w:pPr>
              <w:jc w:val="right"/>
              <w:rPr>
                <w:rFonts w:ascii="Arial" w:hAnsi="Arial"/>
                <w:b/>
                <w:bCs/>
                <w:sz w:val="28"/>
                <w:szCs w:val="28"/>
                <w:rtl/>
              </w:rPr>
            </w:pPr>
            <w:r w:rsidRPr="00650679">
              <w:rPr>
                <w:rFonts w:ascii="Arial" w:hAnsi="Arial" w:hint="cs"/>
                <w:b/>
                <w:bCs/>
                <w:sz w:val="28"/>
                <w:szCs w:val="28"/>
                <w:rtl/>
              </w:rPr>
              <w:t>ה</w:t>
            </w:r>
            <w:r w:rsidRPr="00650679">
              <w:rPr>
                <w:rFonts w:ascii="Arial" w:hAnsi="Arial"/>
                <w:b/>
                <w:bCs/>
                <w:sz w:val="28"/>
                <w:szCs w:val="28"/>
                <w:rtl/>
              </w:rPr>
              <w:t>מאשימה</w:t>
            </w:r>
          </w:p>
        </w:tc>
      </w:tr>
      <w:tr w:rsidR="0084513B" w:rsidRPr="00650679" w14:paraId="204E8CC3" w14:textId="77777777" w:rsidTr="0084513B">
        <w:trPr>
          <w:trHeight w:val="355"/>
          <w:jc w:val="center"/>
        </w:trPr>
        <w:tc>
          <w:tcPr>
            <w:tcW w:w="923" w:type="dxa"/>
            <w:tcBorders>
              <w:top w:val="nil"/>
              <w:left w:val="nil"/>
              <w:bottom w:val="nil"/>
              <w:right w:val="nil"/>
            </w:tcBorders>
            <w:shd w:val="clear" w:color="auto" w:fill="auto"/>
          </w:tcPr>
          <w:p w14:paraId="589D73E1" w14:textId="77777777" w:rsidR="0084513B" w:rsidRPr="00650679" w:rsidRDefault="0084513B" w:rsidP="0084513B">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2B7354FB" w14:textId="77777777" w:rsidR="0084513B" w:rsidRPr="00650679" w:rsidRDefault="0084513B" w:rsidP="0084513B">
            <w:pPr>
              <w:jc w:val="center"/>
              <w:rPr>
                <w:rFonts w:ascii="Arial" w:hAnsi="Arial"/>
                <w:b/>
                <w:bCs/>
                <w:sz w:val="28"/>
                <w:szCs w:val="28"/>
                <w:rtl/>
              </w:rPr>
            </w:pPr>
          </w:p>
          <w:p w14:paraId="028FFDA6" w14:textId="77777777" w:rsidR="0084513B" w:rsidRPr="00650679" w:rsidRDefault="0084513B" w:rsidP="0084513B">
            <w:pPr>
              <w:jc w:val="center"/>
              <w:rPr>
                <w:rFonts w:ascii="Arial" w:hAnsi="Arial"/>
                <w:b/>
                <w:bCs/>
                <w:sz w:val="28"/>
                <w:szCs w:val="28"/>
                <w:rtl/>
              </w:rPr>
            </w:pPr>
            <w:r w:rsidRPr="00650679">
              <w:rPr>
                <w:rFonts w:ascii="Arial" w:hAnsi="Arial"/>
                <w:b/>
                <w:bCs/>
                <w:sz w:val="28"/>
                <w:szCs w:val="28"/>
                <w:rtl/>
              </w:rPr>
              <w:t>נגד</w:t>
            </w:r>
          </w:p>
          <w:p w14:paraId="69028253" w14:textId="77777777" w:rsidR="0084513B" w:rsidRPr="00650679" w:rsidRDefault="0084513B" w:rsidP="0084513B">
            <w:pPr>
              <w:jc w:val="both"/>
              <w:rPr>
                <w:rFonts w:ascii="Arial" w:hAnsi="Arial"/>
                <w:b/>
                <w:bCs/>
                <w:sz w:val="28"/>
                <w:szCs w:val="28"/>
              </w:rPr>
            </w:pPr>
          </w:p>
        </w:tc>
      </w:tr>
      <w:tr w:rsidR="0084513B" w:rsidRPr="00650679" w14:paraId="624FEAFB" w14:textId="77777777" w:rsidTr="0084513B">
        <w:trPr>
          <w:trHeight w:val="355"/>
          <w:jc w:val="center"/>
        </w:trPr>
        <w:tc>
          <w:tcPr>
            <w:tcW w:w="923" w:type="dxa"/>
            <w:tcBorders>
              <w:top w:val="nil"/>
              <w:left w:val="nil"/>
              <w:bottom w:val="nil"/>
              <w:right w:val="nil"/>
            </w:tcBorders>
            <w:shd w:val="clear" w:color="auto" w:fill="auto"/>
          </w:tcPr>
          <w:p w14:paraId="007AE0D2" w14:textId="77777777" w:rsidR="0084513B" w:rsidRPr="00650679" w:rsidRDefault="0084513B" w:rsidP="00806636">
            <w:pPr>
              <w:rPr>
                <w:rFonts w:ascii="Arial" w:hAnsi="Arial"/>
                <w:b/>
                <w:bCs/>
                <w:sz w:val="28"/>
                <w:szCs w:val="28"/>
                <w:rtl/>
              </w:rPr>
            </w:pPr>
          </w:p>
        </w:tc>
        <w:tc>
          <w:tcPr>
            <w:tcW w:w="4126" w:type="dxa"/>
            <w:tcBorders>
              <w:top w:val="nil"/>
              <w:left w:val="nil"/>
              <w:bottom w:val="nil"/>
              <w:right w:val="nil"/>
            </w:tcBorders>
            <w:shd w:val="clear" w:color="auto" w:fill="auto"/>
          </w:tcPr>
          <w:p w14:paraId="050F92D0" w14:textId="77777777" w:rsidR="0084513B" w:rsidRPr="00650679" w:rsidRDefault="0084513B" w:rsidP="00806636">
            <w:pPr>
              <w:rPr>
                <w:b/>
                <w:bCs/>
                <w:rtl/>
              </w:rPr>
            </w:pPr>
            <w:r w:rsidRPr="00650679">
              <w:rPr>
                <w:rFonts w:ascii="Arial" w:hAnsi="Arial"/>
                <w:b/>
                <w:bCs/>
                <w:sz w:val="28"/>
                <w:szCs w:val="28"/>
                <w:rtl/>
              </w:rPr>
              <w:t>מאהר רזאק</w:t>
            </w:r>
            <w:r w:rsidRPr="00650679">
              <w:rPr>
                <w:rFonts w:ascii="Arial" w:hAnsi="Arial"/>
                <w:b/>
                <w:bCs/>
                <w:sz w:val="28"/>
                <w:szCs w:val="28"/>
                <w:rtl/>
              </w:rPr>
              <w:br/>
            </w:r>
            <w:r w:rsidRPr="00650679">
              <w:rPr>
                <w:rFonts w:hint="cs"/>
                <w:b/>
                <w:bCs/>
                <w:rtl/>
              </w:rPr>
              <w:t>ע"י ב"כ עו"ד חיים הדיה</w:t>
            </w:r>
          </w:p>
        </w:tc>
        <w:tc>
          <w:tcPr>
            <w:tcW w:w="3771" w:type="dxa"/>
            <w:tcBorders>
              <w:top w:val="nil"/>
              <w:left w:val="nil"/>
              <w:bottom w:val="nil"/>
              <w:right w:val="nil"/>
            </w:tcBorders>
            <w:shd w:val="clear" w:color="auto" w:fill="auto"/>
          </w:tcPr>
          <w:p w14:paraId="417FE3B8" w14:textId="77777777" w:rsidR="0084513B" w:rsidRPr="00650679" w:rsidRDefault="0084513B" w:rsidP="0084513B">
            <w:pPr>
              <w:jc w:val="right"/>
              <w:rPr>
                <w:rFonts w:ascii="Arial" w:hAnsi="Arial"/>
                <w:b/>
                <w:bCs/>
                <w:sz w:val="28"/>
                <w:szCs w:val="28"/>
              </w:rPr>
            </w:pPr>
          </w:p>
        </w:tc>
      </w:tr>
      <w:tr w:rsidR="0084513B" w:rsidRPr="00650679" w14:paraId="1C686BA7" w14:textId="77777777" w:rsidTr="0084513B">
        <w:trPr>
          <w:trHeight w:val="355"/>
          <w:jc w:val="center"/>
        </w:trPr>
        <w:tc>
          <w:tcPr>
            <w:tcW w:w="923" w:type="dxa"/>
            <w:tcBorders>
              <w:top w:val="nil"/>
              <w:left w:val="nil"/>
              <w:bottom w:val="nil"/>
              <w:right w:val="nil"/>
            </w:tcBorders>
            <w:shd w:val="clear" w:color="auto" w:fill="auto"/>
          </w:tcPr>
          <w:p w14:paraId="2EF697AB" w14:textId="77777777" w:rsidR="0084513B" w:rsidRPr="00650679" w:rsidRDefault="0084513B" w:rsidP="0084513B">
            <w:pPr>
              <w:jc w:val="both"/>
              <w:rPr>
                <w:rFonts w:ascii="Arial" w:hAnsi="Arial"/>
                <w:b/>
                <w:bCs/>
                <w:sz w:val="28"/>
                <w:szCs w:val="28"/>
                <w:rtl/>
              </w:rPr>
            </w:pPr>
          </w:p>
        </w:tc>
        <w:tc>
          <w:tcPr>
            <w:tcW w:w="4126" w:type="dxa"/>
            <w:tcBorders>
              <w:top w:val="nil"/>
              <w:left w:val="nil"/>
              <w:bottom w:val="nil"/>
              <w:right w:val="nil"/>
            </w:tcBorders>
            <w:shd w:val="clear" w:color="auto" w:fill="auto"/>
          </w:tcPr>
          <w:p w14:paraId="452557F5" w14:textId="77777777" w:rsidR="0084513B" w:rsidRPr="00650679" w:rsidRDefault="0084513B" w:rsidP="0084513B">
            <w:pPr>
              <w:jc w:val="both"/>
              <w:rPr>
                <w:b/>
                <w:bCs/>
                <w:rtl/>
              </w:rPr>
            </w:pPr>
          </w:p>
        </w:tc>
        <w:tc>
          <w:tcPr>
            <w:tcW w:w="3771" w:type="dxa"/>
            <w:tcBorders>
              <w:top w:val="nil"/>
              <w:left w:val="nil"/>
              <w:bottom w:val="nil"/>
              <w:right w:val="nil"/>
            </w:tcBorders>
            <w:shd w:val="clear" w:color="auto" w:fill="auto"/>
          </w:tcPr>
          <w:p w14:paraId="44AC2DDE" w14:textId="77777777" w:rsidR="0084513B" w:rsidRPr="00650679" w:rsidRDefault="0084513B" w:rsidP="0084513B">
            <w:pPr>
              <w:jc w:val="right"/>
              <w:rPr>
                <w:rFonts w:ascii="Arial" w:hAnsi="Arial"/>
                <w:b/>
                <w:bCs/>
                <w:sz w:val="28"/>
                <w:szCs w:val="28"/>
              </w:rPr>
            </w:pPr>
            <w:r w:rsidRPr="00650679">
              <w:rPr>
                <w:rFonts w:ascii="Arial" w:hAnsi="Arial" w:hint="cs"/>
                <w:b/>
                <w:bCs/>
                <w:sz w:val="28"/>
                <w:szCs w:val="28"/>
                <w:rtl/>
              </w:rPr>
              <w:t>ה</w:t>
            </w:r>
            <w:r w:rsidRPr="00650679">
              <w:rPr>
                <w:rFonts w:ascii="Arial" w:hAnsi="Arial"/>
                <w:b/>
                <w:bCs/>
                <w:sz w:val="28"/>
                <w:szCs w:val="28"/>
                <w:rtl/>
              </w:rPr>
              <w:t>נאשם</w:t>
            </w:r>
          </w:p>
        </w:tc>
      </w:tr>
    </w:tbl>
    <w:p w14:paraId="6CF69C83" w14:textId="77777777" w:rsidR="003B5FCE" w:rsidRDefault="003B5FCE" w:rsidP="0084513B">
      <w:pPr>
        <w:rPr>
          <w:rtl/>
        </w:rPr>
      </w:pPr>
      <w:bookmarkStart w:id="3" w:name="LawTable"/>
      <w:bookmarkEnd w:id="3"/>
    </w:p>
    <w:p w14:paraId="4BDF4C4B" w14:textId="77777777" w:rsidR="003B5FCE" w:rsidRPr="003B5FCE" w:rsidRDefault="003B5FCE" w:rsidP="003B5FCE">
      <w:pPr>
        <w:spacing w:after="120" w:line="240" w:lineRule="exact"/>
        <w:ind w:left="283" w:hanging="283"/>
        <w:jc w:val="both"/>
        <w:rPr>
          <w:rFonts w:ascii="FrankRuehl" w:hAnsi="FrankRuehl" w:cs="FrankRuehl"/>
          <w:rtl/>
        </w:rPr>
      </w:pPr>
    </w:p>
    <w:p w14:paraId="507EB914" w14:textId="77777777" w:rsidR="003B5FCE" w:rsidRPr="003B5FCE" w:rsidRDefault="003B5FCE" w:rsidP="003B5FCE">
      <w:pPr>
        <w:spacing w:after="120" w:line="240" w:lineRule="exact"/>
        <w:ind w:left="283" w:hanging="283"/>
        <w:jc w:val="both"/>
        <w:rPr>
          <w:rFonts w:ascii="FrankRuehl" w:hAnsi="FrankRuehl" w:cs="FrankRuehl"/>
          <w:rtl/>
        </w:rPr>
      </w:pPr>
      <w:r w:rsidRPr="003B5FCE">
        <w:rPr>
          <w:rFonts w:ascii="FrankRuehl" w:hAnsi="FrankRuehl" w:cs="FrankRuehl"/>
          <w:rtl/>
        </w:rPr>
        <w:t xml:space="preserve">חקיקה שאוזכרה: </w:t>
      </w:r>
    </w:p>
    <w:p w14:paraId="288F1A52" w14:textId="77777777" w:rsidR="003B5FCE" w:rsidRPr="003B5FCE" w:rsidRDefault="003B5FCE" w:rsidP="003B5FCE">
      <w:pPr>
        <w:spacing w:after="120" w:line="240" w:lineRule="exact"/>
        <w:ind w:left="283" w:hanging="283"/>
        <w:jc w:val="both"/>
        <w:rPr>
          <w:rFonts w:ascii="FrankRuehl" w:hAnsi="FrankRuehl" w:cs="FrankRuehl"/>
          <w:color w:val="0000FF"/>
          <w:u w:val="single"/>
          <w:rtl/>
        </w:rPr>
      </w:pPr>
      <w:hyperlink r:id="rId6" w:history="1">
        <w:r w:rsidRPr="003B5FCE">
          <w:rPr>
            <w:rStyle w:val="Hyperlink"/>
            <w:rFonts w:ascii="FrankRuehl" w:hAnsi="FrankRuehl" w:cs="FrankRuehl"/>
            <w:rtl/>
          </w:rPr>
          <w:t>חוק העונשין, תשל"ז-1977</w:t>
        </w:r>
      </w:hyperlink>
      <w:r w:rsidRPr="003B5FCE">
        <w:rPr>
          <w:rFonts w:ascii="FrankRuehl" w:hAnsi="FrankRuehl" w:cs="FrankRuehl"/>
          <w:color w:val="0000FF"/>
          <w:u w:val="single"/>
          <w:rtl/>
        </w:rPr>
        <w:t xml:space="preserve">: סע'  </w:t>
      </w:r>
      <w:hyperlink r:id="rId7" w:history="1">
        <w:r w:rsidRPr="003B5FCE">
          <w:rPr>
            <w:rStyle w:val="Hyperlink"/>
            <w:rFonts w:ascii="FrankRuehl" w:hAnsi="FrankRuehl" w:cs="FrankRuehl"/>
          </w:rPr>
          <w:t>51</w:t>
        </w:r>
        <w:r w:rsidRPr="003B5FCE">
          <w:rPr>
            <w:rStyle w:val="Hyperlink"/>
            <w:rFonts w:ascii="FrankRuehl" w:hAnsi="FrankRuehl" w:cs="FrankRuehl"/>
            <w:rtl/>
          </w:rPr>
          <w:t>ב(ב1)</w:t>
        </w:r>
        <w:r w:rsidRPr="003B5FCE">
          <w:rPr>
            <w:rStyle w:val="Hyperlink"/>
            <w:rFonts w:ascii="FrankRuehl" w:hAnsi="FrankRuehl" w:cs="FrankRuehl"/>
          </w:rPr>
          <w:t>(1)</w:t>
        </w:r>
      </w:hyperlink>
      <w:r w:rsidRPr="003B5FCE">
        <w:rPr>
          <w:rFonts w:ascii="FrankRuehl" w:hAnsi="FrankRuehl" w:cs="FrankRuehl"/>
          <w:color w:val="0000FF"/>
          <w:u w:val="single"/>
          <w:rtl/>
        </w:rPr>
        <w:t xml:space="preserve">, </w:t>
      </w:r>
      <w:hyperlink r:id="rId8" w:history="1">
        <w:r w:rsidRPr="003B5FCE">
          <w:rPr>
            <w:rStyle w:val="Hyperlink"/>
            <w:rFonts w:ascii="FrankRuehl" w:hAnsi="FrankRuehl" w:cs="FrankRuehl"/>
          </w:rPr>
          <w:t>144 (</w:t>
        </w:r>
        <w:r w:rsidRPr="003B5FCE">
          <w:rPr>
            <w:rStyle w:val="Hyperlink"/>
            <w:rFonts w:ascii="FrankRuehl" w:hAnsi="FrankRuehl" w:cs="FrankRuehl"/>
            <w:rtl/>
          </w:rPr>
          <w:t>א</w:t>
        </w:r>
        <w:r w:rsidRPr="003B5FCE">
          <w:rPr>
            <w:rStyle w:val="Hyperlink"/>
            <w:rFonts w:ascii="FrankRuehl" w:hAnsi="FrankRuehl" w:cs="FrankRuehl"/>
          </w:rPr>
          <w:t>)</w:t>
        </w:r>
      </w:hyperlink>
    </w:p>
    <w:p w14:paraId="14F17E67" w14:textId="77777777" w:rsidR="003B5FCE" w:rsidRPr="003B5FCE" w:rsidRDefault="003B5FCE" w:rsidP="003B5FCE">
      <w:pPr>
        <w:spacing w:after="120" w:line="240" w:lineRule="exact"/>
        <w:ind w:left="283" w:hanging="283"/>
        <w:jc w:val="both"/>
        <w:rPr>
          <w:rFonts w:ascii="FrankRuehl" w:hAnsi="FrankRuehl" w:cs="FrankRuehl"/>
          <w:rtl/>
        </w:rPr>
      </w:pPr>
    </w:p>
    <w:p w14:paraId="0F8AFB41" w14:textId="77777777" w:rsidR="003B5FCE" w:rsidRPr="003B5FCE" w:rsidRDefault="003B5FCE" w:rsidP="0084513B">
      <w:pPr>
        <w:rPr>
          <w:rtl/>
        </w:rPr>
      </w:pPr>
      <w:bookmarkStart w:id="4" w:name="LawTable_End"/>
      <w:bookmarkEnd w:id="4"/>
    </w:p>
    <w:p w14:paraId="61D5AB2D" w14:textId="77777777" w:rsidR="0078023B" w:rsidRDefault="0078023B" w:rsidP="0084513B">
      <w:pPr>
        <w:rPr>
          <w:rtl/>
        </w:rPr>
      </w:pPr>
    </w:p>
    <w:p w14:paraId="5D14D0E3" w14:textId="77777777" w:rsidR="0078023B" w:rsidRPr="0078023B" w:rsidRDefault="0078023B" w:rsidP="0078023B">
      <w:pPr>
        <w:spacing w:after="120" w:line="240" w:lineRule="exact"/>
        <w:ind w:left="283" w:hanging="283"/>
        <w:jc w:val="both"/>
        <w:rPr>
          <w:rFonts w:ascii="FrankRuehl" w:hAnsi="FrankRuehl" w:cs="FrankRuehl"/>
          <w:rtl/>
        </w:rPr>
      </w:pPr>
    </w:p>
    <w:p w14:paraId="029E71C1" w14:textId="77777777" w:rsidR="0078023B" w:rsidRPr="0078023B" w:rsidRDefault="0078023B" w:rsidP="0078023B">
      <w:pPr>
        <w:spacing w:after="120" w:line="240" w:lineRule="exact"/>
        <w:ind w:left="283" w:hanging="283"/>
        <w:jc w:val="both"/>
        <w:rPr>
          <w:rFonts w:ascii="FrankRuehl" w:hAnsi="FrankRuehl" w:cs="FrankRuehl"/>
          <w:rtl/>
        </w:rPr>
      </w:pPr>
      <w:r w:rsidRPr="0078023B">
        <w:rPr>
          <w:rFonts w:ascii="FrankRuehl" w:hAnsi="FrankRuehl" w:cs="FrankRuehl"/>
          <w:rtl/>
        </w:rPr>
        <w:t xml:space="preserve">חקיקה שאוזכרה: </w:t>
      </w:r>
    </w:p>
    <w:p w14:paraId="137EB210" w14:textId="77777777" w:rsidR="0078023B" w:rsidRPr="0078023B" w:rsidRDefault="0078023B" w:rsidP="0078023B">
      <w:pPr>
        <w:spacing w:after="120" w:line="240" w:lineRule="exact"/>
        <w:ind w:left="283" w:hanging="283"/>
        <w:jc w:val="both"/>
        <w:rPr>
          <w:rFonts w:ascii="FrankRuehl" w:hAnsi="FrankRuehl" w:cs="FrankRuehl"/>
          <w:rtl/>
        </w:rPr>
      </w:pPr>
      <w:hyperlink r:id="rId9" w:history="1">
        <w:r w:rsidRPr="0078023B">
          <w:rPr>
            <w:rFonts w:ascii="FrankRuehl" w:hAnsi="FrankRuehl" w:cs="FrankRuehl"/>
            <w:color w:val="0000FF"/>
            <w:u w:val="single"/>
            <w:rtl/>
          </w:rPr>
          <w:t>חוק העונשין, תשל"ז-1977</w:t>
        </w:r>
      </w:hyperlink>
      <w:r w:rsidRPr="0078023B">
        <w:rPr>
          <w:rFonts w:ascii="FrankRuehl" w:hAnsi="FrankRuehl" w:cs="FrankRuehl"/>
          <w:rtl/>
        </w:rPr>
        <w:t xml:space="preserve">: סע'  </w:t>
      </w:r>
      <w:hyperlink r:id="rId10" w:history="1">
        <w:r w:rsidRPr="0078023B">
          <w:rPr>
            <w:rFonts w:ascii="FrankRuehl" w:hAnsi="FrankRuehl" w:cs="FrankRuehl"/>
            <w:color w:val="0000FF"/>
            <w:u w:val="single"/>
            <w:rtl/>
          </w:rPr>
          <w:t>51ב(ב1)(1)</w:t>
        </w:r>
      </w:hyperlink>
      <w:r w:rsidRPr="0078023B">
        <w:rPr>
          <w:rFonts w:ascii="FrankRuehl" w:hAnsi="FrankRuehl" w:cs="FrankRuehl"/>
          <w:rtl/>
        </w:rPr>
        <w:t xml:space="preserve">, </w:t>
      </w:r>
      <w:hyperlink r:id="rId11" w:history="1">
        <w:r w:rsidRPr="0078023B">
          <w:rPr>
            <w:rFonts w:ascii="FrankRuehl" w:hAnsi="FrankRuehl" w:cs="FrankRuehl"/>
            <w:color w:val="0000FF"/>
            <w:u w:val="single"/>
            <w:rtl/>
          </w:rPr>
          <w:t>144 (א)</w:t>
        </w:r>
      </w:hyperlink>
    </w:p>
    <w:p w14:paraId="7E81C516" w14:textId="77777777" w:rsidR="0084513B" w:rsidRPr="00650679" w:rsidRDefault="0084513B" w:rsidP="0084513B">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4513B" w:rsidRPr="009721DE" w14:paraId="2AE13D38" w14:textId="77777777" w:rsidTr="0084513B">
        <w:trPr>
          <w:trHeight w:val="355"/>
          <w:jc w:val="center"/>
        </w:trPr>
        <w:tc>
          <w:tcPr>
            <w:tcW w:w="8820" w:type="dxa"/>
            <w:tcBorders>
              <w:top w:val="nil"/>
              <w:left w:val="nil"/>
              <w:bottom w:val="nil"/>
              <w:right w:val="nil"/>
            </w:tcBorders>
            <w:shd w:val="clear" w:color="auto" w:fill="auto"/>
          </w:tcPr>
          <w:p w14:paraId="5372D374" w14:textId="77777777" w:rsidR="00650679" w:rsidRPr="00650679" w:rsidRDefault="00650679" w:rsidP="00650679">
            <w:pPr>
              <w:jc w:val="center"/>
              <w:rPr>
                <w:rFonts w:ascii="Arial" w:hAnsi="Arial"/>
                <w:b/>
                <w:bCs/>
                <w:sz w:val="32"/>
                <w:szCs w:val="32"/>
                <w:u w:val="single"/>
                <w:rtl/>
              </w:rPr>
            </w:pPr>
            <w:bookmarkStart w:id="5" w:name="PsakDin" w:colFirst="0" w:colLast="0"/>
            <w:bookmarkEnd w:id="0"/>
            <w:bookmarkEnd w:id="1"/>
            <w:r w:rsidRPr="00650679">
              <w:rPr>
                <w:rFonts w:ascii="Arial" w:hAnsi="Arial"/>
                <w:b/>
                <w:bCs/>
                <w:sz w:val="32"/>
                <w:szCs w:val="32"/>
                <w:u w:val="single"/>
                <w:rtl/>
              </w:rPr>
              <w:t>גזר דין</w:t>
            </w:r>
          </w:p>
          <w:p w14:paraId="7726E9B8" w14:textId="77777777" w:rsidR="0084513B" w:rsidRPr="00650679" w:rsidRDefault="0084513B" w:rsidP="00650679">
            <w:pPr>
              <w:jc w:val="center"/>
              <w:rPr>
                <w:rFonts w:ascii="Arial" w:hAnsi="Arial"/>
                <w:b/>
                <w:bCs/>
                <w:sz w:val="32"/>
                <w:szCs w:val="32"/>
                <w:u w:val="single"/>
                <w:rtl/>
              </w:rPr>
            </w:pPr>
          </w:p>
        </w:tc>
      </w:tr>
      <w:bookmarkEnd w:id="5"/>
    </w:tbl>
    <w:p w14:paraId="1DF64D1C" w14:textId="77777777" w:rsidR="0084513B" w:rsidRPr="009721DE" w:rsidRDefault="0084513B" w:rsidP="0084513B">
      <w:pPr>
        <w:rPr>
          <w:rFonts w:ascii="Arial" w:hAnsi="Arial"/>
          <w:b/>
          <w:bCs/>
          <w:rtl/>
        </w:rPr>
      </w:pPr>
    </w:p>
    <w:p w14:paraId="0CF8F4C1" w14:textId="77777777" w:rsidR="0084513B" w:rsidRDefault="0084513B" w:rsidP="0084513B">
      <w:pPr>
        <w:spacing w:after="120" w:line="360" w:lineRule="auto"/>
        <w:jc w:val="both"/>
        <w:rPr>
          <w:rFonts w:ascii="Arial" w:hAnsi="Arial"/>
          <w:b/>
          <w:bCs/>
          <w:sz w:val="26"/>
          <w:szCs w:val="26"/>
          <w:u w:val="single"/>
          <w:rtl/>
        </w:rPr>
      </w:pPr>
      <w:r>
        <w:rPr>
          <w:rFonts w:ascii="Arial" w:hAnsi="Arial" w:hint="cs"/>
          <w:b/>
          <w:bCs/>
          <w:sz w:val="26"/>
          <w:szCs w:val="26"/>
          <w:u w:val="single"/>
          <w:rtl/>
        </w:rPr>
        <w:t>העובדות וטענות הצדדים</w:t>
      </w:r>
    </w:p>
    <w:p w14:paraId="45D251D3" w14:textId="77777777" w:rsidR="0084513B" w:rsidRDefault="0084513B" w:rsidP="0084513B">
      <w:pPr>
        <w:spacing w:after="120" w:line="360" w:lineRule="auto"/>
        <w:jc w:val="both"/>
        <w:rPr>
          <w:sz w:val="26"/>
          <w:szCs w:val="26"/>
          <w:rtl/>
        </w:rPr>
      </w:pPr>
      <w:r w:rsidRPr="00626DDA">
        <w:rPr>
          <w:rFonts w:ascii="Arial" w:hAnsi="Arial" w:hint="cs"/>
          <w:sz w:val="26"/>
          <w:szCs w:val="26"/>
          <w:rtl/>
        </w:rPr>
        <w:t>1.</w:t>
      </w:r>
      <w:r w:rsidRPr="00626DDA">
        <w:rPr>
          <w:rFonts w:ascii="Arial" w:hAnsi="Arial" w:hint="cs"/>
          <w:sz w:val="26"/>
          <w:szCs w:val="26"/>
          <w:rtl/>
        </w:rPr>
        <w:tab/>
      </w:r>
      <w:bookmarkStart w:id="6" w:name="ABSTRACT_START"/>
      <w:bookmarkEnd w:id="6"/>
      <w:r w:rsidRPr="00614622">
        <w:rPr>
          <w:rFonts w:ascii="Arial" w:hAnsi="Arial" w:hint="cs"/>
          <w:sz w:val="26"/>
          <w:szCs w:val="26"/>
          <w:rtl/>
        </w:rPr>
        <w:t xml:space="preserve">הנאשם הודה והורשע במסגרת הסדר טיעון בעבירה של החזקת נשק לפי </w:t>
      </w:r>
      <w:hyperlink r:id="rId12" w:history="1">
        <w:r w:rsidR="0078023B" w:rsidRPr="0078023B">
          <w:rPr>
            <w:rFonts w:ascii="Arial" w:hAnsi="Arial"/>
            <w:color w:val="0000FF"/>
            <w:sz w:val="26"/>
            <w:szCs w:val="26"/>
            <w:u w:val="single"/>
            <w:rtl/>
          </w:rPr>
          <w:t>סעיף 144 (א)</w:t>
        </w:r>
      </w:hyperlink>
      <w:r w:rsidRPr="00614622">
        <w:rPr>
          <w:rFonts w:ascii="Arial" w:hAnsi="Arial" w:hint="cs"/>
          <w:sz w:val="26"/>
          <w:szCs w:val="26"/>
          <w:rtl/>
        </w:rPr>
        <w:t xml:space="preserve"> רישא ל</w:t>
      </w:r>
      <w:hyperlink r:id="rId13" w:history="1">
        <w:r w:rsidR="00650679" w:rsidRPr="00650679">
          <w:rPr>
            <w:rFonts w:ascii="Arial" w:hAnsi="Arial"/>
            <w:color w:val="0000FF"/>
            <w:sz w:val="26"/>
            <w:szCs w:val="26"/>
            <w:u w:val="single"/>
            <w:rtl/>
          </w:rPr>
          <w:t>חוק העונשין</w:t>
        </w:r>
      </w:hyperlink>
      <w:r w:rsidRPr="00614622">
        <w:rPr>
          <w:rFonts w:ascii="Arial" w:hAnsi="Arial" w:hint="cs"/>
          <w:sz w:val="26"/>
          <w:szCs w:val="26"/>
          <w:rtl/>
        </w:rPr>
        <w:t xml:space="preserve"> התשל"ז-1977. על פי עובדות כתב האישום המתוקן ביום 6.12.14 נסע הנאשם ברכבו מא-טור לכיוון א-זעים והחזיק ברכבו בתוך שקית, מתחת לכיסא הנוסע הקדמי, שני רימוני הלם</w:t>
      </w:r>
      <w:r w:rsidRPr="00614622">
        <w:rPr>
          <w:rFonts w:hint="cs"/>
          <w:sz w:val="26"/>
          <w:szCs w:val="26"/>
          <w:rtl/>
        </w:rPr>
        <w:t xml:space="preserve"> שאותם מצא יום קודם לכן.</w:t>
      </w:r>
      <w:r>
        <w:rPr>
          <w:rFonts w:hint="cs"/>
          <w:sz w:val="26"/>
          <w:szCs w:val="26"/>
          <w:rtl/>
        </w:rPr>
        <w:t xml:space="preserve"> הסדר הטיעון כלל הסכמה לתיקון כתב האישום, אך לא כלל הסכמה כלשהי לעניין העונש. הנאשם הודה בכתב האישום המתוקן ונשלח לקבלת תסקיר של שירות המבחן.</w:t>
      </w:r>
    </w:p>
    <w:p w14:paraId="3099F0F5" w14:textId="77777777" w:rsidR="0084513B" w:rsidRDefault="0084513B" w:rsidP="0084513B">
      <w:pPr>
        <w:spacing w:after="120" w:line="360" w:lineRule="auto"/>
        <w:jc w:val="both"/>
        <w:rPr>
          <w:sz w:val="26"/>
          <w:szCs w:val="26"/>
          <w:rtl/>
        </w:rPr>
      </w:pPr>
      <w:r>
        <w:rPr>
          <w:rFonts w:hint="cs"/>
          <w:sz w:val="26"/>
          <w:szCs w:val="26"/>
          <w:rtl/>
        </w:rPr>
        <w:lastRenderedPageBreak/>
        <w:t>2.</w:t>
      </w:r>
      <w:r>
        <w:rPr>
          <w:rFonts w:hint="cs"/>
          <w:sz w:val="26"/>
          <w:szCs w:val="26"/>
          <w:rtl/>
        </w:rPr>
        <w:tab/>
        <w:t xml:space="preserve">בטיעונים לעונש התייחסה ב"כ המאשימה לחומרה שבעבירותה נשק ופוטנציאל הנזק הטמון בהן, העונש החמור שנקבע להם בחוק והאינטרס הציבורי שבמלחמה בעבירות אלו. היא ציינה כי גם רימוני הלם נחשבים כנשק ועלולים לפגוע, והפנתה להנחיות פרקליט המדינה ולפסק הדין בת"פ 3128-10-14 (מחוזי חיפה), </w:t>
      </w:r>
      <w:r w:rsidRPr="00F474A0">
        <w:rPr>
          <w:rFonts w:hint="cs"/>
          <w:b/>
          <w:bCs/>
          <w:sz w:val="26"/>
          <w:szCs w:val="26"/>
          <w:rtl/>
        </w:rPr>
        <w:t>מדינת ישראל נ' אסאדי</w:t>
      </w:r>
      <w:r>
        <w:rPr>
          <w:rFonts w:hint="cs"/>
          <w:b/>
          <w:bCs/>
          <w:sz w:val="26"/>
          <w:szCs w:val="26"/>
          <w:rtl/>
        </w:rPr>
        <w:t xml:space="preserve"> (11.2.15)</w:t>
      </w:r>
      <w:r>
        <w:rPr>
          <w:rFonts w:hint="cs"/>
          <w:sz w:val="26"/>
          <w:szCs w:val="26"/>
          <w:rtl/>
        </w:rPr>
        <w:t xml:space="preserve">, בו החזיק הנאשם ברימון הלם אחד שמאוחר יותר נעשה בו שימוש, נקבע מתחם ענישה שבין 8-20 חודשי מאסר והנאשם נדון לתשעה חודשי מאסר. </w:t>
      </w:r>
      <w:bookmarkStart w:id="7" w:name="ABSTRACT_END"/>
      <w:bookmarkEnd w:id="7"/>
      <w:r>
        <w:rPr>
          <w:rFonts w:hint="cs"/>
          <w:sz w:val="26"/>
          <w:szCs w:val="26"/>
          <w:rtl/>
        </w:rPr>
        <w:t xml:space="preserve">ב"כ המאשימה ציינה כי בענייננו מדובר בהחזקה של שני רימונים, במדרג הגבוה כשהרימונים מוסלקים ברכב, וטענה כי מתחם הענישה נע בין 6-14 חודשי מאסר בפועל. </w:t>
      </w:r>
    </w:p>
    <w:p w14:paraId="1CBDB0A9" w14:textId="77777777" w:rsidR="0084513B" w:rsidRDefault="0084513B" w:rsidP="0084513B">
      <w:pPr>
        <w:spacing w:after="120" w:line="360" w:lineRule="auto"/>
        <w:ind w:firstLine="720"/>
        <w:jc w:val="both"/>
        <w:rPr>
          <w:sz w:val="26"/>
          <w:szCs w:val="26"/>
          <w:rtl/>
        </w:rPr>
      </w:pPr>
      <w:r>
        <w:rPr>
          <w:rFonts w:hint="cs"/>
          <w:sz w:val="26"/>
          <w:szCs w:val="26"/>
          <w:rtl/>
        </w:rPr>
        <w:t>במסגרת המתחם התייחסה ב"כ המאשימה לכך שהנאשם בעל הרשעות קודמות, אם כי לא בעבירות נשק, וכן לתסקיר שירות המבחן בו נקבע כי הנאשם אינו לוקח אחריות למעשים ואין בו המלצה שיקומית. היא ביקשה לגזור על הנאשם עונש המצוי באמצע מתחם הענישה, 10 חודשי מאסר בפועל, מאסר על תנאי מרתיע וקנס.</w:t>
      </w:r>
    </w:p>
    <w:p w14:paraId="342F0C13" w14:textId="77777777" w:rsidR="0084513B" w:rsidRDefault="0084513B" w:rsidP="0084513B">
      <w:pPr>
        <w:spacing w:after="120" w:line="360" w:lineRule="auto"/>
        <w:jc w:val="both"/>
        <w:rPr>
          <w:sz w:val="26"/>
          <w:szCs w:val="26"/>
        </w:rPr>
      </w:pPr>
      <w:r>
        <w:rPr>
          <w:rFonts w:hint="cs"/>
          <w:sz w:val="26"/>
          <w:szCs w:val="26"/>
          <w:rtl/>
        </w:rPr>
        <w:t>3.</w:t>
      </w:r>
      <w:r>
        <w:rPr>
          <w:rFonts w:hint="cs"/>
          <w:sz w:val="26"/>
          <w:szCs w:val="26"/>
          <w:rtl/>
        </w:rPr>
        <w:tab/>
        <w:t>ב"כ הנאשם טען כי העבירה נשוא כתב האישום בוצעה לפני כשלוש שנים והתיק לא טופל בדחיפות, לאחר שהנאשם שוחרר ללא תנאים, מאחר שאין בו מסוכנות מיוחדת. הוא ציין כי הנאשם לא תכנן לרכוש נשק אלא מצא את הרימונים בסילוואן ולקח אותם רק זמן קצר לפני שנתפסו ברשותו, וטען כי הנאשם החל לעשות את המעשה הנכון, כאשר מנע את נפילת הרימונים לידיים אחרות, אם כי טעה בכך שלא העבירם מיד למשטרה.</w:t>
      </w:r>
    </w:p>
    <w:p w14:paraId="0BEF1616" w14:textId="77777777" w:rsidR="0084513B" w:rsidRDefault="0084513B" w:rsidP="0084513B">
      <w:pPr>
        <w:spacing w:after="120" w:line="360" w:lineRule="auto"/>
        <w:ind w:firstLine="720"/>
        <w:jc w:val="both"/>
        <w:rPr>
          <w:sz w:val="26"/>
          <w:szCs w:val="26"/>
          <w:rtl/>
        </w:rPr>
      </w:pPr>
      <w:r>
        <w:rPr>
          <w:rFonts w:hint="cs"/>
          <w:sz w:val="26"/>
          <w:szCs w:val="26"/>
          <w:rtl/>
        </w:rPr>
        <w:t xml:space="preserve">הסניגור התייחס לכך שמדובר בהחזקה קצרת מועד, ברימוני הלם אשר משמשים לפיזור הפגנות, והמוגדרים אמנם כנשק אולם הסכנה שבהם פחותה מהסכנה הנשקפת מכלי יריה או רימונים אחרים. בהתייחס להרשעותיו הקודמות של הנאשם טען הסניגור כי מדובר בעבר שאינו רלוונטי, וכי הנאשם לא ביצע עבירות נוספות בזמן האחרון. הוא מחה על התרשמותה השלילית של קצינת המבחן מהנאשם, והדגיש את העובדה שהנאשם הקים משפחה חדשה, והדבר צויין גם בתסקיר כגורם מפחית סיכון. </w:t>
      </w:r>
    </w:p>
    <w:p w14:paraId="6E2F1405" w14:textId="77777777" w:rsidR="0084513B" w:rsidRDefault="0084513B" w:rsidP="0084513B">
      <w:pPr>
        <w:spacing w:after="120" w:line="360" w:lineRule="auto"/>
        <w:jc w:val="both"/>
        <w:rPr>
          <w:sz w:val="26"/>
          <w:szCs w:val="26"/>
          <w:rtl/>
        </w:rPr>
      </w:pPr>
      <w:r>
        <w:rPr>
          <w:rFonts w:hint="cs"/>
          <w:sz w:val="26"/>
          <w:szCs w:val="26"/>
          <w:rtl/>
        </w:rPr>
        <w:t>4.</w:t>
      </w:r>
      <w:r>
        <w:rPr>
          <w:rFonts w:hint="cs"/>
          <w:sz w:val="26"/>
          <w:szCs w:val="26"/>
          <w:rtl/>
        </w:rPr>
        <w:tab/>
        <w:t xml:space="preserve">הסניגור ביקש לקבוע מתחם ענישה שבין מאסר על תנאי "בואכה של"צ" לבין מספר קטן של חודשי מאסר, וביקש להעמיד את הנאשם בחלקו הנמוך של המתחם. הוא הפנה למספר פסקי דין, וביניהם: </w:t>
      </w:r>
    </w:p>
    <w:p w14:paraId="1F1FEF57" w14:textId="77777777" w:rsidR="0084513B" w:rsidRPr="00576285" w:rsidRDefault="00650679" w:rsidP="0084513B">
      <w:pPr>
        <w:spacing w:after="120" w:line="360" w:lineRule="auto"/>
        <w:ind w:firstLine="720"/>
        <w:jc w:val="both"/>
        <w:rPr>
          <w:sz w:val="26"/>
          <w:szCs w:val="26"/>
          <w:rtl/>
        </w:rPr>
      </w:pPr>
      <w:hyperlink r:id="rId14" w:history="1">
        <w:r w:rsidRPr="00650679">
          <w:rPr>
            <w:color w:val="0000FF"/>
            <w:sz w:val="26"/>
            <w:szCs w:val="26"/>
            <w:u w:val="single"/>
            <w:rtl/>
          </w:rPr>
          <w:t>עפ"ג (באר שבע) 20599-04-17</w:t>
        </w:r>
      </w:hyperlink>
      <w:r w:rsidR="0084513B">
        <w:rPr>
          <w:rFonts w:hint="cs"/>
          <w:sz w:val="26"/>
          <w:szCs w:val="26"/>
          <w:rtl/>
        </w:rPr>
        <w:t xml:space="preserve">, </w:t>
      </w:r>
      <w:r w:rsidR="0084513B">
        <w:rPr>
          <w:rFonts w:hint="cs"/>
          <w:b/>
          <w:bCs/>
          <w:sz w:val="26"/>
          <w:szCs w:val="26"/>
          <w:rtl/>
        </w:rPr>
        <w:t>ראובן מירילשוילי נ' מדינת ישראל</w:t>
      </w:r>
      <w:r w:rsidR="0084513B">
        <w:rPr>
          <w:rFonts w:hint="cs"/>
          <w:sz w:val="26"/>
          <w:szCs w:val="26"/>
          <w:rtl/>
        </w:rPr>
        <w:t xml:space="preserve"> (27.9.17) </w:t>
      </w:r>
      <w:r w:rsidR="0084513B">
        <w:rPr>
          <w:sz w:val="26"/>
          <w:szCs w:val="26"/>
          <w:rtl/>
        </w:rPr>
        <w:t>–</w:t>
      </w:r>
      <w:r w:rsidR="0084513B">
        <w:rPr>
          <w:rFonts w:hint="cs"/>
          <w:sz w:val="26"/>
          <w:szCs w:val="26"/>
          <w:rtl/>
        </w:rPr>
        <w:t xml:space="preserve"> המערער הורשע בהחזקת רימון הלם בארון בביתו, וכן בהחזקת חשיש לצריכה עצמית. הוא נדון למאסר על תנאי, התחייבות ופסילת רשיון נהיגה על תנאי, וערער על הרשעתו. הערעור נדחה ברוב דעות כנגד דעתו החולקת של אחד משופטי המותב. </w:t>
      </w:r>
    </w:p>
    <w:p w14:paraId="272DA942" w14:textId="77777777" w:rsidR="0084513B" w:rsidRDefault="00650679" w:rsidP="0084513B">
      <w:pPr>
        <w:spacing w:after="120" w:line="360" w:lineRule="auto"/>
        <w:ind w:firstLine="720"/>
        <w:jc w:val="both"/>
        <w:rPr>
          <w:sz w:val="26"/>
          <w:szCs w:val="26"/>
          <w:rtl/>
        </w:rPr>
      </w:pPr>
      <w:hyperlink r:id="rId15" w:history="1">
        <w:r w:rsidRPr="00650679">
          <w:rPr>
            <w:color w:val="0000FF"/>
            <w:sz w:val="26"/>
            <w:szCs w:val="26"/>
            <w:u w:val="single"/>
            <w:rtl/>
          </w:rPr>
          <w:t>ת"פ (מחוזי ירושלים) 53169-10-13</w:t>
        </w:r>
      </w:hyperlink>
      <w:r w:rsidR="0084513B">
        <w:rPr>
          <w:rFonts w:hint="cs"/>
          <w:sz w:val="26"/>
          <w:szCs w:val="26"/>
          <w:rtl/>
        </w:rPr>
        <w:t xml:space="preserve"> </w:t>
      </w:r>
      <w:r w:rsidR="0084513B">
        <w:rPr>
          <w:rFonts w:hint="cs"/>
          <w:b/>
          <w:bCs/>
          <w:sz w:val="26"/>
          <w:szCs w:val="26"/>
          <w:rtl/>
        </w:rPr>
        <w:t xml:space="preserve">מדינת ישראל נ' עבדו רחמן </w:t>
      </w:r>
      <w:r w:rsidR="0084513B">
        <w:rPr>
          <w:rFonts w:hint="cs"/>
          <w:sz w:val="26"/>
          <w:szCs w:val="26"/>
          <w:rtl/>
        </w:rPr>
        <w:t xml:space="preserve">(13.7.14), שם הודה הנאשם, כבן 19, בנשיאת אקדח טעון במחסנית ריקה בכיסו, ונשיאת שני כדורים תואמים בכיס אחר, בנוסף להחזקת מחסנית וכדורים נוספים ברכבו. נקבע מתחם ענישה בין 6 חודשים לבין 2.5 שנות מאסר. לאחר תסקיר חיובי ונסיבות חיוביות נגזר על הנאשם עונש שעיקרו שישה חודשי מאסר בעבודות שירות, כאשר אין ספק שמדובר בנסיבות חמורות מאלה של האירוע שבפני. </w:t>
      </w:r>
    </w:p>
    <w:p w14:paraId="1DC31BDA" w14:textId="77777777" w:rsidR="0084513B" w:rsidRDefault="00650679" w:rsidP="0084513B">
      <w:pPr>
        <w:spacing w:after="120" w:line="360" w:lineRule="auto"/>
        <w:ind w:firstLine="720"/>
        <w:jc w:val="both"/>
        <w:rPr>
          <w:sz w:val="26"/>
          <w:szCs w:val="26"/>
          <w:rtl/>
        </w:rPr>
      </w:pPr>
      <w:hyperlink r:id="rId16" w:history="1">
        <w:r w:rsidRPr="00650679">
          <w:rPr>
            <w:color w:val="0000FF"/>
            <w:sz w:val="26"/>
            <w:szCs w:val="26"/>
            <w:u w:val="single"/>
            <w:rtl/>
          </w:rPr>
          <w:t>ת"פ (שלום ירושלים) 35629-09-11</w:t>
        </w:r>
      </w:hyperlink>
      <w:r w:rsidR="0084513B">
        <w:rPr>
          <w:rFonts w:hint="cs"/>
          <w:sz w:val="26"/>
          <w:szCs w:val="26"/>
          <w:rtl/>
        </w:rPr>
        <w:t xml:space="preserve">, </w:t>
      </w:r>
      <w:r w:rsidR="0084513B">
        <w:rPr>
          <w:rFonts w:hint="cs"/>
          <w:b/>
          <w:bCs/>
          <w:sz w:val="26"/>
          <w:szCs w:val="26"/>
          <w:rtl/>
        </w:rPr>
        <w:t>מדינת ישראל נ' רומן סבירידונוב</w:t>
      </w:r>
      <w:r w:rsidR="0084513B">
        <w:rPr>
          <w:rFonts w:hint="cs"/>
          <w:sz w:val="26"/>
          <w:szCs w:val="26"/>
          <w:rtl/>
        </w:rPr>
        <w:t xml:space="preserve"> (19.2.15), שם הורשע הנאשם בהחזקת רימון הלם מפורק, אותו מצא והחזיק בארון. נקבע כי המתחם לעבירת נשק במדרג חומרה נמוך נע בין מאסר קצר בעבודות שירות לבין 10 חודשי מאסר, והנאשם, בעל עבר פלילי מינורי, נדון למאסר על תנאי ו-400 שעות של"צ. </w:t>
      </w:r>
    </w:p>
    <w:p w14:paraId="611029A0" w14:textId="77777777" w:rsidR="0084513B" w:rsidRPr="00626DDA" w:rsidRDefault="00650679" w:rsidP="0084513B">
      <w:pPr>
        <w:spacing w:after="120" w:line="360" w:lineRule="auto"/>
        <w:ind w:firstLine="720"/>
        <w:jc w:val="both"/>
        <w:rPr>
          <w:sz w:val="26"/>
          <w:szCs w:val="26"/>
          <w:rtl/>
        </w:rPr>
      </w:pPr>
      <w:hyperlink r:id="rId17" w:history="1">
        <w:r w:rsidRPr="00650679">
          <w:rPr>
            <w:color w:val="0000FF"/>
            <w:sz w:val="26"/>
            <w:szCs w:val="26"/>
            <w:u w:val="single"/>
            <w:rtl/>
          </w:rPr>
          <w:t>ת"פ (שלום פתח תקוה) 14385-07-16</w:t>
        </w:r>
      </w:hyperlink>
      <w:r w:rsidR="0084513B">
        <w:rPr>
          <w:rFonts w:hint="cs"/>
          <w:sz w:val="26"/>
          <w:szCs w:val="26"/>
          <w:rtl/>
        </w:rPr>
        <w:t xml:space="preserve">, </w:t>
      </w:r>
      <w:r w:rsidR="0084513B">
        <w:rPr>
          <w:rFonts w:hint="cs"/>
          <w:b/>
          <w:bCs/>
          <w:sz w:val="26"/>
          <w:szCs w:val="26"/>
          <w:rtl/>
        </w:rPr>
        <w:t>מדינת ישראל נ' נאור כפיר אזרן</w:t>
      </w:r>
      <w:r w:rsidR="0084513B">
        <w:rPr>
          <w:rFonts w:hint="cs"/>
          <w:sz w:val="26"/>
          <w:szCs w:val="26"/>
          <w:rtl/>
        </w:rPr>
        <w:t xml:space="preserve"> (16.2.17) </w:t>
      </w:r>
      <w:r w:rsidR="0084513B">
        <w:rPr>
          <w:sz w:val="26"/>
          <w:szCs w:val="26"/>
          <w:rtl/>
        </w:rPr>
        <w:t>–</w:t>
      </w:r>
      <w:r w:rsidR="0084513B">
        <w:rPr>
          <w:rFonts w:hint="cs"/>
          <w:sz w:val="26"/>
          <w:szCs w:val="26"/>
          <w:rtl/>
        </w:rPr>
        <w:t xml:space="preserve"> הנאשם הורשע בהחזקת רימון הלם ברחוב. לנאשם הרשעות קודמות ישנות, והוא הוחזק במעצר ממש כחודש וחצי. הנאשם נדון במסגרת הסדר טיעון הכולל עונש מוסכם לשלושה וחצי חודשי עבודות שירות. </w:t>
      </w:r>
    </w:p>
    <w:p w14:paraId="4419B824" w14:textId="77777777" w:rsidR="0084513B" w:rsidRPr="00614622" w:rsidRDefault="0084513B" w:rsidP="0084513B">
      <w:pPr>
        <w:spacing w:after="120" w:line="360" w:lineRule="auto"/>
        <w:jc w:val="both"/>
        <w:rPr>
          <w:sz w:val="26"/>
          <w:szCs w:val="26"/>
          <w:rtl/>
        </w:rPr>
      </w:pPr>
    </w:p>
    <w:p w14:paraId="29BA0ED4" w14:textId="77777777" w:rsidR="0084513B" w:rsidRPr="00626DDA" w:rsidRDefault="0084513B" w:rsidP="0084513B">
      <w:pPr>
        <w:spacing w:after="120" w:line="360" w:lineRule="auto"/>
        <w:jc w:val="both"/>
        <w:rPr>
          <w:b/>
          <w:bCs/>
          <w:sz w:val="26"/>
          <w:szCs w:val="26"/>
          <w:u w:val="single"/>
          <w:rtl/>
        </w:rPr>
      </w:pPr>
      <w:r w:rsidRPr="00626DDA">
        <w:rPr>
          <w:rFonts w:hint="cs"/>
          <w:b/>
          <w:bCs/>
          <w:sz w:val="26"/>
          <w:szCs w:val="26"/>
          <w:u w:val="single"/>
          <w:rtl/>
        </w:rPr>
        <w:t>חוות דעת ותסקירים</w:t>
      </w:r>
    </w:p>
    <w:p w14:paraId="61D79502" w14:textId="77777777" w:rsidR="0084513B" w:rsidRDefault="0084513B" w:rsidP="0084513B">
      <w:pPr>
        <w:spacing w:after="120" w:line="360" w:lineRule="auto"/>
        <w:jc w:val="both"/>
        <w:rPr>
          <w:sz w:val="26"/>
          <w:szCs w:val="26"/>
          <w:rtl/>
        </w:rPr>
      </w:pPr>
      <w:r>
        <w:rPr>
          <w:rFonts w:hint="cs"/>
          <w:sz w:val="26"/>
          <w:szCs w:val="26"/>
          <w:rtl/>
        </w:rPr>
        <w:t>5.</w:t>
      </w:r>
      <w:r>
        <w:rPr>
          <w:rFonts w:hint="cs"/>
          <w:sz w:val="26"/>
          <w:szCs w:val="26"/>
          <w:rtl/>
        </w:rPr>
        <w:tab/>
        <w:t>שירות המבחן הגיש תסקיר אודות הנאשם. התסקיר מתייחס לרקע המשפחתי של הנאשם ולנסיבות חייו, בין היתר לכך שאביו של הנאשם נפטר בגיל צעיר והמשפחה התמודדה עם מצוקה כלכלית קשה. לא ארחיב מפאת פרטיותו של הנאשם. עוד נכתב כי הנאשם נפצע ברגלו לפני כשנתיים על רקע אירוע ירי. כיום הוא נשוי בשנית ואב לילדה. בנוגע לעבירה נשוא כתב האישום מסר הנאשם לקצינת המבחן כי הבחין באנשים שברחו מפני כוחות הביטחון ובמנוסתם השליכו את רימוני ההלם, וכי לקח אותם בכוונה להחזירם לכוחות הביטחון. קצינת המבחן ראתה בגירסה זו ביטוי לחוסר אמינות של הנאשם, אשר נחווה לאורך השיחה כבלתי אמין ומתייחס בהגנתיות ובטשטוש למעשיו. לנוכח חומרת העבירה וגורמי סיכון, ובהעדר דרך שיקומית או הרתעתית אחרת, המליצה קצינת המבחן על עונש מאסר בפועל.</w:t>
      </w:r>
    </w:p>
    <w:p w14:paraId="267C5E32" w14:textId="77777777" w:rsidR="0084513B" w:rsidRDefault="0084513B" w:rsidP="0084513B">
      <w:pPr>
        <w:spacing w:after="120" w:line="360" w:lineRule="auto"/>
        <w:jc w:val="both"/>
        <w:rPr>
          <w:sz w:val="26"/>
          <w:szCs w:val="26"/>
          <w:rtl/>
        </w:rPr>
      </w:pPr>
      <w:r>
        <w:rPr>
          <w:rFonts w:hint="cs"/>
          <w:sz w:val="26"/>
          <w:szCs w:val="26"/>
          <w:rtl/>
        </w:rPr>
        <w:t>6.</w:t>
      </w:r>
      <w:r>
        <w:rPr>
          <w:rFonts w:hint="cs"/>
          <w:sz w:val="26"/>
          <w:szCs w:val="26"/>
          <w:rtl/>
        </w:rPr>
        <w:tab/>
        <w:t>לאחר שמיעת הטיעונים לעונש, ותוך הבהרה שאין בכך כדי להביע עמדה מהותית לגופו של עניין או ליצור הסתמכות כלשהי, הפניתי את הנאשם לקבלת חוות דעת של הממונה על עבודות השירות בשב"ס. חוות דעת הממונה מיום 13.3.18 ניתנה לאחר שהממונה פנה גם למשטרת ישראל ולחטיבת המודיעין בשב"ס לקבלת חוות דעתם. בחוות הדעת נקבע כי הנאשם אינו מתאים לבצע עבודות שירות, לנוכח קיומו של יסוד סביר לחשש לפגיעה בגופו או בחייו של אדם לרבות הנאשם. קביעה זו מבוססת על עמדת משטרת ישראל, אשר, על פי האמור בחוות הדעת, העבירה פרפרזה בה נכתב כי המשטרה "מתנגדת להעסקתו כעובד שירות לאור מודיעין עדכני כי הנדון עוסק בסחר והחזקת אמצעי לחימה. מודיעין אחרון בגין סכסוך על רקע סמים נרשם בשנת 2015 ומאז לא התקבל מודיעין קונקרטי או כל חידוש בגין נושא זה".</w:t>
      </w:r>
    </w:p>
    <w:p w14:paraId="0C36704B" w14:textId="77777777" w:rsidR="0084513B" w:rsidRDefault="0084513B" w:rsidP="0084513B">
      <w:pPr>
        <w:spacing w:after="120" w:line="360" w:lineRule="auto"/>
        <w:jc w:val="both"/>
        <w:rPr>
          <w:sz w:val="26"/>
          <w:szCs w:val="26"/>
          <w:rtl/>
        </w:rPr>
      </w:pPr>
      <w:r>
        <w:rPr>
          <w:rFonts w:hint="cs"/>
          <w:sz w:val="26"/>
          <w:szCs w:val="26"/>
          <w:rtl/>
        </w:rPr>
        <w:t>7.</w:t>
      </w:r>
      <w:r>
        <w:rPr>
          <w:rFonts w:hint="cs"/>
          <w:sz w:val="26"/>
          <w:szCs w:val="26"/>
          <w:rtl/>
        </w:rPr>
        <w:tab/>
        <w:t xml:space="preserve">ב"כ הנאשם הגיב לאמור בחוות דעת הממונה. הוא טען כי לא היה מקום לבצע את הבדיקה המעמיקה לגבי הנאשם, שהעבירה בה הורשע אינה חמורה במיוחד, וכי חוות דעת דומות עשויות היו להתקבל בנוגע לאנשים רבים שבעניינם כלל לא מתבקשות חוות דעת. הוא חזר על כך שהנאשם מצא את הרימונים יום קודם למועד ביצוע העבירה. הסניגור הפנה לעמדת חטיבת המודיעין בשב"ס המובאת אף היא בחוות דעת הממונה, לפיה אין מניעה שהנאשם יבצע עבודות שירות, וטען כי מאחר שהסמכות על פי החוק לקבוע התאמה לעבודות שירות נתונה בידי שב"ס, אין כל נפקות לעמדת המשטרה והיא אינה יכולה לגבור על עמדת גורמי המודיעין בשב"ס.  </w:t>
      </w:r>
    </w:p>
    <w:p w14:paraId="1F7EB5B4" w14:textId="77777777" w:rsidR="0084513B" w:rsidRDefault="0084513B" w:rsidP="0084513B">
      <w:pPr>
        <w:spacing w:after="120" w:line="360" w:lineRule="auto"/>
        <w:ind w:firstLine="720"/>
        <w:jc w:val="both"/>
        <w:rPr>
          <w:sz w:val="26"/>
          <w:szCs w:val="26"/>
          <w:rtl/>
        </w:rPr>
      </w:pPr>
      <w:r>
        <w:rPr>
          <w:rFonts w:hint="cs"/>
          <w:sz w:val="26"/>
          <w:szCs w:val="26"/>
          <w:rtl/>
        </w:rPr>
        <w:t xml:space="preserve">המאשימה השיבה לטענות הסניגור והפנתה </w:t>
      </w:r>
      <w:hyperlink r:id="rId18" w:history="1">
        <w:r w:rsidR="0078023B" w:rsidRPr="0078023B">
          <w:rPr>
            <w:color w:val="0000FF"/>
            <w:sz w:val="26"/>
            <w:szCs w:val="26"/>
            <w:u w:val="single"/>
            <w:rtl/>
          </w:rPr>
          <w:t>לסעיף 51ב(ב1)(1)</w:t>
        </w:r>
      </w:hyperlink>
      <w:r>
        <w:rPr>
          <w:rFonts w:hint="cs"/>
          <w:sz w:val="26"/>
          <w:szCs w:val="26"/>
          <w:rtl/>
        </w:rPr>
        <w:t xml:space="preserve"> ל</w:t>
      </w:r>
      <w:hyperlink r:id="rId19" w:history="1">
        <w:r w:rsidR="00650679" w:rsidRPr="00650679">
          <w:rPr>
            <w:color w:val="0000FF"/>
            <w:sz w:val="26"/>
            <w:szCs w:val="26"/>
            <w:u w:val="single"/>
            <w:rtl/>
          </w:rPr>
          <w:t>חוק העונשין</w:t>
        </w:r>
      </w:hyperlink>
      <w:r>
        <w:rPr>
          <w:rFonts w:hint="cs"/>
          <w:sz w:val="26"/>
          <w:szCs w:val="26"/>
          <w:rtl/>
        </w:rPr>
        <w:t xml:space="preserve">, הקובע כי קביעת התאמתו או אי התאמתו של נאשם לבצע עבודות שירות בנימוק של חשש לפגיעה בגופו או בחייו של אדם, תתבסס על חוות דעת של קצין משטרה שמונה לכך או של גופים אחרים המנויים שם, אם ניתנה חוות דעת כזו. המאשימה התנגדה לבקשה להורות לממונה להכין חוות דעת נוספת בעניינו של הנאשם. ב"כ הנאשם הגיש תגובה משלימה נוספת, בה טען בין היתר כי אין למשטרה מידע קונקרטי המונע את ביצוע עבודות השירות, וכי המידע שהעבירה המשטרה הוא מידע ישן משנת 2015. הסניגור הוסיף עוד כי אם המשטרה סבורה שהנאשם עוסק בסחר באמל"ח, עדיף שיהיה תחת פיקוחה ההדוק במסגרת עבודות שירות. לחלופין ביקש הסניגור להורות לשירות המבחן להגיש תכנית לעבודות שירות. </w:t>
      </w:r>
    </w:p>
    <w:p w14:paraId="5B0D86AB" w14:textId="77777777" w:rsidR="0084513B" w:rsidRDefault="0084513B" w:rsidP="0084513B">
      <w:pPr>
        <w:spacing w:after="120" w:line="360" w:lineRule="auto"/>
        <w:ind w:firstLine="720"/>
        <w:jc w:val="both"/>
        <w:rPr>
          <w:sz w:val="26"/>
          <w:szCs w:val="26"/>
          <w:rtl/>
        </w:rPr>
      </w:pPr>
      <w:r>
        <w:rPr>
          <w:rFonts w:hint="cs"/>
          <w:sz w:val="26"/>
          <w:szCs w:val="26"/>
          <w:rtl/>
        </w:rPr>
        <w:t>אציין כי על פי הכתוב בחוות הדעת, המידע משנת 2015 הוא מידע המתייחס לעבירות של סחר בסמים, ואילו המידע המייחס לנאשם סחר והחזקת אמל"ח הוגדר כ"מודיעין עדכני".</w:t>
      </w:r>
    </w:p>
    <w:p w14:paraId="30F42484" w14:textId="77777777" w:rsidR="0084513B" w:rsidRPr="001A5EF6" w:rsidRDefault="0084513B" w:rsidP="0084513B">
      <w:pPr>
        <w:spacing w:after="120" w:line="360" w:lineRule="auto"/>
        <w:jc w:val="both"/>
        <w:rPr>
          <w:sz w:val="26"/>
          <w:szCs w:val="26"/>
          <w:rtl/>
        </w:rPr>
      </w:pPr>
      <w:r>
        <w:rPr>
          <w:rFonts w:hint="cs"/>
          <w:sz w:val="26"/>
          <w:szCs w:val="26"/>
          <w:rtl/>
        </w:rPr>
        <w:t>8.</w:t>
      </w:r>
      <w:r>
        <w:rPr>
          <w:rFonts w:hint="cs"/>
          <w:sz w:val="26"/>
          <w:szCs w:val="26"/>
          <w:rtl/>
        </w:rPr>
        <w:tab/>
        <w:t>ככלל, על הממונה על עבודות השירות</w:t>
      </w:r>
      <w:r w:rsidRPr="00E16D1D">
        <w:rPr>
          <w:rFonts w:hint="cs"/>
          <w:sz w:val="26"/>
          <w:szCs w:val="26"/>
          <w:rtl/>
        </w:rPr>
        <w:t xml:space="preserve"> לעשות מאמץ למצוא מקום השמה</w:t>
      </w:r>
      <w:r>
        <w:rPr>
          <w:rFonts w:hint="cs"/>
          <w:sz w:val="26"/>
          <w:szCs w:val="26"/>
          <w:rtl/>
        </w:rPr>
        <w:t xml:space="preserve"> גם לנאשמים הסובלים מהגבלות שונות</w:t>
      </w:r>
      <w:r w:rsidRPr="00E16D1D">
        <w:rPr>
          <w:rFonts w:hint="cs"/>
          <w:sz w:val="26"/>
          <w:szCs w:val="26"/>
          <w:rtl/>
        </w:rPr>
        <w:t xml:space="preserve">, </w:t>
      </w:r>
      <w:r>
        <w:rPr>
          <w:rFonts w:hint="cs"/>
          <w:sz w:val="26"/>
          <w:szCs w:val="26"/>
          <w:rtl/>
        </w:rPr>
        <w:t>כגון מגבלות רפואיות</w:t>
      </w:r>
      <w:r w:rsidRPr="00E16D1D">
        <w:rPr>
          <w:rFonts w:hint="cs"/>
          <w:sz w:val="26"/>
          <w:szCs w:val="26"/>
          <w:rtl/>
        </w:rPr>
        <w:t xml:space="preserve">. אולם לא כך הוא המצב בענייננו, כאשר האילוצים המפורטים בחוות הדעת </w:t>
      </w:r>
      <w:r>
        <w:rPr>
          <w:rFonts w:hint="cs"/>
          <w:sz w:val="26"/>
          <w:szCs w:val="26"/>
          <w:rtl/>
        </w:rPr>
        <w:t xml:space="preserve">אינם נסיבה חיצונית אלא </w:t>
      </w:r>
      <w:r w:rsidRPr="00E16D1D">
        <w:rPr>
          <w:rFonts w:hint="cs"/>
          <w:sz w:val="26"/>
          <w:szCs w:val="26"/>
          <w:rtl/>
        </w:rPr>
        <w:t>מהווים חלק מהשיקולים הענייניים והלגיטימיים ש</w:t>
      </w:r>
      <w:r>
        <w:rPr>
          <w:rFonts w:hint="cs"/>
          <w:sz w:val="26"/>
          <w:szCs w:val="26"/>
          <w:rtl/>
        </w:rPr>
        <w:t>ע</w:t>
      </w:r>
      <w:r w:rsidRPr="00E16D1D">
        <w:rPr>
          <w:rFonts w:hint="cs"/>
          <w:sz w:val="26"/>
          <w:szCs w:val="26"/>
          <w:rtl/>
        </w:rPr>
        <w:t>ל הממונה על עבודות השירות לשקול. בשונה מהאמור בתגובת ב"כ הנאשם, עמדת המשטרה במקרה זה אינה עומדת בניגוד לעמדת שב"ס, אלא</w:t>
      </w:r>
      <w:r>
        <w:rPr>
          <w:rFonts w:hint="cs"/>
          <w:sz w:val="26"/>
          <w:szCs w:val="26"/>
          <w:rtl/>
        </w:rPr>
        <w:t xml:space="preserve"> מוסיפה עובדות נוספות שאינן בידיעת שב"ס, ועובדות אלו</w:t>
      </w:r>
      <w:r w:rsidRPr="00E16D1D">
        <w:rPr>
          <w:rFonts w:hint="cs"/>
          <w:sz w:val="26"/>
          <w:szCs w:val="26"/>
          <w:rtl/>
        </w:rPr>
        <w:t xml:space="preserve"> מהוו</w:t>
      </w:r>
      <w:r>
        <w:rPr>
          <w:rFonts w:hint="cs"/>
          <w:sz w:val="26"/>
          <w:szCs w:val="26"/>
          <w:rtl/>
        </w:rPr>
        <w:t>ת</w:t>
      </w:r>
      <w:r w:rsidRPr="00E16D1D">
        <w:rPr>
          <w:rFonts w:hint="cs"/>
          <w:sz w:val="26"/>
          <w:szCs w:val="26"/>
          <w:rtl/>
        </w:rPr>
        <w:t xml:space="preserve"> חלק מהשיקולים העומדים בפני הממונה על עבודות השירות</w:t>
      </w:r>
      <w:r>
        <w:rPr>
          <w:rFonts w:hint="cs"/>
          <w:sz w:val="26"/>
          <w:szCs w:val="26"/>
          <w:rtl/>
        </w:rPr>
        <w:t>,</w:t>
      </w:r>
      <w:r w:rsidRPr="00E16D1D">
        <w:rPr>
          <w:rFonts w:hint="cs"/>
          <w:sz w:val="26"/>
          <w:szCs w:val="26"/>
          <w:rtl/>
        </w:rPr>
        <w:t xml:space="preserve"> אותם הוא נדרש להביא בחשבון במסגרת שיקוליו.</w:t>
      </w:r>
      <w:r>
        <w:rPr>
          <w:rFonts w:hint="cs"/>
          <w:sz w:val="26"/>
          <w:szCs w:val="26"/>
          <w:rtl/>
        </w:rPr>
        <w:t xml:space="preserve"> בהמשך ביקש ב"כ הנאשם להזמין לדיון את נציג המשטרה ולקבל ממנו הבהרות בעל פה. מבלי להביע עמדה בסוגיה העקרונית, לא מצאתי שיש מקום לכך במקרה זה, שכן</w:t>
      </w:r>
      <w:r w:rsidRPr="001A5EF6">
        <w:rPr>
          <w:rFonts w:hint="cs"/>
          <w:sz w:val="26"/>
          <w:szCs w:val="26"/>
          <w:rtl/>
        </w:rPr>
        <w:t xml:space="preserve"> מלכתחילה הפניית הנאשם לקבלת חוות דעת הממונה היתה בנסיבות גבוליות, לנוכח עברו הפלילי ויתר הנסיבות המפורטות בגזר הדין. </w:t>
      </w:r>
    </w:p>
    <w:p w14:paraId="21299FFD" w14:textId="77777777" w:rsidR="0084513B" w:rsidRPr="00E16D1D" w:rsidRDefault="0084513B" w:rsidP="0084513B">
      <w:pPr>
        <w:spacing w:after="120" w:line="360" w:lineRule="auto"/>
        <w:ind w:firstLine="720"/>
        <w:jc w:val="both"/>
        <w:rPr>
          <w:sz w:val="26"/>
          <w:szCs w:val="26"/>
          <w:rtl/>
        </w:rPr>
      </w:pPr>
      <w:r>
        <w:rPr>
          <w:rFonts w:hint="cs"/>
          <w:sz w:val="26"/>
          <w:szCs w:val="26"/>
          <w:rtl/>
        </w:rPr>
        <w:t xml:space="preserve">אני סבורה, איפוא, שיש לקבל את עמדת הממונה על עבודות השירות כפי שפורטה בחוות הדעת שהוגשה. </w:t>
      </w:r>
    </w:p>
    <w:p w14:paraId="54EB840D" w14:textId="77777777" w:rsidR="0084513B" w:rsidRPr="00626DDA" w:rsidRDefault="0084513B" w:rsidP="0084513B">
      <w:pPr>
        <w:spacing w:after="120" w:line="360" w:lineRule="auto"/>
        <w:jc w:val="both"/>
        <w:rPr>
          <w:b/>
          <w:bCs/>
          <w:sz w:val="26"/>
          <w:szCs w:val="26"/>
          <w:u w:val="single"/>
          <w:rtl/>
        </w:rPr>
      </w:pPr>
      <w:r>
        <w:rPr>
          <w:rFonts w:hint="cs"/>
          <w:b/>
          <w:bCs/>
          <w:sz w:val="26"/>
          <w:szCs w:val="26"/>
          <w:u w:val="single"/>
          <w:rtl/>
        </w:rPr>
        <w:t>מתחם העונש ההולם</w:t>
      </w:r>
    </w:p>
    <w:p w14:paraId="6A35CA13" w14:textId="77777777" w:rsidR="0084513B" w:rsidRPr="003865B1" w:rsidRDefault="0084513B" w:rsidP="0084513B">
      <w:pPr>
        <w:spacing w:after="120" w:line="360" w:lineRule="auto"/>
        <w:jc w:val="both"/>
        <w:rPr>
          <w:sz w:val="26"/>
          <w:szCs w:val="26"/>
          <w:rtl/>
        </w:rPr>
      </w:pPr>
      <w:r>
        <w:rPr>
          <w:rFonts w:hint="cs"/>
          <w:sz w:val="26"/>
          <w:szCs w:val="26"/>
          <w:rtl/>
        </w:rPr>
        <w:t>9.</w:t>
      </w:r>
      <w:r>
        <w:rPr>
          <w:rFonts w:hint="cs"/>
          <w:sz w:val="26"/>
          <w:szCs w:val="26"/>
          <w:rtl/>
        </w:rPr>
        <w:tab/>
        <w:t xml:space="preserve">אין מחלוקת באשר לחומרת העבירה של החזקת כלי נשק והסכנה הנשקפת ממנה לציבור. בשל הסכנה הרבה שבנשק, ובמטרה להגן על חיי אדם ושלמות גופו אסר המחוקק לא רק את השימוש בנשק אלא גם את החזקתו, בהעדר רשיון מתאים. בתי המשפט עמדו פעמים רבות על הצורך להילחם בתופעה של אבדן חיי אדם כתוצאה מהגעתו של נשק לידיים עויינות (ראו, לדוגמא, </w:t>
      </w:r>
      <w:hyperlink r:id="rId20" w:history="1">
        <w:r w:rsidR="00650679" w:rsidRPr="00650679">
          <w:rPr>
            <w:color w:val="0000FF"/>
            <w:sz w:val="26"/>
            <w:szCs w:val="26"/>
            <w:u w:val="single"/>
            <w:rtl/>
          </w:rPr>
          <w:t>ע"פ 9543/09</w:t>
        </w:r>
      </w:hyperlink>
      <w:r>
        <w:rPr>
          <w:rFonts w:hint="cs"/>
          <w:sz w:val="26"/>
          <w:szCs w:val="26"/>
          <w:rtl/>
        </w:rPr>
        <w:t xml:space="preserve">, </w:t>
      </w:r>
      <w:r>
        <w:rPr>
          <w:rFonts w:hint="cs"/>
          <w:b/>
          <w:bCs/>
          <w:sz w:val="26"/>
          <w:szCs w:val="26"/>
          <w:rtl/>
        </w:rPr>
        <w:t>בילאל רחאל נ' מדינת ישראל</w:t>
      </w:r>
      <w:r>
        <w:rPr>
          <w:rFonts w:hint="cs"/>
          <w:sz w:val="26"/>
          <w:szCs w:val="26"/>
          <w:rtl/>
        </w:rPr>
        <w:t xml:space="preserve"> (19.1.10); </w:t>
      </w:r>
      <w:hyperlink r:id="rId21" w:history="1">
        <w:r w:rsidR="00650679" w:rsidRPr="00650679">
          <w:rPr>
            <w:color w:val="0000FF"/>
            <w:sz w:val="26"/>
            <w:szCs w:val="26"/>
            <w:u w:val="single"/>
            <w:rtl/>
          </w:rPr>
          <w:t>ע"פ 761/07</w:t>
        </w:r>
      </w:hyperlink>
      <w:r>
        <w:rPr>
          <w:rFonts w:hint="cs"/>
          <w:sz w:val="26"/>
          <w:szCs w:val="26"/>
          <w:rtl/>
        </w:rPr>
        <w:t xml:space="preserve">, </w:t>
      </w:r>
      <w:r>
        <w:rPr>
          <w:rFonts w:hint="cs"/>
          <w:b/>
          <w:bCs/>
          <w:sz w:val="26"/>
          <w:szCs w:val="26"/>
          <w:rtl/>
        </w:rPr>
        <w:t>מיכאל אדרי נ' מדינת ישראל</w:t>
      </w:r>
      <w:r>
        <w:rPr>
          <w:rFonts w:hint="cs"/>
          <w:sz w:val="26"/>
          <w:szCs w:val="26"/>
          <w:rtl/>
        </w:rPr>
        <w:t xml:space="preserve"> (22.2.07), וכן על הצורך להחמיר בענישה בעבירות נשק, בשל הסכנה שימצא דרכו לידיים עויינות וישמש למטרות פליליות (ע"פ 4466/11, </w:t>
      </w:r>
      <w:r>
        <w:rPr>
          <w:rFonts w:hint="cs"/>
          <w:b/>
          <w:bCs/>
          <w:sz w:val="26"/>
          <w:szCs w:val="26"/>
          <w:rtl/>
        </w:rPr>
        <w:t>מדינת ישראל נ' אחמד פאיד</w:t>
      </w:r>
      <w:r>
        <w:rPr>
          <w:rFonts w:hint="cs"/>
          <w:sz w:val="26"/>
          <w:szCs w:val="26"/>
          <w:rtl/>
        </w:rPr>
        <w:t xml:space="preserve"> (28.11.11); </w:t>
      </w:r>
      <w:hyperlink r:id="rId22" w:history="1">
        <w:r w:rsidR="00650679" w:rsidRPr="00650679">
          <w:rPr>
            <w:color w:val="0000FF"/>
            <w:sz w:val="26"/>
            <w:szCs w:val="26"/>
            <w:u w:val="single"/>
            <w:rtl/>
          </w:rPr>
          <w:t>ע"פ 4595/13</w:t>
        </w:r>
      </w:hyperlink>
      <w:r>
        <w:rPr>
          <w:rFonts w:hint="cs"/>
          <w:sz w:val="26"/>
          <w:szCs w:val="26"/>
          <w:rtl/>
        </w:rPr>
        <w:t xml:space="preserve">, </w:t>
      </w:r>
      <w:r>
        <w:rPr>
          <w:rFonts w:hint="cs"/>
          <w:b/>
          <w:bCs/>
          <w:sz w:val="26"/>
          <w:szCs w:val="26"/>
          <w:rtl/>
        </w:rPr>
        <w:t>עלי זובידאת נ' מדינת ישראל</w:t>
      </w:r>
      <w:r>
        <w:rPr>
          <w:rFonts w:hint="cs"/>
          <w:sz w:val="26"/>
          <w:szCs w:val="26"/>
          <w:rtl/>
        </w:rPr>
        <w:t>(6.7.14)).</w:t>
      </w:r>
    </w:p>
    <w:p w14:paraId="2C963590" w14:textId="77777777" w:rsidR="0084513B" w:rsidRDefault="0084513B" w:rsidP="0084513B">
      <w:pPr>
        <w:spacing w:after="120" w:line="360" w:lineRule="auto"/>
        <w:ind w:firstLine="720"/>
        <w:jc w:val="both"/>
        <w:rPr>
          <w:sz w:val="26"/>
          <w:szCs w:val="26"/>
          <w:rtl/>
        </w:rPr>
      </w:pPr>
      <w:r>
        <w:rPr>
          <w:rFonts w:hint="cs"/>
          <w:sz w:val="26"/>
          <w:szCs w:val="26"/>
          <w:rtl/>
        </w:rPr>
        <w:t xml:space="preserve">עם זאת, גם בעבירות הנשק קיים מדרג ויש להבחין בין העבירות השונות תוך התחשבות הן ברמת הקרבה בין מעשה העבירה לבין האפשרות של שימוש בנשק, והן בסוג הנשק ורמת הסיכון הנשקפת ממנו. בענייננו, מדובר ברימוני הלם, ולא נטען לקיומה של אינדיקציה לעשות בהם שימוש כלשהו, כך שמדובר בהחזקה במדרג חומרה נמוך (ראו: ע"פ 1232/13, </w:t>
      </w:r>
      <w:r>
        <w:rPr>
          <w:rFonts w:hint="cs"/>
          <w:b/>
          <w:bCs/>
          <w:sz w:val="26"/>
          <w:szCs w:val="26"/>
          <w:rtl/>
        </w:rPr>
        <w:t>רך חסן נ' מדינת ישראל</w:t>
      </w:r>
      <w:r>
        <w:rPr>
          <w:rFonts w:hint="cs"/>
          <w:sz w:val="26"/>
          <w:szCs w:val="26"/>
          <w:rtl/>
        </w:rPr>
        <w:t xml:space="preserve"> (5.6.13). </w:t>
      </w:r>
    </w:p>
    <w:p w14:paraId="1991960E" w14:textId="77777777" w:rsidR="0084513B" w:rsidRPr="00485BE0" w:rsidRDefault="0084513B" w:rsidP="0084513B">
      <w:pPr>
        <w:spacing w:after="120" w:line="360" w:lineRule="auto"/>
        <w:jc w:val="both"/>
        <w:rPr>
          <w:sz w:val="26"/>
          <w:szCs w:val="26"/>
          <w:rtl/>
        </w:rPr>
      </w:pPr>
      <w:r>
        <w:rPr>
          <w:rFonts w:hint="cs"/>
          <w:sz w:val="26"/>
          <w:szCs w:val="26"/>
          <w:rtl/>
        </w:rPr>
        <w:t>10.</w:t>
      </w:r>
      <w:r>
        <w:rPr>
          <w:rFonts w:hint="cs"/>
          <w:sz w:val="26"/>
          <w:szCs w:val="26"/>
          <w:rtl/>
        </w:rPr>
        <w:tab/>
        <w:t xml:space="preserve">במקרה זה </w:t>
      </w:r>
      <w:r w:rsidRPr="00485BE0">
        <w:rPr>
          <w:rFonts w:hint="cs"/>
          <w:sz w:val="26"/>
          <w:szCs w:val="26"/>
          <w:rtl/>
        </w:rPr>
        <w:t>נסיבות העבירה אינן חמורות יחסית, שכן מדובר בהחזקה קצרה</w:t>
      </w:r>
      <w:r>
        <w:rPr>
          <w:rFonts w:hint="cs"/>
          <w:sz w:val="26"/>
          <w:szCs w:val="26"/>
          <w:rtl/>
        </w:rPr>
        <w:t xml:space="preserve"> מאד של רימוני הלם שהסיכון</w:t>
      </w:r>
      <w:r w:rsidRPr="00485BE0">
        <w:rPr>
          <w:rFonts w:hint="cs"/>
          <w:sz w:val="26"/>
          <w:szCs w:val="26"/>
          <w:rtl/>
        </w:rPr>
        <w:t xml:space="preserve"> מהם נמוך ביחס לכלי נשק אחרים, כאשר על פי עובדות כתב האישום המתוקן הנאשם מצא את הרימונים ולא רכש אותם באופן יזום. העובדה שמקור הנשק במציאה ולא </w:t>
      </w:r>
      <w:r>
        <w:rPr>
          <w:rFonts w:hint="cs"/>
          <w:sz w:val="26"/>
          <w:szCs w:val="26"/>
          <w:rtl/>
        </w:rPr>
        <w:t>ב</w:t>
      </w:r>
      <w:r w:rsidRPr="00485BE0">
        <w:rPr>
          <w:rFonts w:hint="cs"/>
          <w:sz w:val="26"/>
          <w:szCs w:val="26"/>
          <w:rtl/>
        </w:rPr>
        <w:t>רכישה מפחיתה באופן מכריע את החשש שהרימונים נועדו</w:t>
      </w:r>
      <w:r>
        <w:rPr>
          <w:rFonts w:hint="cs"/>
          <w:sz w:val="26"/>
          <w:szCs w:val="26"/>
          <w:rtl/>
        </w:rPr>
        <w:t xml:space="preserve"> מלכתחילה</w:t>
      </w:r>
      <w:r w:rsidRPr="00485BE0">
        <w:rPr>
          <w:rFonts w:hint="cs"/>
          <w:sz w:val="26"/>
          <w:szCs w:val="26"/>
          <w:rtl/>
        </w:rPr>
        <w:t xml:space="preserve"> לשימוש למטרה מסויימת כלשהי.</w:t>
      </w:r>
    </w:p>
    <w:p w14:paraId="0136482B" w14:textId="77777777" w:rsidR="0084513B" w:rsidRDefault="0084513B" w:rsidP="0084513B">
      <w:pPr>
        <w:spacing w:after="120" w:line="360" w:lineRule="auto"/>
        <w:jc w:val="both"/>
        <w:rPr>
          <w:sz w:val="26"/>
          <w:szCs w:val="26"/>
          <w:rtl/>
        </w:rPr>
      </w:pPr>
      <w:r>
        <w:rPr>
          <w:sz w:val="26"/>
          <w:szCs w:val="26"/>
          <w:rtl/>
        </w:rPr>
        <w:tab/>
      </w:r>
      <w:r>
        <w:rPr>
          <w:rFonts w:hint="cs"/>
          <w:sz w:val="26"/>
          <w:szCs w:val="26"/>
          <w:rtl/>
        </w:rPr>
        <w:t xml:space="preserve">אני מביאה בחשבון את הפסיקה הנוהגת, העולה בין היתר מפסקי הדין שנזכרו לעיל, בטיעוני הצדדים ובעניין המתחם, וכן את העמדה שעלתה לא פעם בפסיקה, לפיה יש מקום להעלאת רמת הענישה בעבירות נשק. לנוכח כל האמור אני סבורה שמתחם הענישה נע בין מאסר לתקופה קצרה אשר יכול שירוצה בעבודות שירות לבין שנה וחצי של מאסר, בצירוף עונשים נלווים. </w:t>
      </w:r>
    </w:p>
    <w:p w14:paraId="1A7B4C20" w14:textId="77777777" w:rsidR="0084513B" w:rsidRDefault="0084513B" w:rsidP="0084513B">
      <w:pPr>
        <w:spacing w:after="120" w:line="360" w:lineRule="auto"/>
        <w:jc w:val="both"/>
        <w:rPr>
          <w:sz w:val="26"/>
          <w:szCs w:val="26"/>
          <w:rtl/>
        </w:rPr>
      </w:pPr>
      <w:r>
        <w:rPr>
          <w:rFonts w:hint="cs"/>
          <w:b/>
          <w:bCs/>
          <w:sz w:val="26"/>
          <w:szCs w:val="26"/>
          <w:u w:val="single"/>
          <w:rtl/>
        </w:rPr>
        <w:t>העונש הראוי במקרה זה</w:t>
      </w:r>
      <w:r>
        <w:rPr>
          <w:rFonts w:hint="cs"/>
          <w:sz w:val="26"/>
          <w:szCs w:val="26"/>
          <w:rtl/>
        </w:rPr>
        <w:t xml:space="preserve"> </w:t>
      </w:r>
    </w:p>
    <w:p w14:paraId="07242B71" w14:textId="77777777" w:rsidR="0084513B" w:rsidRDefault="0084513B" w:rsidP="0084513B">
      <w:pPr>
        <w:spacing w:after="120" w:line="360" w:lineRule="auto"/>
        <w:jc w:val="both"/>
        <w:rPr>
          <w:sz w:val="26"/>
          <w:szCs w:val="26"/>
          <w:rtl/>
        </w:rPr>
      </w:pPr>
      <w:r>
        <w:rPr>
          <w:rFonts w:hint="cs"/>
          <w:sz w:val="26"/>
          <w:szCs w:val="26"/>
          <w:rtl/>
        </w:rPr>
        <w:t>11.</w:t>
      </w:r>
      <w:r>
        <w:rPr>
          <w:rFonts w:hint="cs"/>
          <w:sz w:val="26"/>
          <w:szCs w:val="26"/>
          <w:rtl/>
        </w:rPr>
        <w:tab/>
        <w:t xml:space="preserve">דנתי לעיל בחוות הדעת השלילית שהוגשה מטעם הממונה על עבודות השירות, השוללת אפשרות להטיל על הנאשם עונש של מאסר בעבודות שירות. </w:t>
      </w:r>
    </w:p>
    <w:p w14:paraId="11A3356E" w14:textId="77777777" w:rsidR="0084513B" w:rsidRPr="00C9458C" w:rsidRDefault="0084513B" w:rsidP="0084513B">
      <w:pPr>
        <w:spacing w:after="120" w:line="360" w:lineRule="auto"/>
        <w:ind w:firstLine="720"/>
        <w:jc w:val="both"/>
        <w:rPr>
          <w:sz w:val="26"/>
          <w:szCs w:val="26"/>
        </w:rPr>
      </w:pPr>
      <w:r>
        <w:rPr>
          <w:rFonts w:hint="cs"/>
          <w:sz w:val="26"/>
          <w:szCs w:val="26"/>
          <w:rtl/>
        </w:rPr>
        <w:t xml:space="preserve">לנאשם הרשעות קודמות, ואף כי מדובר בהרשעות שאינן ממין העניין, לא ניתן להתעלם מקיומן של מספר הרשעות, מהן בעבירות אלימות, כאשר הנאשם אף ריצה בעבר תקופות מאסר קצרות. </w:t>
      </w:r>
    </w:p>
    <w:p w14:paraId="3D456E9A" w14:textId="77777777" w:rsidR="0084513B" w:rsidRDefault="0084513B" w:rsidP="0084513B">
      <w:pPr>
        <w:spacing w:after="120" w:line="360" w:lineRule="auto"/>
        <w:ind w:firstLine="720"/>
        <w:jc w:val="both"/>
        <w:rPr>
          <w:rtl/>
        </w:rPr>
      </w:pPr>
      <w:r w:rsidRPr="00C9458C">
        <w:rPr>
          <w:rFonts w:hint="cs"/>
          <w:sz w:val="26"/>
          <w:szCs w:val="26"/>
          <w:rtl/>
        </w:rPr>
        <w:t>כאמור, תסקיר שירות המבחן אינו חיובי. ב"כ הנאשם טען כי התסקיר השלילי הושפע מהתרשמות של קצינת המבחן, הכוללת גם מימד סובייקטיבי, כאשר במישור האובייקטיבי יש לייחס משקל לנסיבות (שאף הן נזכרות לחיוב בתסקיר), לפיהן הנאשם נישא לאחרונה, הוא אב לתינוקת והביע רצון לנהל אורח חיים נורמטיבי, ואין לו הרשעות מהשנים האחרונות. אכן, גם עובדות אלו מצויינות בתסקיר, וגם אותן יש להביא בחשבון.</w:t>
      </w:r>
      <w:r>
        <w:rPr>
          <w:rFonts w:hint="cs"/>
          <w:rtl/>
        </w:rPr>
        <w:t xml:space="preserve"> </w:t>
      </w:r>
    </w:p>
    <w:p w14:paraId="2BB0DD88" w14:textId="77777777" w:rsidR="0084513B" w:rsidRDefault="0084513B" w:rsidP="0084513B">
      <w:pPr>
        <w:spacing w:after="120" w:line="360" w:lineRule="auto"/>
        <w:jc w:val="both"/>
        <w:rPr>
          <w:sz w:val="26"/>
          <w:szCs w:val="26"/>
          <w:rtl/>
        </w:rPr>
      </w:pPr>
      <w:r>
        <w:rPr>
          <w:rFonts w:hint="cs"/>
          <w:rtl/>
        </w:rPr>
        <w:t>12.</w:t>
      </w:r>
      <w:r>
        <w:rPr>
          <w:rFonts w:hint="cs"/>
          <w:rtl/>
        </w:rPr>
        <w:tab/>
      </w:r>
      <w:r>
        <w:rPr>
          <w:rFonts w:hint="cs"/>
          <w:sz w:val="26"/>
          <w:szCs w:val="26"/>
          <w:rtl/>
        </w:rPr>
        <w:t xml:space="preserve">בדיון בעניין המתחם התייחסתי לנסיבות המקלות יחסית שבביצוע העבירה. מאידך גיסא, לנאשם הרשעות קודמות אם כי לא בעבירות נשק, והימצאות נשק בידי מי שיש לחובתו הרשעות קודמות חמורה יותר ועלולה להצביע על מסוכנות. הנאשם החזיק את הרימונים ברכבו במקום מוסתר, באופן שאינו מתיישב עם כוונה להעבירם באופן מיידי למשטרה. </w:t>
      </w:r>
    </w:p>
    <w:p w14:paraId="3B2F6274" w14:textId="77777777" w:rsidR="0084513B" w:rsidRDefault="0084513B" w:rsidP="0084513B">
      <w:pPr>
        <w:spacing w:after="120" w:line="360" w:lineRule="auto"/>
        <w:ind w:firstLine="720"/>
        <w:jc w:val="both"/>
        <w:rPr>
          <w:sz w:val="26"/>
          <w:szCs w:val="26"/>
          <w:rtl/>
        </w:rPr>
      </w:pPr>
      <w:r>
        <w:rPr>
          <w:rFonts w:hint="cs"/>
          <w:sz w:val="26"/>
          <w:szCs w:val="26"/>
          <w:rtl/>
        </w:rPr>
        <w:t xml:space="preserve">לנוכח כל האמור אני סבורה שהעונש הראוי לנאשם מצוי בחלקו הבינוני </w:t>
      </w:r>
      <w:r>
        <w:rPr>
          <w:sz w:val="26"/>
          <w:szCs w:val="26"/>
          <w:rtl/>
        </w:rPr>
        <w:t>–</w:t>
      </w:r>
      <w:r>
        <w:rPr>
          <w:rFonts w:hint="cs"/>
          <w:sz w:val="26"/>
          <w:szCs w:val="26"/>
          <w:rtl/>
        </w:rPr>
        <w:t xml:space="preserve"> נמוך של מתחם הענישה. </w:t>
      </w:r>
    </w:p>
    <w:p w14:paraId="23E0D0E3" w14:textId="77777777" w:rsidR="0084513B" w:rsidRDefault="0084513B" w:rsidP="0084513B">
      <w:pPr>
        <w:spacing w:after="120" w:line="360" w:lineRule="auto"/>
        <w:jc w:val="both"/>
        <w:rPr>
          <w:sz w:val="26"/>
          <w:szCs w:val="26"/>
          <w:rtl/>
        </w:rPr>
      </w:pPr>
      <w:r>
        <w:rPr>
          <w:rFonts w:hint="cs"/>
          <w:sz w:val="26"/>
          <w:szCs w:val="26"/>
          <w:rtl/>
        </w:rPr>
        <w:t>13.</w:t>
      </w:r>
      <w:r>
        <w:rPr>
          <w:rFonts w:hint="cs"/>
          <w:sz w:val="26"/>
          <w:szCs w:val="26"/>
          <w:rtl/>
        </w:rPr>
        <w:tab/>
        <w:t xml:space="preserve">אני דנה, איפוא, את הנאשם לעונש כמפורט להלן: </w:t>
      </w:r>
    </w:p>
    <w:p w14:paraId="02BA58A7" w14:textId="77777777" w:rsidR="0084513B" w:rsidRDefault="0084513B" w:rsidP="0084513B">
      <w:pPr>
        <w:spacing w:after="120" w:line="360" w:lineRule="auto"/>
        <w:ind w:firstLine="720"/>
        <w:jc w:val="both"/>
        <w:rPr>
          <w:sz w:val="26"/>
          <w:szCs w:val="26"/>
          <w:rtl/>
        </w:rPr>
      </w:pPr>
      <w:r>
        <w:rPr>
          <w:rFonts w:hint="cs"/>
          <w:sz w:val="26"/>
          <w:szCs w:val="26"/>
          <w:rtl/>
        </w:rPr>
        <w:t>1.</w:t>
      </w:r>
      <w:r>
        <w:rPr>
          <w:rFonts w:hint="cs"/>
          <w:sz w:val="26"/>
          <w:szCs w:val="26"/>
          <w:rtl/>
        </w:rPr>
        <w:tab/>
        <w:t>מאסר בפועל למשך 3 חודשים. הנאשם יתייצב לריצוי העונש ביום 2.9.18.</w:t>
      </w:r>
    </w:p>
    <w:p w14:paraId="41E7BD62" w14:textId="77777777" w:rsidR="0084513B" w:rsidRDefault="0084513B" w:rsidP="0084513B">
      <w:pPr>
        <w:spacing w:after="120" w:line="360" w:lineRule="auto"/>
        <w:ind w:firstLine="720"/>
        <w:jc w:val="both"/>
        <w:rPr>
          <w:sz w:val="26"/>
          <w:szCs w:val="26"/>
          <w:rtl/>
        </w:rPr>
      </w:pPr>
      <w:r>
        <w:rPr>
          <w:rFonts w:hint="cs"/>
          <w:sz w:val="26"/>
          <w:szCs w:val="26"/>
          <w:rtl/>
        </w:rPr>
        <w:t>2.</w:t>
      </w:r>
      <w:r>
        <w:rPr>
          <w:rFonts w:hint="cs"/>
          <w:sz w:val="26"/>
          <w:szCs w:val="26"/>
          <w:rtl/>
        </w:rPr>
        <w:tab/>
        <w:t xml:space="preserve">מאסר על תנאי לשלושה חודשים למשך שלוש שנים על כל עבירת נשק. </w:t>
      </w:r>
    </w:p>
    <w:p w14:paraId="725933B7" w14:textId="77777777" w:rsidR="0084513B" w:rsidRPr="00B05847" w:rsidRDefault="0084513B" w:rsidP="0084513B">
      <w:pPr>
        <w:rPr>
          <w:rtl/>
        </w:rPr>
      </w:pPr>
    </w:p>
    <w:p w14:paraId="6321DF86" w14:textId="77777777" w:rsidR="0084513B" w:rsidRDefault="00650679" w:rsidP="0084513B">
      <w:pPr>
        <w:rPr>
          <w:b/>
          <w:bCs/>
          <w:sz w:val="26"/>
          <w:szCs w:val="26"/>
          <w:rtl/>
        </w:rPr>
      </w:pPr>
      <w:r w:rsidRPr="00650679">
        <w:rPr>
          <w:rFonts w:ascii="Arial" w:hAnsi="Arial"/>
          <w:b/>
          <w:bCs/>
          <w:color w:val="FFFFFF"/>
          <w:sz w:val="2"/>
          <w:szCs w:val="2"/>
          <w:rtl/>
        </w:rPr>
        <w:t>5129371</w:t>
      </w:r>
      <w:r>
        <w:rPr>
          <w:rFonts w:ascii="Arial" w:hAnsi="Arial"/>
          <w:b/>
          <w:bCs/>
          <w:rtl/>
        </w:rPr>
        <w:t xml:space="preserve">ניתן היום,  ה' תמוז תשע"ח, 18 יוני 2018, בנוכחות הצדדים. </w:t>
      </w:r>
      <w:r w:rsidR="0084513B" w:rsidRPr="008566EF">
        <w:rPr>
          <w:rFonts w:hint="cs"/>
          <w:b/>
          <w:bCs/>
          <w:sz w:val="26"/>
          <w:szCs w:val="26"/>
          <w:rtl/>
        </w:rPr>
        <w:t xml:space="preserve">זכות ערעור לבית המשפט העליון תוך 45 יום. </w:t>
      </w:r>
    </w:p>
    <w:p w14:paraId="25891530" w14:textId="77777777" w:rsidR="0084513B" w:rsidRPr="00650679" w:rsidRDefault="00650679" w:rsidP="0084513B">
      <w:pPr>
        <w:rPr>
          <w:b/>
          <w:bCs/>
          <w:color w:val="FFFFFF"/>
          <w:sz w:val="2"/>
          <w:szCs w:val="2"/>
          <w:rtl/>
        </w:rPr>
      </w:pPr>
      <w:r w:rsidRPr="00650679">
        <w:rPr>
          <w:b/>
          <w:bCs/>
          <w:color w:val="FFFFFF"/>
          <w:sz w:val="2"/>
          <w:szCs w:val="2"/>
          <w:rtl/>
        </w:rPr>
        <w:t>54678313</w:t>
      </w:r>
    </w:p>
    <w:p w14:paraId="16FE8F6F" w14:textId="77777777" w:rsidR="0084513B" w:rsidRDefault="0084513B" w:rsidP="0084513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ED14341" w14:textId="77777777" w:rsidR="0084513B" w:rsidRDefault="0084513B" w:rsidP="0084513B">
      <w:pPr>
        <w:jc w:val="center"/>
        <w:rPr>
          <w:rFonts w:ascii="Arial" w:hAnsi="Arial" w:cs="FrankRuehl"/>
          <w:sz w:val="28"/>
          <w:szCs w:val="28"/>
          <w:rtl/>
        </w:rPr>
      </w:pPr>
    </w:p>
    <w:p w14:paraId="7D0DFBB6" w14:textId="77777777" w:rsidR="0084513B" w:rsidRDefault="0084513B" w:rsidP="0084513B">
      <w:pPr>
        <w:rPr>
          <w:rFonts w:cs="FrankRuehl"/>
          <w:sz w:val="28"/>
          <w:szCs w:val="28"/>
          <w:rtl/>
        </w:rPr>
      </w:pPr>
    </w:p>
    <w:p w14:paraId="1C7E72ED" w14:textId="77777777" w:rsidR="0084513B" w:rsidRPr="0078023B" w:rsidRDefault="0078023B" w:rsidP="0084513B">
      <w:pPr>
        <w:pStyle w:val="a3"/>
        <w:jc w:val="center"/>
        <w:rPr>
          <w:color w:val="FFFFFF"/>
          <w:sz w:val="2"/>
          <w:szCs w:val="2"/>
          <w:rtl/>
        </w:rPr>
      </w:pPr>
      <w:r w:rsidRPr="0078023B">
        <w:rPr>
          <w:color w:val="FFFFFF"/>
          <w:sz w:val="2"/>
          <w:szCs w:val="2"/>
          <w:rtl/>
        </w:rPr>
        <w:t>5129371</w:t>
      </w:r>
    </w:p>
    <w:p w14:paraId="3A0BA0AD" w14:textId="77777777" w:rsidR="00CB459F" w:rsidRPr="0078023B" w:rsidRDefault="0078023B" w:rsidP="00650679">
      <w:pPr>
        <w:keepNext/>
        <w:rPr>
          <w:rFonts w:ascii="David" w:hAnsi="David"/>
          <w:color w:val="FFFFFF"/>
          <w:sz w:val="2"/>
          <w:szCs w:val="2"/>
          <w:rtl/>
        </w:rPr>
      </w:pPr>
      <w:r w:rsidRPr="0078023B">
        <w:rPr>
          <w:rFonts w:ascii="David" w:hAnsi="David"/>
          <w:color w:val="FFFFFF"/>
          <w:sz w:val="2"/>
          <w:szCs w:val="2"/>
          <w:rtl/>
        </w:rPr>
        <w:t>54678313</w:t>
      </w:r>
    </w:p>
    <w:p w14:paraId="6B1FD7A0" w14:textId="77777777" w:rsidR="00650679" w:rsidRPr="00650679" w:rsidRDefault="00650679" w:rsidP="00650679">
      <w:pPr>
        <w:keepNext/>
        <w:rPr>
          <w:rFonts w:ascii="David" w:hAnsi="David"/>
          <w:color w:val="000000"/>
          <w:sz w:val="22"/>
          <w:szCs w:val="22"/>
          <w:rtl/>
        </w:rPr>
      </w:pPr>
      <w:r w:rsidRPr="00650679">
        <w:rPr>
          <w:rFonts w:ascii="David" w:hAnsi="David"/>
          <w:color w:val="000000"/>
          <w:sz w:val="22"/>
          <w:szCs w:val="22"/>
          <w:rtl/>
        </w:rPr>
        <w:t>חגית מאק קלמנוביץ 54678313</w:t>
      </w:r>
    </w:p>
    <w:p w14:paraId="3F9FF99B" w14:textId="77777777" w:rsidR="00650679" w:rsidRDefault="00650679" w:rsidP="00650679">
      <w:r w:rsidRPr="00650679">
        <w:rPr>
          <w:color w:val="000000"/>
          <w:rtl/>
        </w:rPr>
        <w:t>נוסח מסמך זה כפוף לשינויי ניסוח ועריכה</w:t>
      </w:r>
    </w:p>
    <w:p w14:paraId="7737791C" w14:textId="77777777" w:rsidR="00650679" w:rsidRDefault="00650679" w:rsidP="00650679">
      <w:pPr>
        <w:rPr>
          <w:rtl/>
        </w:rPr>
      </w:pPr>
    </w:p>
    <w:p w14:paraId="262E2427" w14:textId="77777777" w:rsidR="00650679" w:rsidRPr="0078023B" w:rsidRDefault="00650679" w:rsidP="0078023B">
      <w:pPr>
        <w:jc w:val="center"/>
        <w:rPr>
          <w:rFonts w:hint="cs"/>
          <w:color w:val="0000FF"/>
          <w:u w:val="single"/>
        </w:rPr>
      </w:pPr>
      <w:hyperlink r:id="rId23" w:history="1">
        <w:r>
          <w:rPr>
            <w:color w:val="0000FF"/>
            <w:u w:val="single"/>
            <w:rtl/>
          </w:rPr>
          <w:t>בעניין עריכה ושינויים במסמכי פסיקה, חקיקה ועוד באתר נבו – הקש כאן</w:t>
        </w:r>
      </w:hyperlink>
    </w:p>
    <w:sectPr w:rsidR="00650679" w:rsidRPr="0078023B" w:rsidSect="0078023B">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699FB" w14:textId="77777777" w:rsidR="00077F0C" w:rsidRDefault="00077F0C" w:rsidP="00540006">
      <w:r>
        <w:separator/>
      </w:r>
    </w:p>
  </w:endnote>
  <w:endnote w:type="continuationSeparator" w:id="0">
    <w:p w14:paraId="1B0FEE7F" w14:textId="77777777" w:rsidR="00077F0C" w:rsidRDefault="00077F0C" w:rsidP="00540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DBD" w14:textId="77777777" w:rsidR="0078023B" w:rsidRDefault="0078023B" w:rsidP="007802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8A79D9" w14:textId="77777777" w:rsidR="00806636" w:rsidRPr="0078023B" w:rsidRDefault="0078023B" w:rsidP="0078023B">
    <w:pPr>
      <w:pStyle w:val="a5"/>
      <w:pBdr>
        <w:top w:val="single" w:sz="4" w:space="1" w:color="auto"/>
        <w:between w:val="single" w:sz="4" w:space="0" w:color="auto"/>
      </w:pBdr>
      <w:spacing w:after="60"/>
      <w:jc w:val="center"/>
      <w:rPr>
        <w:rFonts w:ascii="FrankRuehl" w:hAnsi="FrankRuehl" w:cs="FrankRuehl"/>
        <w:color w:val="000000"/>
      </w:rPr>
    </w:pPr>
    <w:r w:rsidRPr="0078023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E4C09" w14:textId="77777777" w:rsidR="0078023B" w:rsidRDefault="0078023B" w:rsidP="007802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236A5">
      <w:rPr>
        <w:rFonts w:ascii="FrankRuehl" w:hAnsi="FrankRuehl" w:cs="FrankRuehl"/>
        <w:noProof/>
        <w:rtl/>
      </w:rPr>
      <w:t>1</w:t>
    </w:r>
    <w:r>
      <w:rPr>
        <w:rFonts w:ascii="FrankRuehl" w:hAnsi="FrankRuehl" w:cs="FrankRuehl"/>
        <w:rtl/>
      </w:rPr>
      <w:fldChar w:fldCharType="end"/>
    </w:r>
  </w:p>
  <w:p w14:paraId="6E77B2DC" w14:textId="77777777" w:rsidR="00806636" w:rsidRPr="0078023B" w:rsidRDefault="0078023B" w:rsidP="0078023B">
    <w:pPr>
      <w:pStyle w:val="a5"/>
      <w:pBdr>
        <w:top w:val="single" w:sz="4" w:space="1" w:color="auto"/>
        <w:between w:val="single" w:sz="4" w:space="0" w:color="auto"/>
      </w:pBdr>
      <w:spacing w:after="60"/>
      <w:jc w:val="center"/>
      <w:rPr>
        <w:rFonts w:ascii="FrankRuehl" w:hAnsi="FrankRuehl" w:cs="FrankRuehl"/>
        <w:color w:val="000000"/>
      </w:rPr>
    </w:pPr>
    <w:r w:rsidRPr="0078023B">
      <w:rPr>
        <w:rFonts w:ascii="FrankRuehl" w:hAnsi="FrankRuehl" w:cs="FrankRuehl"/>
        <w:color w:val="000000"/>
      </w:rPr>
      <w:pict w14:anchorId="4106E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F8DF4" w14:textId="77777777" w:rsidR="00077F0C" w:rsidRDefault="00077F0C" w:rsidP="00540006">
      <w:r>
        <w:separator/>
      </w:r>
    </w:p>
  </w:footnote>
  <w:footnote w:type="continuationSeparator" w:id="0">
    <w:p w14:paraId="5CD5E734" w14:textId="77777777" w:rsidR="00077F0C" w:rsidRDefault="00077F0C" w:rsidP="005400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19DF3" w14:textId="77777777" w:rsidR="00650679" w:rsidRPr="0078023B" w:rsidRDefault="0078023B" w:rsidP="007802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11786-06-16</w:t>
    </w:r>
    <w:r>
      <w:rPr>
        <w:rFonts w:ascii="David" w:hAnsi="David"/>
        <w:color w:val="000000"/>
        <w:sz w:val="22"/>
        <w:szCs w:val="22"/>
        <w:rtl/>
      </w:rPr>
      <w:tab/>
      <w:t xml:space="preserve"> מדינת ישראל נ' מאהר רזאק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BA7D6" w14:textId="77777777" w:rsidR="00650679" w:rsidRPr="0078023B" w:rsidRDefault="0078023B" w:rsidP="007802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11786-06-16</w:t>
    </w:r>
    <w:r>
      <w:rPr>
        <w:rFonts w:ascii="David" w:hAnsi="David"/>
        <w:color w:val="000000"/>
        <w:sz w:val="22"/>
        <w:szCs w:val="22"/>
        <w:rtl/>
      </w:rPr>
      <w:tab/>
      <w:t xml:space="preserve"> מדינת ישראל נ' מאהר רזאק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4513B"/>
    <w:rsid w:val="00077F0C"/>
    <w:rsid w:val="003B5FCE"/>
    <w:rsid w:val="00472F4F"/>
    <w:rsid w:val="00540006"/>
    <w:rsid w:val="0054074B"/>
    <w:rsid w:val="00650679"/>
    <w:rsid w:val="0078023B"/>
    <w:rsid w:val="00806636"/>
    <w:rsid w:val="0084513B"/>
    <w:rsid w:val="00C236A5"/>
    <w:rsid w:val="00CB459F"/>
    <w:rsid w:val="00F4619B"/>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5D44696"/>
  <w15:chartTrackingRefBased/>
  <w15:docId w15:val="{2F033388-8113-4D68-9975-2A220F73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513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4513B"/>
    <w:pPr>
      <w:tabs>
        <w:tab w:val="center" w:pos="4153"/>
        <w:tab w:val="right" w:pos="8306"/>
      </w:tabs>
    </w:pPr>
  </w:style>
  <w:style w:type="character" w:customStyle="1" w:styleId="a4">
    <w:name w:val="כותרת עליונה תו"/>
    <w:link w:val="a3"/>
    <w:rsid w:val="0084513B"/>
    <w:rPr>
      <w:rFonts w:ascii="Times New Roman" w:eastAsia="Times New Roman" w:hAnsi="Times New Roman" w:cs="David"/>
      <w:sz w:val="24"/>
      <w:szCs w:val="24"/>
    </w:rPr>
  </w:style>
  <w:style w:type="paragraph" w:styleId="a5">
    <w:name w:val="footer"/>
    <w:basedOn w:val="a"/>
    <w:link w:val="a6"/>
    <w:rsid w:val="0084513B"/>
    <w:pPr>
      <w:tabs>
        <w:tab w:val="center" w:pos="4153"/>
        <w:tab w:val="right" w:pos="8306"/>
      </w:tabs>
    </w:pPr>
  </w:style>
  <w:style w:type="character" w:customStyle="1" w:styleId="a6">
    <w:name w:val="כותרת תחתונה תו"/>
    <w:link w:val="a5"/>
    <w:rsid w:val="0084513B"/>
    <w:rPr>
      <w:rFonts w:ascii="Times New Roman" w:eastAsia="Times New Roman" w:hAnsi="Times New Roman" w:cs="David"/>
      <w:sz w:val="24"/>
      <w:szCs w:val="24"/>
    </w:rPr>
  </w:style>
  <w:style w:type="table" w:styleId="a7">
    <w:name w:val="Table Grid"/>
    <w:basedOn w:val="a1"/>
    <w:rsid w:val="0084513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4513B"/>
  </w:style>
  <w:style w:type="character" w:styleId="Hyperlink">
    <w:name w:val="Hyperlink"/>
    <w:rsid w:val="00650679"/>
    <w:rPr>
      <w:color w:val="0563C1"/>
      <w:u w:val="single"/>
    </w:rPr>
  </w:style>
  <w:style w:type="character" w:styleId="a9">
    <w:name w:val="Unresolved Mention"/>
    <w:uiPriority w:val="99"/>
    <w:semiHidden/>
    <w:unhideWhenUsed/>
    <w:rsid w:val="003B5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51b.b1.1"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5724364" TargetMode="External"/><Relationship Id="rId7" Type="http://schemas.openxmlformats.org/officeDocument/2006/relationships/hyperlink" Target="http://www.nevo.co.il/law/70301/51b.b1.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21638536"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5419778" TargetMode="External"/><Relationship Id="rId20" Type="http://schemas.openxmlformats.org/officeDocument/2006/relationships/hyperlink" Target="http://www.nevo.co.il/case/5764932"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case/8465630"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51b.b1.1" TargetMode="External"/><Relationship Id="rId19"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22531303" TargetMode="External"/><Relationship Id="rId22" Type="http://schemas.openxmlformats.org/officeDocument/2006/relationships/hyperlink" Target="http://www.nevo.co.il/case/7697292"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1944</Words>
  <Characters>9724</Characters>
  <Application>Microsoft Office Word</Application>
  <DocSecurity>0</DocSecurity>
  <Lines>81</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11645</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4063356</vt:i4>
      </vt:variant>
      <vt:variant>
        <vt:i4>48</vt:i4>
      </vt:variant>
      <vt:variant>
        <vt:i4>0</vt:i4>
      </vt:variant>
      <vt:variant>
        <vt:i4>5</vt:i4>
      </vt:variant>
      <vt:variant>
        <vt:lpwstr>http://www.nevo.co.il/case/7697292</vt:lpwstr>
      </vt:variant>
      <vt:variant>
        <vt:lpwstr/>
      </vt:variant>
      <vt:variant>
        <vt:i4>3145841</vt:i4>
      </vt:variant>
      <vt:variant>
        <vt:i4>45</vt:i4>
      </vt:variant>
      <vt:variant>
        <vt:i4>0</vt:i4>
      </vt:variant>
      <vt:variant>
        <vt:i4>5</vt:i4>
      </vt:variant>
      <vt:variant>
        <vt:lpwstr>http://www.nevo.co.il/case/5724364</vt:lpwstr>
      </vt:variant>
      <vt:variant>
        <vt:lpwstr/>
      </vt:variant>
      <vt:variant>
        <vt:i4>3670132</vt:i4>
      </vt:variant>
      <vt:variant>
        <vt:i4>42</vt:i4>
      </vt:variant>
      <vt:variant>
        <vt:i4>0</vt:i4>
      </vt:variant>
      <vt:variant>
        <vt:i4>5</vt:i4>
      </vt:variant>
      <vt:variant>
        <vt:lpwstr>http://www.nevo.co.il/case/5764932</vt:lpwstr>
      </vt:variant>
      <vt:variant>
        <vt:lpwstr/>
      </vt:variant>
      <vt:variant>
        <vt:i4>7995492</vt:i4>
      </vt:variant>
      <vt:variant>
        <vt:i4>39</vt:i4>
      </vt:variant>
      <vt:variant>
        <vt:i4>0</vt:i4>
      </vt:variant>
      <vt:variant>
        <vt:i4>5</vt:i4>
      </vt:variant>
      <vt:variant>
        <vt:lpwstr>http://www.nevo.co.il/law/70301</vt:lpwstr>
      </vt:variant>
      <vt:variant>
        <vt:lpwstr/>
      </vt:variant>
      <vt:variant>
        <vt:i4>4849742</vt:i4>
      </vt:variant>
      <vt:variant>
        <vt:i4>36</vt:i4>
      </vt:variant>
      <vt:variant>
        <vt:i4>0</vt:i4>
      </vt:variant>
      <vt:variant>
        <vt:i4>5</vt:i4>
      </vt:variant>
      <vt:variant>
        <vt:lpwstr>http://www.nevo.co.il/law/70301/51b.b1.1</vt:lpwstr>
      </vt:variant>
      <vt:variant>
        <vt:lpwstr/>
      </vt:variant>
      <vt:variant>
        <vt:i4>4128883</vt:i4>
      </vt:variant>
      <vt:variant>
        <vt:i4>33</vt:i4>
      </vt:variant>
      <vt:variant>
        <vt:i4>0</vt:i4>
      </vt:variant>
      <vt:variant>
        <vt:i4>5</vt:i4>
      </vt:variant>
      <vt:variant>
        <vt:lpwstr>http://www.nevo.co.il/case/21638536</vt:lpwstr>
      </vt:variant>
      <vt:variant>
        <vt:lpwstr/>
      </vt:variant>
      <vt:variant>
        <vt:i4>3866750</vt:i4>
      </vt:variant>
      <vt:variant>
        <vt:i4>30</vt:i4>
      </vt:variant>
      <vt:variant>
        <vt:i4>0</vt:i4>
      </vt:variant>
      <vt:variant>
        <vt:i4>5</vt:i4>
      </vt:variant>
      <vt:variant>
        <vt:lpwstr>http://www.nevo.co.il/case/5419778</vt:lpwstr>
      </vt:variant>
      <vt:variant>
        <vt:lpwstr/>
      </vt:variant>
      <vt:variant>
        <vt:i4>3670134</vt:i4>
      </vt:variant>
      <vt:variant>
        <vt:i4>27</vt:i4>
      </vt:variant>
      <vt:variant>
        <vt:i4>0</vt:i4>
      </vt:variant>
      <vt:variant>
        <vt:i4>5</vt:i4>
      </vt:variant>
      <vt:variant>
        <vt:lpwstr>http://www.nevo.co.il/case/8465630</vt:lpwstr>
      </vt:variant>
      <vt:variant>
        <vt:lpwstr/>
      </vt:variant>
      <vt:variant>
        <vt:i4>3539062</vt:i4>
      </vt:variant>
      <vt:variant>
        <vt:i4>24</vt:i4>
      </vt:variant>
      <vt:variant>
        <vt:i4>0</vt:i4>
      </vt:variant>
      <vt:variant>
        <vt:i4>5</vt:i4>
      </vt:variant>
      <vt:variant>
        <vt:lpwstr>http://www.nevo.co.il/case/22531303</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4849742</vt:i4>
      </vt:variant>
      <vt:variant>
        <vt:i4>12</vt:i4>
      </vt:variant>
      <vt:variant>
        <vt:i4>0</vt:i4>
      </vt:variant>
      <vt:variant>
        <vt:i4>5</vt:i4>
      </vt:variant>
      <vt:variant>
        <vt:lpwstr>http://www.nevo.co.il/law/70301/51b.b1.1</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4849742</vt:i4>
      </vt:variant>
      <vt:variant>
        <vt:i4>3</vt:i4>
      </vt:variant>
      <vt:variant>
        <vt:i4>0</vt:i4>
      </vt:variant>
      <vt:variant>
        <vt:i4>5</vt:i4>
      </vt:variant>
      <vt:variant>
        <vt:lpwstr>http://www.nevo.co.il/law/70301/51b.b1.1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2023-12-07T11:42:00Z</dcterms:created>
  <dcterms:modified xsi:type="dcterms:W3CDTF">2023-12-07T11:42:00Z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11786</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מאהר רזאק</vt:lpwstr>
  </property>
  <property fmtid="{D5CDD505-2E9C-101B-9397-08002B2CF9AE}" pid="10" name="LAWYER">
    <vt:lpwstr>חיים הדיה</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20180618</vt:lpwstr>
  </property>
  <property fmtid="{D5CDD505-2E9C-101B-9397-08002B2CF9AE}" pid="14" name="TYPE_N_DATE">
    <vt:lpwstr>39020180618</vt:lpwstr>
  </property>
  <property fmtid="{D5CDD505-2E9C-101B-9397-08002B2CF9AE}" pid="15" name="WORDNUMPAGES">
    <vt:lpwstr>6</vt:lpwstr>
  </property>
  <property fmtid="{D5CDD505-2E9C-101B-9397-08002B2CF9AE}" pid="16" name="TYPE_ABS_DATE">
    <vt:lpwstr>390020180618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22531303;8465630;5419778;21638536;5764932;5724364;7697292</vt:lpwstr>
  </property>
  <property fmtid="{D5CDD505-2E9C-101B-9397-08002B2CF9AE}" pid="36" name="LAWLISTTMP1">
    <vt:lpwstr>70301/144.a;051b.b1.1</vt:lpwstr>
  </property>
</Properties>
</file>