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8"/>
        <w:gridCol w:w="3663"/>
      </w:tblGrid>
      <w:tr w:rsidR="00957F44" w:rsidRPr="00670BEB" w14:paraId="71B9D0A4" w14:textId="77777777" w:rsidTr="00F9744E">
        <w:trPr>
          <w:trHeight w:hRule="exact" w:val="418"/>
          <w:jc w:val="center"/>
        </w:trPr>
        <w:tc>
          <w:tcPr>
            <w:tcW w:w="8721" w:type="dxa"/>
            <w:gridSpan w:val="2"/>
          </w:tcPr>
          <w:p w14:paraId="2B18CE94" w14:textId="77777777" w:rsidR="00957F44" w:rsidRPr="00670BEB" w:rsidRDefault="00957F44" w:rsidP="007674A3">
            <w:pPr>
              <w:pStyle w:val="a3"/>
              <w:jc w:val="center"/>
              <w:rPr>
                <w:rFonts w:ascii="Tahoma" w:hAnsi="Tahoma" w:cs="Tahoma"/>
                <w:color w:val="000080"/>
                <w:rtl/>
              </w:rPr>
            </w:pPr>
            <w:bookmarkStart w:id="0" w:name="LastJudge"/>
            <w:r w:rsidRPr="00670BEB">
              <w:rPr>
                <w:rFonts w:ascii="Tahoma" w:hAnsi="Tahoma" w:cs="Tahoma"/>
                <w:b/>
                <w:bCs/>
                <w:color w:val="000080"/>
                <w:rtl/>
              </w:rPr>
              <w:t>בית המשפט המחוזי בחיפה</w:t>
            </w:r>
          </w:p>
        </w:tc>
      </w:tr>
      <w:tr w:rsidR="00957F44" w:rsidRPr="00670BEB" w14:paraId="3DB081CC" w14:textId="77777777" w:rsidTr="00F9744E">
        <w:trPr>
          <w:trHeight w:val="337"/>
          <w:jc w:val="center"/>
        </w:trPr>
        <w:tc>
          <w:tcPr>
            <w:tcW w:w="5058" w:type="dxa"/>
          </w:tcPr>
          <w:p w14:paraId="00860B5C" w14:textId="77777777" w:rsidR="00957F44" w:rsidRPr="00670BEB" w:rsidRDefault="00957F44" w:rsidP="007674A3">
            <w:pPr>
              <w:rPr>
                <w:sz w:val="28"/>
                <w:szCs w:val="28"/>
                <w:rtl/>
              </w:rPr>
            </w:pPr>
            <w:r w:rsidRPr="00670BEB">
              <w:rPr>
                <w:rtl/>
              </w:rPr>
              <w:t>ת"פ</w:t>
            </w:r>
            <w:r w:rsidRPr="00670BEB">
              <w:rPr>
                <w:rFonts w:hint="cs"/>
                <w:sz w:val="28"/>
                <w:szCs w:val="28"/>
                <w:rtl/>
              </w:rPr>
              <w:t xml:space="preserve"> </w:t>
            </w:r>
            <w:r w:rsidRPr="00670BEB">
              <w:rPr>
                <w:rtl/>
              </w:rPr>
              <w:t>32659-05-18</w:t>
            </w:r>
            <w:r w:rsidRPr="00670BEB">
              <w:rPr>
                <w:rFonts w:hint="cs"/>
                <w:sz w:val="28"/>
                <w:szCs w:val="28"/>
                <w:rtl/>
              </w:rPr>
              <w:t xml:space="preserve"> </w:t>
            </w:r>
            <w:r w:rsidRPr="00670BEB">
              <w:rPr>
                <w:rtl/>
              </w:rPr>
              <w:t>מדינת ישראל נ' סלמאן(עצור בפיקוח)</w:t>
            </w:r>
          </w:p>
          <w:p w14:paraId="316E6B91" w14:textId="77777777" w:rsidR="00957F44" w:rsidRPr="00670BEB" w:rsidRDefault="00957F44" w:rsidP="007674A3">
            <w:pPr>
              <w:pStyle w:val="a3"/>
              <w:rPr>
                <w:rFonts w:cs="FrankRuehl"/>
                <w:sz w:val="28"/>
                <w:szCs w:val="28"/>
                <w:rtl/>
              </w:rPr>
            </w:pPr>
          </w:p>
        </w:tc>
        <w:tc>
          <w:tcPr>
            <w:tcW w:w="3663" w:type="dxa"/>
          </w:tcPr>
          <w:p w14:paraId="7421546B" w14:textId="77777777" w:rsidR="00957F44" w:rsidRPr="00670BEB" w:rsidRDefault="00957F44" w:rsidP="007674A3">
            <w:pPr>
              <w:pStyle w:val="a3"/>
              <w:jc w:val="right"/>
              <w:rPr>
                <w:rFonts w:cs="FrankRuehl"/>
                <w:sz w:val="28"/>
                <w:szCs w:val="28"/>
                <w:rtl/>
              </w:rPr>
            </w:pPr>
          </w:p>
        </w:tc>
      </w:tr>
    </w:tbl>
    <w:p w14:paraId="37704727" w14:textId="77777777" w:rsidR="00957F44" w:rsidRPr="00670BEB" w:rsidRDefault="00957F44" w:rsidP="00957F44">
      <w:pPr>
        <w:pStyle w:val="a3"/>
        <w:rPr>
          <w:rtl/>
        </w:rPr>
      </w:pPr>
      <w:r w:rsidRPr="00670BEB">
        <w:rPr>
          <w:rFonts w:hint="cs"/>
          <w:rtl/>
        </w:rPr>
        <w:t xml:space="preserve"> </w:t>
      </w:r>
    </w:p>
    <w:p w14:paraId="6966670D" w14:textId="77777777" w:rsidR="00957F44" w:rsidRPr="00670BEB" w:rsidRDefault="00957F44" w:rsidP="00957F44">
      <w:pPr>
        <w:spacing w:line="360" w:lineRule="auto"/>
        <w:jc w:val="both"/>
        <w:rPr>
          <w:rFonts w:ascii="Arial" w:hAnsi="Arial"/>
          <w:rtl/>
        </w:rPr>
      </w:pPr>
    </w:p>
    <w:tbl>
      <w:tblPr>
        <w:bidiVisual/>
        <w:tblW w:w="8524" w:type="dxa"/>
        <w:tblInd w:w="-19" w:type="dxa"/>
        <w:tblLook w:val="01E0" w:firstRow="1" w:lastRow="1" w:firstColumn="1" w:lastColumn="1" w:noHBand="0" w:noVBand="0"/>
      </w:tblPr>
      <w:tblGrid>
        <w:gridCol w:w="19"/>
        <w:gridCol w:w="2852"/>
        <w:gridCol w:w="5635"/>
        <w:gridCol w:w="18"/>
      </w:tblGrid>
      <w:tr w:rsidR="00957F44" w:rsidRPr="00670BEB" w14:paraId="5125713A" w14:textId="77777777" w:rsidTr="00F9744E">
        <w:trPr>
          <w:gridAfter w:val="1"/>
          <w:wAfter w:w="18" w:type="dxa"/>
        </w:trPr>
        <w:tc>
          <w:tcPr>
            <w:tcW w:w="8506" w:type="dxa"/>
            <w:gridSpan w:val="3"/>
            <w:shd w:val="clear" w:color="auto" w:fill="auto"/>
          </w:tcPr>
          <w:p w14:paraId="188C4D4B" w14:textId="77777777" w:rsidR="00957F44" w:rsidRPr="00670BEB" w:rsidRDefault="00957F44" w:rsidP="00957F44">
            <w:pPr>
              <w:spacing w:line="360" w:lineRule="auto"/>
              <w:jc w:val="both"/>
              <w:rPr>
                <w:rStyle w:val="TimesNewRomanTimesNewRoman"/>
              </w:rPr>
            </w:pPr>
            <w:r w:rsidRPr="00670BEB">
              <w:rPr>
                <w:rFonts w:hint="cs"/>
                <w:b/>
                <w:bCs/>
                <w:sz w:val="26"/>
                <w:szCs w:val="26"/>
                <w:rtl/>
              </w:rPr>
              <w:t>לפני כבוד השופט דניאל פיש</w:t>
            </w:r>
            <w:r w:rsidRPr="00670BEB">
              <w:rPr>
                <w:rStyle w:val="TimesNewRomanTimesNewRoman"/>
                <w:rFonts w:hint="cs"/>
                <w:rtl/>
              </w:rPr>
              <w:t xml:space="preserve"> </w:t>
            </w:r>
          </w:p>
          <w:p w14:paraId="597DFB7B" w14:textId="77777777" w:rsidR="00957F44" w:rsidRPr="00670BEB" w:rsidRDefault="00957F44" w:rsidP="00957F44">
            <w:pPr>
              <w:jc w:val="both"/>
              <w:rPr>
                <w:rtl/>
              </w:rPr>
            </w:pPr>
          </w:p>
        </w:tc>
      </w:tr>
      <w:tr w:rsidR="00957F44" w:rsidRPr="00670BEB" w14:paraId="09FB221B" w14:textId="77777777" w:rsidTr="00F9744E">
        <w:trPr>
          <w:gridAfter w:val="1"/>
          <w:wAfter w:w="18" w:type="dxa"/>
          <w:cantSplit/>
          <w:trHeight w:val="251"/>
        </w:trPr>
        <w:tc>
          <w:tcPr>
            <w:tcW w:w="2871" w:type="dxa"/>
            <w:gridSpan w:val="2"/>
            <w:shd w:val="clear" w:color="auto" w:fill="auto"/>
          </w:tcPr>
          <w:p w14:paraId="2475AC38" w14:textId="77777777" w:rsidR="00957F44" w:rsidRPr="00670BEB" w:rsidRDefault="00957F44" w:rsidP="00957F44">
            <w:pPr>
              <w:ind w:left="26"/>
              <w:jc w:val="both"/>
              <w:rPr>
                <w:b/>
                <w:bCs/>
                <w:sz w:val="26"/>
                <w:szCs w:val="26"/>
                <w:rtl/>
              </w:rPr>
            </w:pPr>
            <w:bookmarkStart w:id="1" w:name="FirstAppellant"/>
            <w:r w:rsidRPr="00670BEB">
              <w:rPr>
                <w:rFonts w:hint="cs"/>
                <w:b/>
                <w:bCs/>
                <w:sz w:val="26"/>
                <w:szCs w:val="26"/>
                <w:rtl/>
              </w:rPr>
              <w:t>המאשימה</w:t>
            </w:r>
          </w:p>
        </w:tc>
        <w:tc>
          <w:tcPr>
            <w:tcW w:w="5635" w:type="dxa"/>
            <w:shd w:val="clear" w:color="auto" w:fill="auto"/>
          </w:tcPr>
          <w:p w14:paraId="515C9445" w14:textId="77777777" w:rsidR="00957F44" w:rsidRPr="00670BEB" w:rsidRDefault="00957F44" w:rsidP="00957F44">
            <w:pPr>
              <w:jc w:val="both"/>
              <w:rPr>
                <w:b/>
                <w:bCs/>
                <w:sz w:val="26"/>
                <w:szCs w:val="26"/>
                <w:rtl/>
              </w:rPr>
            </w:pPr>
            <w:r w:rsidRPr="00670BEB">
              <w:rPr>
                <w:rtl/>
              </w:rPr>
              <w:t xml:space="preserve"> </w:t>
            </w:r>
            <w:r w:rsidRPr="00670BEB">
              <w:rPr>
                <w:rFonts w:hint="cs"/>
                <w:b/>
                <w:bCs/>
                <w:sz w:val="26"/>
                <w:szCs w:val="26"/>
                <w:rtl/>
              </w:rPr>
              <w:t>מדינת ישראל</w:t>
            </w:r>
          </w:p>
          <w:p w14:paraId="67B0F02F" w14:textId="77777777" w:rsidR="00957F44" w:rsidRPr="00670BEB" w:rsidRDefault="00957F44" w:rsidP="00957F44">
            <w:pPr>
              <w:jc w:val="both"/>
              <w:rPr>
                <w:b/>
                <w:bCs/>
                <w:sz w:val="26"/>
                <w:szCs w:val="26"/>
                <w:rtl/>
              </w:rPr>
            </w:pPr>
          </w:p>
        </w:tc>
      </w:tr>
      <w:bookmarkEnd w:id="1"/>
      <w:tr w:rsidR="00957F44" w:rsidRPr="00670BEB" w14:paraId="5C8EAFAC" w14:textId="77777777" w:rsidTr="00F9744E">
        <w:trPr>
          <w:gridAfter w:val="1"/>
          <w:wAfter w:w="18" w:type="dxa"/>
        </w:trPr>
        <w:tc>
          <w:tcPr>
            <w:tcW w:w="8506" w:type="dxa"/>
            <w:gridSpan w:val="3"/>
            <w:shd w:val="clear" w:color="auto" w:fill="auto"/>
            <w:vAlign w:val="center"/>
          </w:tcPr>
          <w:p w14:paraId="02580FEC" w14:textId="77777777" w:rsidR="00957F44" w:rsidRPr="00670BEB" w:rsidRDefault="00957F44" w:rsidP="00957F44">
            <w:pPr>
              <w:jc w:val="both"/>
              <w:rPr>
                <w:rFonts w:ascii="Arial" w:hAnsi="Arial"/>
                <w:b/>
                <w:bCs/>
                <w:sz w:val="26"/>
                <w:szCs w:val="26"/>
                <w:rtl/>
              </w:rPr>
            </w:pPr>
          </w:p>
          <w:p w14:paraId="0767875C" w14:textId="77777777" w:rsidR="00957F44" w:rsidRPr="00670BEB" w:rsidRDefault="00957F44" w:rsidP="00957F44">
            <w:pPr>
              <w:jc w:val="center"/>
              <w:rPr>
                <w:rFonts w:ascii="Arial" w:hAnsi="Arial"/>
                <w:b/>
                <w:bCs/>
                <w:sz w:val="26"/>
                <w:szCs w:val="26"/>
                <w:rtl/>
              </w:rPr>
            </w:pPr>
            <w:r w:rsidRPr="00670BEB">
              <w:rPr>
                <w:rFonts w:ascii="Arial" w:hAnsi="Arial" w:hint="cs"/>
                <w:b/>
                <w:bCs/>
                <w:sz w:val="26"/>
                <w:szCs w:val="26"/>
                <w:rtl/>
              </w:rPr>
              <w:t>נגד</w:t>
            </w:r>
          </w:p>
          <w:p w14:paraId="29C097DD" w14:textId="77777777" w:rsidR="00957F44" w:rsidRPr="00670BEB" w:rsidRDefault="00957F44" w:rsidP="00957F44">
            <w:pPr>
              <w:jc w:val="both"/>
              <w:rPr>
                <w:rFonts w:ascii="Arial" w:hAnsi="Arial"/>
                <w:b/>
                <w:bCs/>
                <w:sz w:val="26"/>
                <w:szCs w:val="26"/>
                <w:rtl/>
              </w:rPr>
            </w:pPr>
          </w:p>
        </w:tc>
      </w:tr>
      <w:tr w:rsidR="00957F44" w:rsidRPr="00670BEB" w14:paraId="1524D873" w14:textId="77777777" w:rsidTr="00F9744E">
        <w:trPr>
          <w:gridAfter w:val="1"/>
          <w:wAfter w:w="18" w:type="dxa"/>
        </w:trPr>
        <w:tc>
          <w:tcPr>
            <w:tcW w:w="2871" w:type="dxa"/>
            <w:gridSpan w:val="2"/>
            <w:shd w:val="clear" w:color="auto" w:fill="auto"/>
          </w:tcPr>
          <w:p w14:paraId="68F6457E" w14:textId="77777777" w:rsidR="00957F44" w:rsidRPr="00670BEB" w:rsidRDefault="00957F44" w:rsidP="00957F44">
            <w:pPr>
              <w:ind w:left="26"/>
              <w:jc w:val="both"/>
              <w:rPr>
                <w:b/>
                <w:bCs/>
                <w:sz w:val="26"/>
                <w:szCs w:val="26"/>
              </w:rPr>
            </w:pPr>
            <w:r w:rsidRPr="00670BEB">
              <w:rPr>
                <w:rFonts w:hint="cs"/>
                <w:b/>
                <w:bCs/>
                <w:sz w:val="26"/>
                <w:szCs w:val="26"/>
                <w:rtl/>
              </w:rPr>
              <w:t>הנאשם</w:t>
            </w:r>
          </w:p>
        </w:tc>
        <w:tc>
          <w:tcPr>
            <w:tcW w:w="5635" w:type="dxa"/>
            <w:shd w:val="clear" w:color="auto" w:fill="auto"/>
          </w:tcPr>
          <w:p w14:paraId="4AD4D96D" w14:textId="77777777" w:rsidR="00957F44" w:rsidRPr="00670BEB" w:rsidRDefault="00957F44" w:rsidP="00957F44">
            <w:pPr>
              <w:jc w:val="both"/>
              <w:rPr>
                <w:b/>
                <w:bCs/>
                <w:sz w:val="26"/>
                <w:szCs w:val="26"/>
                <w:rtl/>
              </w:rPr>
            </w:pPr>
            <w:r w:rsidRPr="00670BEB">
              <w:rPr>
                <w:rtl/>
              </w:rPr>
              <w:t xml:space="preserve"> </w:t>
            </w:r>
            <w:r w:rsidRPr="00670BEB">
              <w:rPr>
                <w:rFonts w:hint="cs"/>
                <w:b/>
                <w:bCs/>
                <w:sz w:val="26"/>
                <w:szCs w:val="26"/>
                <w:rtl/>
              </w:rPr>
              <w:t>מוראד סלמאן (עצור בפיקוח)</w:t>
            </w:r>
            <w:r w:rsidRPr="00670BEB">
              <w:rPr>
                <w:rFonts w:cs="Times New Roman"/>
                <w:rtl/>
              </w:rPr>
              <w:t xml:space="preserve"> </w:t>
            </w:r>
            <w:r w:rsidRPr="00670BEB">
              <w:rPr>
                <w:rFonts w:hint="cs"/>
                <w:b/>
                <w:bCs/>
                <w:sz w:val="26"/>
                <w:szCs w:val="26"/>
                <w:rtl/>
              </w:rPr>
              <w:t xml:space="preserve">ת.ז.  </w:t>
            </w:r>
            <w:r w:rsidR="00670BEB">
              <w:rPr>
                <w:b/>
                <w:bCs/>
                <w:sz w:val="26"/>
                <w:szCs w:val="26"/>
              </w:rPr>
              <w:t>xxxxxxxxxx</w:t>
            </w:r>
          </w:p>
          <w:p w14:paraId="62A5FE97" w14:textId="77777777" w:rsidR="00957F44" w:rsidRPr="00670BEB" w:rsidRDefault="00957F44" w:rsidP="00957F44">
            <w:pPr>
              <w:jc w:val="both"/>
              <w:rPr>
                <w:b/>
                <w:bCs/>
                <w:sz w:val="26"/>
                <w:szCs w:val="26"/>
                <w:rtl/>
              </w:rPr>
            </w:pPr>
          </w:p>
        </w:tc>
      </w:tr>
      <w:tr w:rsidR="00957F44" w14:paraId="5EECCC41" w14:textId="77777777" w:rsidTr="00F9744E">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9" w:type="dxa"/>
          <w:trHeight w:val="355"/>
          <w:jc w:val="center"/>
        </w:trPr>
        <w:tc>
          <w:tcPr>
            <w:tcW w:w="8505" w:type="dxa"/>
            <w:gridSpan w:val="3"/>
            <w:tcBorders>
              <w:top w:val="nil"/>
              <w:left w:val="nil"/>
              <w:bottom w:val="nil"/>
              <w:right w:val="nil"/>
            </w:tcBorders>
            <w:shd w:val="clear" w:color="auto" w:fill="auto"/>
          </w:tcPr>
          <w:p w14:paraId="41907557" w14:textId="77777777" w:rsidR="00F27DFB" w:rsidRDefault="00F27DFB" w:rsidP="00670BEB">
            <w:pPr>
              <w:jc w:val="center"/>
              <w:rPr>
                <w:rFonts w:ascii="Arial" w:hAnsi="Arial"/>
                <w:sz w:val="32"/>
                <w:szCs w:val="32"/>
                <w:rtl/>
              </w:rPr>
            </w:pPr>
            <w:bookmarkStart w:id="2" w:name="PsakDin" w:colFirst="0" w:colLast="0"/>
            <w:bookmarkStart w:id="3" w:name="LawTable"/>
            <w:bookmarkEnd w:id="0"/>
            <w:bookmarkEnd w:id="3"/>
          </w:p>
          <w:p w14:paraId="5DF261F8" w14:textId="77777777" w:rsidR="00F27DFB" w:rsidRPr="00F27DFB" w:rsidRDefault="00F27DFB" w:rsidP="00F27DFB">
            <w:pPr>
              <w:spacing w:after="120" w:line="240" w:lineRule="exact"/>
              <w:ind w:left="283" w:hanging="283"/>
              <w:jc w:val="both"/>
              <w:rPr>
                <w:rFonts w:ascii="FrankRuehl" w:hAnsi="FrankRuehl" w:cs="FrankRuehl"/>
                <w:rtl/>
              </w:rPr>
            </w:pPr>
          </w:p>
          <w:p w14:paraId="36A55F5B" w14:textId="77777777" w:rsidR="00F27DFB" w:rsidRPr="00F27DFB" w:rsidRDefault="00F27DFB" w:rsidP="00F27DFB">
            <w:pPr>
              <w:spacing w:after="120" w:line="240" w:lineRule="exact"/>
              <w:ind w:left="283" w:hanging="283"/>
              <w:jc w:val="both"/>
              <w:rPr>
                <w:rFonts w:ascii="FrankRuehl" w:hAnsi="FrankRuehl" w:cs="FrankRuehl"/>
                <w:rtl/>
              </w:rPr>
            </w:pPr>
            <w:r w:rsidRPr="00F27DFB">
              <w:rPr>
                <w:rFonts w:ascii="FrankRuehl" w:hAnsi="FrankRuehl" w:cs="FrankRuehl"/>
                <w:rtl/>
              </w:rPr>
              <w:t xml:space="preserve">חקיקה שאוזכרה: </w:t>
            </w:r>
          </w:p>
          <w:p w14:paraId="0147EDFE" w14:textId="77777777" w:rsidR="00F27DFB" w:rsidRPr="00F27DFB" w:rsidRDefault="00F27DFB" w:rsidP="00F27DFB">
            <w:pPr>
              <w:spacing w:after="120" w:line="240" w:lineRule="exact"/>
              <w:ind w:left="283" w:hanging="283"/>
              <w:jc w:val="both"/>
              <w:rPr>
                <w:rFonts w:ascii="FrankRuehl" w:hAnsi="FrankRuehl" w:cs="FrankRuehl"/>
                <w:rtl/>
              </w:rPr>
            </w:pPr>
            <w:hyperlink r:id="rId6" w:history="1">
              <w:r w:rsidRPr="00F27DFB">
                <w:rPr>
                  <w:rFonts w:ascii="FrankRuehl" w:hAnsi="FrankRuehl" w:cs="FrankRuehl"/>
                  <w:color w:val="0000FF"/>
                  <w:u w:val="single"/>
                  <w:rtl/>
                </w:rPr>
                <w:t>חוק העונשין, תשל"ז-1977</w:t>
              </w:r>
            </w:hyperlink>
            <w:r w:rsidRPr="00F27DFB">
              <w:rPr>
                <w:rFonts w:ascii="FrankRuehl" w:hAnsi="FrankRuehl" w:cs="FrankRuehl"/>
                <w:rtl/>
              </w:rPr>
              <w:t xml:space="preserve">: סע'  </w:t>
            </w:r>
            <w:hyperlink r:id="rId7" w:history="1">
              <w:r w:rsidRPr="00F27DFB">
                <w:rPr>
                  <w:rFonts w:ascii="FrankRuehl" w:hAnsi="FrankRuehl" w:cs="FrankRuehl"/>
                  <w:color w:val="0000FF"/>
                  <w:u w:val="single"/>
                  <w:rtl/>
                </w:rPr>
                <w:t>144(ב)</w:t>
              </w:r>
            </w:hyperlink>
            <w:r w:rsidRPr="00F27DFB">
              <w:rPr>
                <w:rFonts w:ascii="FrankRuehl" w:hAnsi="FrankRuehl" w:cs="FrankRuehl"/>
                <w:rtl/>
              </w:rPr>
              <w:t xml:space="preserve">, </w:t>
            </w:r>
            <w:hyperlink r:id="rId8" w:history="1">
              <w:r w:rsidRPr="00F27DFB">
                <w:rPr>
                  <w:rFonts w:ascii="FrankRuehl" w:hAnsi="FrankRuehl" w:cs="FrankRuehl"/>
                  <w:color w:val="0000FF"/>
                  <w:u w:val="single"/>
                  <w:rtl/>
                </w:rPr>
                <w:t>275</w:t>
              </w:r>
            </w:hyperlink>
          </w:p>
          <w:p w14:paraId="3F81EB23" w14:textId="77777777" w:rsidR="00F27DFB" w:rsidRPr="00F27DFB" w:rsidRDefault="00F27DFB" w:rsidP="00F27DFB">
            <w:pPr>
              <w:spacing w:after="120" w:line="240" w:lineRule="exact"/>
              <w:ind w:left="283" w:hanging="283"/>
              <w:jc w:val="both"/>
              <w:rPr>
                <w:rFonts w:ascii="FrankRuehl" w:hAnsi="FrankRuehl" w:cs="FrankRuehl"/>
                <w:rtl/>
              </w:rPr>
            </w:pPr>
          </w:p>
          <w:p w14:paraId="76266A97" w14:textId="77777777" w:rsidR="00F27DFB" w:rsidRPr="00F27DFB" w:rsidRDefault="00F27DFB" w:rsidP="00670BEB">
            <w:pPr>
              <w:jc w:val="center"/>
              <w:rPr>
                <w:rFonts w:ascii="Arial" w:hAnsi="Arial"/>
                <w:sz w:val="32"/>
                <w:szCs w:val="32"/>
                <w:rtl/>
              </w:rPr>
            </w:pPr>
            <w:bookmarkStart w:id="4" w:name="LawTable_End"/>
            <w:bookmarkEnd w:id="4"/>
          </w:p>
          <w:p w14:paraId="3AD41619" w14:textId="77777777" w:rsidR="00F27DFB" w:rsidRPr="00F27DFB" w:rsidRDefault="00F27DFB" w:rsidP="00670BEB">
            <w:pPr>
              <w:jc w:val="center"/>
              <w:rPr>
                <w:rFonts w:ascii="Arial" w:hAnsi="Arial"/>
                <w:sz w:val="32"/>
                <w:szCs w:val="32"/>
                <w:rtl/>
              </w:rPr>
            </w:pPr>
          </w:p>
          <w:p w14:paraId="75607EA4" w14:textId="77777777" w:rsidR="00F27DFB" w:rsidRPr="00F27DFB" w:rsidRDefault="00F27DFB" w:rsidP="00670BEB">
            <w:pPr>
              <w:jc w:val="center"/>
              <w:rPr>
                <w:rFonts w:ascii="Arial" w:hAnsi="Arial"/>
                <w:sz w:val="32"/>
                <w:szCs w:val="32"/>
                <w:rtl/>
              </w:rPr>
            </w:pPr>
          </w:p>
          <w:p w14:paraId="11E75750" w14:textId="77777777" w:rsidR="00670BEB" w:rsidRPr="00670BEB" w:rsidRDefault="00670BEB" w:rsidP="00670BEB">
            <w:pPr>
              <w:jc w:val="center"/>
              <w:rPr>
                <w:rFonts w:ascii="Arial" w:hAnsi="Arial"/>
                <w:b/>
                <w:bCs/>
                <w:sz w:val="32"/>
                <w:szCs w:val="32"/>
                <w:u w:val="single"/>
                <w:rtl/>
              </w:rPr>
            </w:pPr>
            <w:r w:rsidRPr="00670BEB">
              <w:rPr>
                <w:rFonts w:ascii="Arial" w:hAnsi="Arial"/>
                <w:b/>
                <w:bCs/>
                <w:sz w:val="32"/>
                <w:szCs w:val="32"/>
                <w:u w:val="single"/>
                <w:rtl/>
              </w:rPr>
              <w:t>גזר דין</w:t>
            </w:r>
          </w:p>
          <w:p w14:paraId="730D43BE" w14:textId="77777777" w:rsidR="00957F44" w:rsidRPr="00670BEB" w:rsidRDefault="00957F44" w:rsidP="00670BEB">
            <w:pPr>
              <w:jc w:val="center"/>
              <w:rPr>
                <w:rFonts w:ascii="Arial" w:hAnsi="Arial"/>
                <w:bCs/>
                <w:sz w:val="32"/>
                <w:szCs w:val="32"/>
                <w:u w:val="single"/>
                <w:rtl/>
              </w:rPr>
            </w:pPr>
          </w:p>
        </w:tc>
      </w:tr>
      <w:bookmarkEnd w:id="2"/>
    </w:tbl>
    <w:p w14:paraId="3D64B9BF" w14:textId="77777777" w:rsidR="00957F44" w:rsidRPr="00B05847" w:rsidRDefault="00957F44" w:rsidP="00957F44">
      <w:pPr>
        <w:spacing w:line="360" w:lineRule="auto"/>
        <w:jc w:val="both"/>
        <w:rPr>
          <w:rFonts w:ascii="Arial" w:hAnsi="Arial"/>
          <w:rtl/>
        </w:rPr>
      </w:pPr>
    </w:p>
    <w:p w14:paraId="5C36AFF3" w14:textId="77777777" w:rsidR="00957F44" w:rsidRDefault="00957F44" w:rsidP="00957F44">
      <w:pPr>
        <w:spacing w:line="360" w:lineRule="auto"/>
        <w:ind w:left="720" w:hanging="720"/>
        <w:jc w:val="both"/>
        <w:rPr>
          <w:rFonts w:ascii="Arial" w:hAnsi="Arial"/>
          <w:rtl/>
        </w:rPr>
      </w:pPr>
      <w:r>
        <w:rPr>
          <w:rFonts w:ascii="Arial" w:hAnsi="Arial" w:hint="cs"/>
          <w:rtl/>
        </w:rPr>
        <w:t xml:space="preserve">1. </w:t>
      </w:r>
      <w:r>
        <w:rPr>
          <w:rFonts w:ascii="Arial" w:hAnsi="Arial"/>
          <w:rtl/>
        </w:rPr>
        <w:tab/>
      </w:r>
      <w:bookmarkStart w:id="5" w:name="ABSTRACT_START"/>
      <w:bookmarkEnd w:id="5"/>
      <w:r>
        <w:rPr>
          <w:rFonts w:ascii="Arial" w:hAnsi="Arial" w:hint="cs"/>
          <w:rtl/>
        </w:rPr>
        <w:t xml:space="preserve">הנאשם הודה במסגרת כתב אישום מתוקן בביצוע העבירות בנשק (נשיאה והובלה) לפי סעיפים </w:t>
      </w:r>
      <w:hyperlink r:id="rId9" w:history="1">
        <w:r w:rsidR="00F9744E" w:rsidRPr="00F9744E">
          <w:rPr>
            <w:rFonts w:ascii="Arial" w:hAnsi="Arial"/>
            <w:color w:val="0000FF"/>
            <w:u w:val="single"/>
            <w:rtl/>
          </w:rPr>
          <w:t>144(ב)</w:t>
        </w:r>
      </w:hyperlink>
      <w:r>
        <w:rPr>
          <w:rFonts w:ascii="Arial" w:hAnsi="Arial" w:hint="cs"/>
          <w:rtl/>
        </w:rPr>
        <w:t>(רישא+סיפא) ל</w:t>
      </w:r>
      <w:hyperlink r:id="rId10" w:history="1">
        <w:r w:rsidR="00670BEB" w:rsidRPr="00670BEB">
          <w:rPr>
            <w:rFonts w:ascii="Arial" w:hAnsi="Arial"/>
            <w:color w:val="0000FF"/>
            <w:u w:val="single"/>
            <w:rtl/>
          </w:rPr>
          <w:t>חוק העונשין</w:t>
        </w:r>
      </w:hyperlink>
      <w:r>
        <w:rPr>
          <w:rFonts w:ascii="Arial" w:hAnsi="Arial" w:hint="cs"/>
          <w:rtl/>
        </w:rPr>
        <w:t xml:space="preserve">, והפרעה לשוטר במילוי תפקידו לפי </w:t>
      </w:r>
      <w:hyperlink r:id="rId11" w:history="1">
        <w:r w:rsidR="00F9744E" w:rsidRPr="00F9744E">
          <w:rPr>
            <w:rFonts w:ascii="Arial" w:hAnsi="Arial"/>
            <w:color w:val="0000FF"/>
            <w:u w:val="single"/>
            <w:rtl/>
          </w:rPr>
          <w:t>סעיף 275</w:t>
        </w:r>
      </w:hyperlink>
      <w:r>
        <w:rPr>
          <w:rFonts w:ascii="Arial" w:hAnsi="Arial" w:hint="cs"/>
          <w:rtl/>
        </w:rPr>
        <w:t xml:space="preserve"> לחוק.</w:t>
      </w:r>
    </w:p>
    <w:p w14:paraId="3908D5C5" w14:textId="77777777" w:rsidR="00957F44" w:rsidRDefault="00957F44" w:rsidP="00957F44">
      <w:pPr>
        <w:spacing w:line="360" w:lineRule="auto"/>
        <w:ind w:left="720" w:hanging="720"/>
        <w:jc w:val="both"/>
        <w:rPr>
          <w:rFonts w:ascii="Arial" w:hAnsi="Arial"/>
          <w:rtl/>
        </w:rPr>
      </w:pPr>
    </w:p>
    <w:p w14:paraId="22FDADE6" w14:textId="77777777" w:rsidR="00957F44" w:rsidRDefault="00957F44" w:rsidP="00957F44">
      <w:pPr>
        <w:spacing w:line="360" w:lineRule="auto"/>
        <w:ind w:left="720"/>
        <w:jc w:val="both"/>
        <w:rPr>
          <w:rFonts w:ascii="Arial" w:hAnsi="Arial"/>
          <w:rtl/>
        </w:rPr>
      </w:pPr>
      <w:r>
        <w:rPr>
          <w:rFonts w:ascii="Arial" w:hAnsi="Arial" w:hint="cs"/>
          <w:rtl/>
        </w:rPr>
        <w:t xml:space="preserve">על פי האמור בכתב האישום המתוקן, ביום 05.05.2018, בשעה 00:25, נסע הנאשם בירכא, כשהוא נושא ומוביל את הפריטים הבאים: על רצפת הרכב מאחורי מושב הנהג </w:t>
      </w:r>
      <w:r>
        <w:rPr>
          <w:rFonts w:ascii="Arial" w:hAnsi="Arial"/>
          <w:rtl/>
        </w:rPr>
        <w:t>–</w:t>
      </w:r>
      <w:r>
        <w:rPr>
          <w:rFonts w:ascii="Arial" w:hAnsi="Arial" w:hint="cs"/>
          <w:rtl/>
        </w:rPr>
        <w:t xml:space="preserve"> נשק דמוי תת-מקלע מאולתר בקוטר 9 מילימטר "פאראבלום", שמסוגל לירות כדור שבכוחו להמית אדם; בכיס האחורי של המושב ליד הנהג </w:t>
      </w:r>
      <w:r>
        <w:rPr>
          <w:rFonts w:ascii="Arial" w:hAnsi="Arial"/>
          <w:rtl/>
        </w:rPr>
        <w:t>–</w:t>
      </w:r>
      <w:r>
        <w:rPr>
          <w:rFonts w:ascii="Arial" w:hAnsi="Arial" w:hint="cs"/>
          <w:rtl/>
        </w:rPr>
        <w:t xml:space="preserve"> שני רימוני גז מדמיע; בדופן הדלת ליד הנהג </w:t>
      </w:r>
      <w:r>
        <w:rPr>
          <w:rFonts w:ascii="Arial" w:hAnsi="Arial"/>
          <w:rtl/>
        </w:rPr>
        <w:t>–</w:t>
      </w:r>
      <w:r>
        <w:rPr>
          <w:rFonts w:ascii="Arial" w:hAnsi="Arial" w:hint="cs"/>
          <w:rtl/>
        </w:rPr>
        <w:t xml:space="preserve"> מחסנית ריקה לתת מקלע מסוג עוזי; בדופן הדלת ליד הנהג </w:t>
      </w:r>
      <w:r>
        <w:rPr>
          <w:rFonts w:ascii="Arial" w:hAnsi="Arial"/>
          <w:rtl/>
        </w:rPr>
        <w:t>–</w:t>
      </w:r>
      <w:r>
        <w:rPr>
          <w:rFonts w:ascii="Arial" w:hAnsi="Arial" w:hint="cs"/>
          <w:rtl/>
        </w:rPr>
        <w:t xml:space="preserve"> 9 כדורים לאקדח, 9 מילימטר "פאראבלום"; ברכב בתוך שקית לבנה </w:t>
      </w:r>
      <w:r>
        <w:rPr>
          <w:rFonts w:ascii="Arial" w:hAnsi="Arial"/>
          <w:rtl/>
        </w:rPr>
        <w:t>–</w:t>
      </w:r>
      <w:r>
        <w:rPr>
          <w:rFonts w:ascii="Arial" w:hAnsi="Arial" w:hint="cs"/>
          <w:rtl/>
        </w:rPr>
        <w:t xml:space="preserve"> ערכה לניקוי של נשק, ובתוכה 10 כדורים בקוטר 5.56 מילימטר. </w:t>
      </w:r>
    </w:p>
    <w:p w14:paraId="79052765" w14:textId="77777777" w:rsidR="00957F44" w:rsidRDefault="00957F44" w:rsidP="00957F44">
      <w:pPr>
        <w:spacing w:line="360" w:lineRule="auto"/>
        <w:jc w:val="both"/>
        <w:rPr>
          <w:rFonts w:ascii="Arial" w:hAnsi="Arial"/>
          <w:rtl/>
        </w:rPr>
      </w:pPr>
    </w:p>
    <w:p w14:paraId="55C53B89" w14:textId="77777777" w:rsidR="00957F44" w:rsidRDefault="00957F44" w:rsidP="00957F44">
      <w:pPr>
        <w:spacing w:line="360" w:lineRule="auto"/>
        <w:ind w:left="720" w:hanging="720"/>
        <w:jc w:val="both"/>
        <w:rPr>
          <w:rFonts w:ascii="Arial" w:hAnsi="Arial"/>
          <w:rtl/>
        </w:rPr>
      </w:pPr>
      <w:bookmarkStart w:id="6" w:name="ABSTRACT_END"/>
      <w:bookmarkEnd w:id="6"/>
      <w:r>
        <w:rPr>
          <w:rFonts w:ascii="Arial" w:hAnsi="Arial" w:hint="cs"/>
          <w:rtl/>
        </w:rPr>
        <w:t xml:space="preserve">2. </w:t>
      </w:r>
      <w:r>
        <w:rPr>
          <w:rFonts w:ascii="Arial" w:hAnsi="Arial"/>
          <w:rtl/>
        </w:rPr>
        <w:tab/>
      </w:r>
      <w:r>
        <w:rPr>
          <w:rFonts w:ascii="Arial" w:hAnsi="Arial" w:hint="cs"/>
          <w:rtl/>
        </w:rPr>
        <w:t xml:space="preserve">באותה עת, ביצעה משטרת ישראל פעילות של הקמת מחסומים באזור ירכא לצורך איתור רכבו של הנאשם, ונוצר כתוצאה מכך פקק תנועה, והנאשם בתוכו. שוטרים שהבחינו ברכבו </w:t>
      </w:r>
      <w:r>
        <w:rPr>
          <w:rFonts w:ascii="Arial" w:hAnsi="Arial" w:hint="cs"/>
          <w:rtl/>
        </w:rPr>
        <w:lastRenderedPageBreak/>
        <w:t xml:space="preserve">של הנאשם יצאו מהניידת שלהם וניגשו אליו, כשהם מזדהים כשוטרים. אחד מהם פתח את דלת הרכב וכיבה את המנוע, כאשר באותו שלב הבחינו השוטרים בתת-המקלע המאולתר על רצפת הרכב מאחורי הנהג, והודיעו לנאשם שהוא עצור. הנאשם סירב לצאת מהרכב, והחל לדחוף את השוטרים, כדי למנוע מהם להוציאו מהרכב, ואלה נאלצו להפעיל כוח סביר להשתלט עליו. הנאשם התנגד גם להכנסתו לניידת, וניסה להשתחרר מאחיזתם של השוטרים. </w:t>
      </w:r>
    </w:p>
    <w:p w14:paraId="0A89DBB4" w14:textId="77777777" w:rsidR="00957F44" w:rsidRDefault="00957F44" w:rsidP="00957F44">
      <w:pPr>
        <w:spacing w:line="360" w:lineRule="auto"/>
        <w:jc w:val="both"/>
        <w:rPr>
          <w:rFonts w:ascii="Arial" w:hAnsi="Arial"/>
          <w:rtl/>
        </w:rPr>
      </w:pPr>
    </w:p>
    <w:p w14:paraId="65BE2F34" w14:textId="77777777" w:rsidR="00957F44" w:rsidRDefault="00957F44" w:rsidP="00957F44">
      <w:pPr>
        <w:spacing w:line="360" w:lineRule="auto"/>
        <w:ind w:left="720" w:hanging="720"/>
        <w:jc w:val="both"/>
        <w:rPr>
          <w:rFonts w:ascii="Arial" w:hAnsi="Arial"/>
          <w:rtl/>
        </w:rPr>
      </w:pPr>
      <w:r>
        <w:rPr>
          <w:rFonts w:ascii="Arial" w:hAnsi="Arial" w:hint="cs"/>
          <w:rtl/>
        </w:rPr>
        <w:t xml:space="preserve">3. </w:t>
      </w:r>
      <w:r>
        <w:rPr>
          <w:rFonts w:ascii="Arial" w:hAnsi="Arial"/>
          <w:rtl/>
        </w:rPr>
        <w:tab/>
      </w:r>
      <w:r>
        <w:rPr>
          <w:rFonts w:ascii="Arial" w:hAnsi="Arial" w:hint="cs"/>
          <w:rtl/>
        </w:rPr>
        <w:t xml:space="preserve">ביום 23.05.2018  ניתנה הכרעת דין המרשיעה את הנאשם בכתב האישום המתוקן, כאשר יצוין שכתב האישום המקורי כלל עבירה נוספת של אחזקת סם מסוכן לצריכה עצמית, עבירה שנמחקה. </w:t>
      </w:r>
    </w:p>
    <w:p w14:paraId="4C25BB2D" w14:textId="77777777" w:rsidR="00957F44" w:rsidRDefault="00957F44" w:rsidP="00957F44">
      <w:pPr>
        <w:spacing w:line="360" w:lineRule="auto"/>
        <w:jc w:val="both"/>
        <w:rPr>
          <w:rFonts w:ascii="Arial" w:hAnsi="Arial"/>
          <w:b/>
          <w:bCs/>
          <w:u w:val="single"/>
          <w:rtl/>
        </w:rPr>
      </w:pPr>
    </w:p>
    <w:p w14:paraId="5E8A8CA8" w14:textId="77777777" w:rsidR="00957F44" w:rsidRPr="0089501C" w:rsidRDefault="00957F44" w:rsidP="00957F44">
      <w:pPr>
        <w:spacing w:line="360" w:lineRule="auto"/>
        <w:jc w:val="both"/>
        <w:rPr>
          <w:rFonts w:ascii="Arial" w:hAnsi="Arial"/>
          <w:b/>
          <w:bCs/>
          <w:u w:val="single"/>
          <w:rtl/>
        </w:rPr>
      </w:pPr>
      <w:r w:rsidRPr="0089501C">
        <w:rPr>
          <w:rFonts w:ascii="Arial" w:hAnsi="Arial" w:hint="cs"/>
          <w:b/>
          <w:bCs/>
          <w:u w:val="single"/>
          <w:rtl/>
        </w:rPr>
        <w:t>תסקיר שירות המבחן</w:t>
      </w:r>
    </w:p>
    <w:p w14:paraId="0442E4AC" w14:textId="77777777" w:rsidR="00957F44" w:rsidRDefault="00957F44" w:rsidP="00957F44">
      <w:pPr>
        <w:spacing w:line="360" w:lineRule="auto"/>
        <w:jc w:val="both"/>
        <w:rPr>
          <w:rFonts w:ascii="Arial" w:hAnsi="Arial"/>
          <w:rtl/>
        </w:rPr>
      </w:pPr>
    </w:p>
    <w:p w14:paraId="154B5395" w14:textId="77777777" w:rsidR="00957F44" w:rsidRDefault="00957F44" w:rsidP="00957F44">
      <w:pPr>
        <w:spacing w:line="360" w:lineRule="auto"/>
        <w:ind w:left="720" w:hanging="720"/>
        <w:jc w:val="both"/>
        <w:rPr>
          <w:rFonts w:ascii="Arial" w:hAnsi="Arial"/>
          <w:rtl/>
        </w:rPr>
      </w:pPr>
      <w:r>
        <w:rPr>
          <w:rFonts w:ascii="Arial" w:hAnsi="Arial" w:hint="cs"/>
          <w:rtl/>
        </w:rPr>
        <w:t xml:space="preserve">4. </w:t>
      </w:r>
      <w:r>
        <w:rPr>
          <w:rFonts w:ascii="Arial" w:hAnsi="Arial"/>
          <w:rtl/>
        </w:rPr>
        <w:tab/>
      </w:r>
      <w:r>
        <w:rPr>
          <w:rFonts w:ascii="Arial" w:hAnsi="Arial" w:hint="cs"/>
          <w:rtl/>
        </w:rPr>
        <w:t xml:space="preserve">התסקיר סקר את קורותיו של הנאשם, שהוא בן 21, ממוצא דרוזי. טרם מעצרו התגורר בבית הוריו בירכא, ועבד כאחראי משמרת במפעל פלסטיק. הוא סיים 12 שנות לימוד, לא התגייס לצבא. הוא שלל שימוש או תלות בחומרים פסיכו-אקטיביים, או מעורבות באירועים אלימים, למעט אירוע שהיה בו קורבן. משפחתו נורמטיבית, והוא נעדר הרשעות קודמות. </w:t>
      </w:r>
    </w:p>
    <w:p w14:paraId="05D23E58" w14:textId="77777777" w:rsidR="00957F44" w:rsidRDefault="00957F44" w:rsidP="00957F44">
      <w:pPr>
        <w:spacing w:line="360" w:lineRule="auto"/>
        <w:jc w:val="both"/>
        <w:rPr>
          <w:rFonts w:ascii="Arial" w:hAnsi="Arial"/>
          <w:rtl/>
        </w:rPr>
      </w:pPr>
    </w:p>
    <w:p w14:paraId="6DAE66D2" w14:textId="77777777" w:rsidR="00957F44" w:rsidRDefault="00957F44" w:rsidP="00957F44">
      <w:pPr>
        <w:spacing w:line="360" w:lineRule="auto"/>
        <w:ind w:left="720" w:hanging="720"/>
        <w:jc w:val="both"/>
        <w:rPr>
          <w:rFonts w:ascii="Arial" w:hAnsi="Arial"/>
          <w:rtl/>
        </w:rPr>
      </w:pPr>
      <w:r>
        <w:rPr>
          <w:rFonts w:ascii="Arial" w:hAnsi="Arial" w:hint="cs"/>
          <w:rtl/>
        </w:rPr>
        <w:t xml:space="preserve">5. </w:t>
      </w:r>
      <w:r>
        <w:rPr>
          <w:rFonts w:ascii="Arial" w:hAnsi="Arial"/>
          <w:rtl/>
        </w:rPr>
        <w:tab/>
      </w:r>
      <w:r>
        <w:rPr>
          <w:rFonts w:ascii="Arial" w:hAnsi="Arial" w:hint="cs"/>
          <w:rtl/>
        </w:rPr>
        <w:t xml:space="preserve">שירות המבחן התרשם שהנאשם לוקח אחריות חלקית על ביצוע העבירות, ומצמצם בחומרתן, זאת לאור טענתו שמצא את האמל"ח בעת ששמר על פרות שרעו בשדה, וטען שהוא התכוון להעביר אותו למשטרת ישראל באותו הלילה. לטעם שירות המבחן, הוא התקשה להסביר מדוע פיזר את הנשק במקומות שונים ברכבו, ומסר שהשוטרים החלו להכות אותו עת שנעצר, ואף שנעשה נגדו שימוש באקדח לייזר, וזאת חרף העובדה שלא התנגד. הנאשם שיתף שההתמודדות במעצר היוותה קושי עבורו, ושבוטלו אירוסיו כתוצאה ממעצרו. שירות המבחן התרשם שמדובר באדם צעיר, מופנם, ששמר על יציבות במסגרות שונות במשך שנים, ונמצא עדיין בגיבוש ועיצוב זהותו. כמו כן, מצבו הנוכחי מהווה עבורו משבר אישי נוסף. יחד עם זאת, שירות המבחן התרשם כי "בעבירה זו ובנסיבותיה, התרשמנו כי רב הנסתר על הגלוי, וכי מוראד מתקשה להסביר באופן אותנטי את האמת בבסיסה". עם זאת, מדבריו עולה התנהלות המרמזת על התנהגות אימפולסיבית, תוך קושי לבחון את ההשלכות ומשמעות התנהלותו. שירות המבחן התרשם שהמעצר והמחירים האישיים שהנאשם משלם מהווים גורמים מהותיים, אך יחד עם זאת, לאור אי הבהירות בקשר לאופן ביצוע העבירה ופרטיו, ומכיוון שהנאשם לא הביע נזקקות טיפולית, מעבר לרצון לחזור לחיות את חייו </w:t>
      </w:r>
      <w:r>
        <w:rPr>
          <w:rFonts w:ascii="Arial" w:hAnsi="Arial"/>
          <w:rtl/>
        </w:rPr>
        <w:t>–</w:t>
      </w:r>
      <w:r>
        <w:rPr>
          <w:rFonts w:ascii="Arial" w:hAnsi="Arial" w:hint="cs"/>
          <w:rtl/>
        </w:rPr>
        <w:t xml:space="preserve"> לא ניתנה המלצה טיפולית שיקומית בקהילה כאמצעי שיכול להביא להפחתת הסיכון ולהישנות התנהגות גוברת חוק. </w:t>
      </w:r>
    </w:p>
    <w:p w14:paraId="56AB709C" w14:textId="77777777" w:rsidR="00957F44" w:rsidRDefault="00957F44" w:rsidP="00957F44">
      <w:pPr>
        <w:spacing w:line="360" w:lineRule="auto"/>
        <w:jc w:val="both"/>
        <w:rPr>
          <w:rFonts w:ascii="Arial" w:hAnsi="Arial"/>
          <w:rtl/>
        </w:rPr>
      </w:pPr>
    </w:p>
    <w:p w14:paraId="0A0C0749" w14:textId="77777777" w:rsidR="00957F44" w:rsidRPr="007D6C3E" w:rsidRDefault="00957F44" w:rsidP="00957F44">
      <w:pPr>
        <w:spacing w:line="360" w:lineRule="auto"/>
        <w:jc w:val="both"/>
        <w:rPr>
          <w:rFonts w:ascii="Arial" w:hAnsi="Arial"/>
          <w:b/>
          <w:bCs/>
          <w:u w:val="single"/>
          <w:rtl/>
        </w:rPr>
      </w:pPr>
      <w:r w:rsidRPr="007D6C3E">
        <w:rPr>
          <w:rFonts w:ascii="Arial" w:hAnsi="Arial" w:hint="cs"/>
          <w:b/>
          <w:bCs/>
          <w:u w:val="single"/>
          <w:rtl/>
        </w:rPr>
        <w:t>טיעוני המדינה לעניין העונש</w:t>
      </w:r>
    </w:p>
    <w:p w14:paraId="0A80439B" w14:textId="77777777" w:rsidR="00957F44" w:rsidRDefault="00957F44" w:rsidP="00957F44">
      <w:pPr>
        <w:spacing w:line="360" w:lineRule="auto"/>
        <w:jc w:val="both"/>
        <w:rPr>
          <w:rFonts w:ascii="Arial" w:hAnsi="Arial"/>
          <w:rtl/>
        </w:rPr>
      </w:pPr>
    </w:p>
    <w:p w14:paraId="75AE3ABE" w14:textId="77777777" w:rsidR="00957F44" w:rsidRDefault="00957F44" w:rsidP="00957F44">
      <w:pPr>
        <w:spacing w:line="360" w:lineRule="auto"/>
        <w:ind w:left="720" w:hanging="720"/>
        <w:jc w:val="both"/>
        <w:rPr>
          <w:rtl/>
        </w:rPr>
      </w:pPr>
      <w:r>
        <w:rPr>
          <w:rFonts w:ascii="Arial" w:hAnsi="Arial" w:hint="cs"/>
          <w:rtl/>
        </w:rPr>
        <w:t xml:space="preserve">6. </w:t>
      </w:r>
      <w:r>
        <w:rPr>
          <w:rFonts w:ascii="Arial" w:hAnsi="Arial"/>
          <w:rtl/>
        </w:rPr>
        <w:tab/>
      </w:r>
      <w:r>
        <w:rPr>
          <w:rFonts w:ascii="Arial" w:hAnsi="Arial" w:hint="cs"/>
          <w:rtl/>
        </w:rPr>
        <w:t xml:space="preserve">המדינה פירטה שהנאשם היה עצור מיום 05.05.2018 עד ליום 10.06.2018 (סך הכול 36 ימים), ושמאותו מועד שוחרר </w:t>
      </w:r>
      <w:r>
        <w:rPr>
          <w:rFonts w:hint="cs"/>
          <w:rtl/>
        </w:rPr>
        <w:t xml:space="preserve">באיזוק אלקטרוני. נטען שאין לנכות את ימי המעצר בפיקוח האלקטרוני מתקופת מאסרו. אשר למתחם העונש ההולם, הודגשה חומרת עבירות הנשק למיניהן:  </w:t>
      </w:r>
      <w:hyperlink r:id="rId12" w:history="1">
        <w:r w:rsidR="00670BEB" w:rsidRPr="00670BEB">
          <w:rPr>
            <w:color w:val="0000FF"/>
            <w:u w:val="single"/>
            <w:rtl/>
          </w:rPr>
          <w:t>ע"פ 4945/13</w:t>
        </w:r>
      </w:hyperlink>
      <w:r>
        <w:rPr>
          <w:rFonts w:hint="cs"/>
          <w:rtl/>
        </w:rPr>
        <w:t xml:space="preserve">, </w:t>
      </w:r>
      <w:r w:rsidRPr="00305E7A">
        <w:rPr>
          <w:rFonts w:hint="cs"/>
          <w:b/>
          <w:bCs/>
          <w:rtl/>
        </w:rPr>
        <w:t>מדינת ישראל נ' סלימאן</w:t>
      </w:r>
      <w:r>
        <w:rPr>
          <w:rFonts w:hint="cs"/>
          <w:rtl/>
        </w:rPr>
        <w:t xml:space="preserve"> (19.01.2014), </w:t>
      </w:r>
      <w:hyperlink r:id="rId13" w:history="1">
        <w:r w:rsidR="00670BEB" w:rsidRPr="00670BEB">
          <w:rPr>
            <w:color w:val="0000FF"/>
            <w:u w:val="single"/>
            <w:rtl/>
          </w:rPr>
          <w:t>ע"פ 2251/11</w:t>
        </w:r>
      </w:hyperlink>
      <w:r>
        <w:rPr>
          <w:rFonts w:hint="cs"/>
          <w:rtl/>
        </w:rPr>
        <w:t xml:space="preserve">, </w:t>
      </w:r>
      <w:r>
        <w:rPr>
          <w:rFonts w:hint="cs"/>
          <w:b/>
          <w:bCs/>
          <w:rtl/>
        </w:rPr>
        <w:t>מדינת ישראל נ' גמ'אל נפעא</w:t>
      </w:r>
      <w:r>
        <w:rPr>
          <w:rFonts w:hint="cs"/>
          <w:rtl/>
        </w:rPr>
        <w:t xml:space="preserve"> (04.12.2011). נטען שחלקו היחסי של הנאשם בביצוע העבירה היה מוחלט, הוזכר שלא נגרם נזק, אך מכיוון שמדובר בעבירות נשק התקיים פוטנציאל לנזק משמעותי. נטען שלא ידוע כמה זמן החזיק הנאשם את הנשק והתחמושת, או לאיזו מטרה הוא החזיק אותם, אך בשים לב לנטען </w:t>
      </w:r>
      <w:r>
        <w:rPr>
          <w:rtl/>
        </w:rPr>
        <w:t>–</w:t>
      </w:r>
      <w:r>
        <w:rPr>
          <w:rFonts w:hint="cs"/>
          <w:rtl/>
        </w:rPr>
        <w:t xml:space="preserve"> לא יכול להיות ספק באשר לאדישות הנאשם ביחס לסיכון שהוא יוצר. הוזכר גם שהנאשם הורשע בעבירה של הפרעה לשוטר, והוזכר גם שבגין עבירה זו קיים עונש מינימום של שבועיים מאסר. </w:t>
      </w:r>
    </w:p>
    <w:p w14:paraId="38107606" w14:textId="77777777" w:rsidR="00957F44" w:rsidRDefault="00957F44" w:rsidP="00957F44">
      <w:pPr>
        <w:spacing w:line="360" w:lineRule="auto"/>
        <w:jc w:val="both"/>
        <w:rPr>
          <w:rtl/>
        </w:rPr>
      </w:pPr>
    </w:p>
    <w:p w14:paraId="6A8C8657" w14:textId="77777777" w:rsidR="00957F44" w:rsidRDefault="00957F44" w:rsidP="00957F44">
      <w:pPr>
        <w:spacing w:line="360" w:lineRule="auto"/>
        <w:ind w:left="720" w:hanging="720"/>
        <w:jc w:val="both"/>
        <w:rPr>
          <w:rtl/>
        </w:rPr>
      </w:pPr>
      <w:r>
        <w:rPr>
          <w:rFonts w:hint="cs"/>
          <w:rtl/>
        </w:rPr>
        <w:t>7.</w:t>
      </w:r>
      <w:r>
        <w:rPr>
          <w:rtl/>
        </w:rPr>
        <w:tab/>
      </w:r>
      <w:r>
        <w:rPr>
          <w:rFonts w:hint="cs"/>
          <w:rtl/>
        </w:rPr>
        <w:t xml:space="preserve"> ביחס למדיניות הענישה אוזכרו המקרים הבאים:</w:t>
      </w:r>
    </w:p>
    <w:p w14:paraId="2C0AA05B" w14:textId="77777777" w:rsidR="00957F44" w:rsidRDefault="00957F44" w:rsidP="00957F44">
      <w:pPr>
        <w:spacing w:line="360" w:lineRule="auto"/>
        <w:ind w:left="720" w:hanging="720"/>
        <w:jc w:val="both"/>
        <w:rPr>
          <w:rtl/>
        </w:rPr>
      </w:pPr>
    </w:p>
    <w:p w14:paraId="2EB69A5A" w14:textId="77777777" w:rsidR="00957F44" w:rsidRDefault="00957F44" w:rsidP="00957F44">
      <w:pPr>
        <w:spacing w:line="360" w:lineRule="auto"/>
        <w:ind w:left="720"/>
        <w:jc w:val="both"/>
        <w:rPr>
          <w:rtl/>
        </w:rPr>
      </w:pPr>
      <w:r>
        <w:rPr>
          <w:rFonts w:hint="cs"/>
          <w:rtl/>
        </w:rPr>
        <w:t xml:space="preserve"> </w:t>
      </w:r>
      <w:hyperlink r:id="rId14" w:history="1">
        <w:r w:rsidR="00670BEB" w:rsidRPr="00670BEB">
          <w:rPr>
            <w:color w:val="0000FF"/>
            <w:u w:val="single"/>
            <w:rtl/>
          </w:rPr>
          <w:t>ע"פ 9702/16</w:t>
        </w:r>
      </w:hyperlink>
      <w:r>
        <w:rPr>
          <w:rFonts w:hint="cs"/>
          <w:rtl/>
        </w:rPr>
        <w:t xml:space="preserve">, </w:t>
      </w:r>
      <w:r>
        <w:rPr>
          <w:rFonts w:hint="cs"/>
          <w:b/>
          <w:bCs/>
          <w:rtl/>
        </w:rPr>
        <w:t xml:space="preserve">סמי אבו אלוליאיה נ' מדינת ישראל </w:t>
      </w:r>
      <w:r>
        <w:rPr>
          <w:rFonts w:hint="cs"/>
          <w:rtl/>
        </w:rPr>
        <w:t>(13.09.2017), שם הורשע המערער על פי הודאתו במסגרת הסדר טיעון בעבירה של נשיאה והובלת נשק ותחמושת. באותו מקרה הוא נהג ברכב והבחין בנוסע ברכב אחר שמשליך תיק לצד הדרך. הוא שב למקום אחר זמן, ונטל את התיק, וגילה בתוכו תת-מקלע מאולתר, כת מ-</w:t>
      </w:r>
      <w:r>
        <w:rPr>
          <w:rFonts w:hint="cs"/>
        </w:rPr>
        <w:t>M16</w:t>
      </w:r>
      <w:r>
        <w:rPr>
          <w:rFonts w:hint="cs"/>
          <w:rtl/>
        </w:rPr>
        <w:t xml:space="preserve">, שתי מחסניות ריקות, וקופסא עם 50 כדורים 9 מילימטר. הוא נשא את הנשק והתחמושת לחנות שברשותו, והם נותרו בחזקתו כחצי שנה. נקבע מתחם ענישה שבין 14 ל-36 חודשי מאסר בפועל, והושתו עליו 18 חודשי מאסר בפועל. הערעור על חומרת הענישה נדחה. </w:t>
      </w:r>
    </w:p>
    <w:p w14:paraId="2E4C39A0" w14:textId="77777777" w:rsidR="00957F44" w:rsidRDefault="00957F44" w:rsidP="00957F44">
      <w:pPr>
        <w:spacing w:line="360" w:lineRule="auto"/>
        <w:ind w:left="720"/>
        <w:jc w:val="both"/>
        <w:rPr>
          <w:rtl/>
        </w:rPr>
      </w:pPr>
    </w:p>
    <w:p w14:paraId="3D4B7B2D" w14:textId="77777777" w:rsidR="00957F44" w:rsidRDefault="00957F44" w:rsidP="00957F44">
      <w:pPr>
        <w:spacing w:line="360" w:lineRule="auto"/>
        <w:ind w:left="720"/>
        <w:jc w:val="both"/>
        <w:rPr>
          <w:rtl/>
        </w:rPr>
      </w:pPr>
      <w:r>
        <w:rPr>
          <w:rFonts w:hint="cs"/>
          <w:rtl/>
        </w:rPr>
        <w:t>ב</w:t>
      </w:r>
      <w:hyperlink r:id="rId15" w:history="1">
        <w:r w:rsidR="00670BEB" w:rsidRPr="00670BEB">
          <w:rPr>
            <w:color w:val="0000FF"/>
            <w:u w:val="single"/>
            <w:rtl/>
          </w:rPr>
          <w:t>ת"פ 41855-07-16</w:t>
        </w:r>
      </w:hyperlink>
      <w:r>
        <w:rPr>
          <w:rFonts w:hint="cs"/>
          <w:rtl/>
        </w:rPr>
        <w:t xml:space="preserve">, </w:t>
      </w:r>
      <w:r>
        <w:rPr>
          <w:rFonts w:hint="cs"/>
          <w:b/>
          <w:bCs/>
          <w:rtl/>
        </w:rPr>
        <w:t>מדינת ישראל נ' חמודא אבו עמאר</w:t>
      </w:r>
      <w:r>
        <w:rPr>
          <w:rFonts w:hint="cs"/>
          <w:rtl/>
        </w:rPr>
        <w:t xml:space="preserve"> (26.04.2018) הורשע הנאשם (ללא עבר פלילי) ע"פ הודאתו בהסדר טיעון בנשיאת נשק ותחמושת, ונהיגה בקלות ראש, כאשר הנאשם מצא נשק מאולתר מסוג 'קרלו' טעון במחסנית מלאה ב-10 כדורים, והוא הוביל אותו ברכבו. נקבע מתחם ענישה שבין 20 ל-48 חודשי מאסר בפועל, והושתו 20 חודשי מאסר בפועל. ערעור שהוגש על חומרת העונש טרם הוכרע. </w:t>
      </w:r>
    </w:p>
    <w:p w14:paraId="13C15534" w14:textId="77777777" w:rsidR="00957F44" w:rsidRDefault="00957F44" w:rsidP="00957F44">
      <w:pPr>
        <w:spacing w:line="360" w:lineRule="auto"/>
        <w:ind w:left="720"/>
        <w:jc w:val="both"/>
        <w:rPr>
          <w:rtl/>
        </w:rPr>
      </w:pPr>
    </w:p>
    <w:p w14:paraId="7AEE55EC" w14:textId="77777777" w:rsidR="00957F44" w:rsidRDefault="00957F44" w:rsidP="00957F44">
      <w:pPr>
        <w:spacing w:line="360" w:lineRule="auto"/>
        <w:ind w:left="720"/>
        <w:jc w:val="both"/>
        <w:rPr>
          <w:rtl/>
        </w:rPr>
      </w:pPr>
      <w:r>
        <w:rPr>
          <w:rFonts w:hint="cs"/>
          <w:rtl/>
        </w:rPr>
        <w:t>ב</w:t>
      </w:r>
      <w:hyperlink r:id="rId16" w:history="1">
        <w:r w:rsidR="00670BEB" w:rsidRPr="00670BEB">
          <w:rPr>
            <w:color w:val="0000FF"/>
            <w:u w:val="single"/>
            <w:rtl/>
          </w:rPr>
          <w:t>ת"פ 28615-08-17</w:t>
        </w:r>
      </w:hyperlink>
      <w:r>
        <w:rPr>
          <w:rFonts w:hint="cs"/>
          <w:rtl/>
        </w:rPr>
        <w:t xml:space="preserve">, </w:t>
      </w:r>
      <w:r>
        <w:rPr>
          <w:rFonts w:hint="cs"/>
          <w:b/>
          <w:bCs/>
          <w:rtl/>
        </w:rPr>
        <w:t xml:space="preserve">מדינת ישראל נ' חמדוני </w:t>
      </w:r>
      <w:r>
        <w:rPr>
          <w:rFonts w:hint="cs"/>
          <w:rtl/>
        </w:rPr>
        <w:t xml:space="preserve">(23.04.2018), נאשם הורשע ע"פ הודאתו במסגרת הסדר טיעון בעבירות של אחזקה, נשיאה והובלת נשק והפרעה לשוטר במילוי תפקידו, כאשר הוא החזיק תת-מקלע מאולתר, מחסנית מתאימה עם 9 כדורים, קופסא עם 50 כדורים, וכן רימון הלם. כאשר הבחין בשוטרים הוא ניסה להימלט, והשליך את האמל"ח והסתתר מהשוטרים. לאותו נאשם היו 3 הרשעות קודמות. נקבע מתחם ענישה שנע בין 16 עד 40 חודשי מאסר בפועל, והוטלו 22 חודשי מאסר בפועל. </w:t>
      </w:r>
    </w:p>
    <w:p w14:paraId="24633B1E" w14:textId="77777777" w:rsidR="00957F44" w:rsidRDefault="00957F44" w:rsidP="00957F44">
      <w:pPr>
        <w:spacing w:line="360" w:lineRule="auto"/>
        <w:ind w:left="720"/>
        <w:jc w:val="both"/>
        <w:rPr>
          <w:rtl/>
        </w:rPr>
      </w:pPr>
    </w:p>
    <w:p w14:paraId="0DDFB575" w14:textId="77777777" w:rsidR="00957F44" w:rsidRDefault="00957F44" w:rsidP="00957F44">
      <w:pPr>
        <w:spacing w:line="360" w:lineRule="auto"/>
        <w:ind w:left="720"/>
        <w:jc w:val="both"/>
        <w:rPr>
          <w:rtl/>
        </w:rPr>
      </w:pPr>
    </w:p>
    <w:p w14:paraId="5A410EE3" w14:textId="77777777" w:rsidR="00957F44" w:rsidRDefault="00957F44" w:rsidP="00957F44">
      <w:pPr>
        <w:spacing w:line="360" w:lineRule="auto"/>
        <w:ind w:left="720"/>
        <w:jc w:val="both"/>
        <w:rPr>
          <w:rtl/>
        </w:rPr>
      </w:pPr>
      <w:r>
        <w:rPr>
          <w:rFonts w:hint="cs"/>
          <w:rtl/>
        </w:rPr>
        <w:t>ב</w:t>
      </w:r>
      <w:hyperlink r:id="rId17" w:history="1">
        <w:r w:rsidR="00670BEB" w:rsidRPr="00670BEB">
          <w:rPr>
            <w:color w:val="0000FF"/>
            <w:u w:val="single"/>
            <w:rtl/>
          </w:rPr>
          <w:t>ת"פ 31034-06-17</w:t>
        </w:r>
      </w:hyperlink>
      <w:r>
        <w:rPr>
          <w:rFonts w:hint="cs"/>
          <w:rtl/>
        </w:rPr>
        <w:t xml:space="preserve"> </w:t>
      </w:r>
      <w:r>
        <w:rPr>
          <w:rFonts w:hint="cs"/>
          <w:b/>
          <w:bCs/>
          <w:rtl/>
        </w:rPr>
        <w:t xml:space="preserve">מדינת ישראל נ' סעיד מסרי </w:t>
      </w:r>
      <w:r>
        <w:rPr>
          <w:rFonts w:hint="cs"/>
          <w:rtl/>
        </w:rPr>
        <w:t xml:space="preserve">(17.04.2018) הורשע נאשם ע"פ הודאתו בנשיאת נשק, כאשר הוא נשא תת-מקלע מאולתר טעון במחסנית עם כדור אחד, והחזיק את הנשק בתוך תיק שנשא על גבו, כשהוא צועד באזור מגורים בבענה. הוא היה נעדר עבר פלילי. נקבע מתחם ענישה שבין 14 ל-36 חודשי מאסר בפועל. הושתו 18 חודשי מאסר בפועל. הערעור על חומרת העונש טרם הוכרע. </w:t>
      </w:r>
    </w:p>
    <w:p w14:paraId="0CE4FBF3" w14:textId="77777777" w:rsidR="00957F44" w:rsidRDefault="00957F44" w:rsidP="00957F44">
      <w:pPr>
        <w:spacing w:line="360" w:lineRule="auto"/>
        <w:ind w:left="720"/>
        <w:jc w:val="both"/>
        <w:rPr>
          <w:rtl/>
        </w:rPr>
      </w:pPr>
    </w:p>
    <w:p w14:paraId="47A258D1" w14:textId="77777777" w:rsidR="00957F44" w:rsidRDefault="00957F44" w:rsidP="00957F44">
      <w:pPr>
        <w:spacing w:line="360" w:lineRule="auto"/>
        <w:ind w:left="720"/>
        <w:jc w:val="both"/>
        <w:rPr>
          <w:rtl/>
        </w:rPr>
      </w:pPr>
      <w:r>
        <w:rPr>
          <w:rFonts w:hint="cs"/>
          <w:rtl/>
        </w:rPr>
        <w:t xml:space="preserve">הוזכרה פסיקה בקשר לעבירה של הפרעה לשוטר, ונטען שמדיניות הענישה באותם מקרים נעה בין מאסר על תנאי ועד לעבודות שירות. </w:t>
      </w:r>
    </w:p>
    <w:p w14:paraId="3A3624F7" w14:textId="77777777" w:rsidR="00957F44" w:rsidRDefault="00957F44" w:rsidP="00957F44">
      <w:pPr>
        <w:spacing w:line="360" w:lineRule="auto"/>
        <w:jc w:val="both"/>
        <w:rPr>
          <w:rtl/>
        </w:rPr>
      </w:pPr>
    </w:p>
    <w:p w14:paraId="4A34E5CE" w14:textId="77777777" w:rsidR="00957F44" w:rsidRDefault="00957F44" w:rsidP="00957F44">
      <w:pPr>
        <w:spacing w:line="360" w:lineRule="auto"/>
        <w:ind w:left="720" w:hanging="720"/>
        <w:jc w:val="both"/>
        <w:rPr>
          <w:rtl/>
        </w:rPr>
      </w:pPr>
      <w:r>
        <w:rPr>
          <w:rFonts w:hint="cs"/>
          <w:rtl/>
        </w:rPr>
        <w:t xml:space="preserve">8. </w:t>
      </w:r>
      <w:r>
        <w:rPr>
          <w:rtl/>
        </w:rPr>
        <w:tab/>
      </w:r>
      <w:r>
        <w:rPr>
          <w:rFonts w:hint="cs"/>
          <w:rtl/>
        </w:rPr>
        <w:t xml:space="preserve">במקרה דנן הוזכר שהנאשם הודה בהזדמנות הראשונה בכתב האישום המתוקן וחסך זמן שיפוטי, ומצד שני, הבין היטב את מעשיו ואת הפסול בהם. נטען שאין מקום לסטות ממתחם הענישה בשל שיקולי שיקום, כאשר הנאשם לא הצביע על תהליך שיקום או סיכוי לתהליך כאמור. בסיכומו של דבר, טענה המדינה שמתחם הענישה ההולם נע בין 3.5 ועד 5.5 שנות מאסר בפועל. נטען שיש להטיל עונש ברף התחתון של המתחם, לאור גילו של הנאשם והיעדר עבר פלילי. כמו כן, התבקש הטלת מאסר מותנה ארוך וקנס כספי. </w:t>
      </w:r>
    </w:p>
    <w:p w14:paraId="6A60F403" w14:textId="77777777" w:rsidR="00957F44" w:rsidRDefault="00957F44" w:rsidP="00957F44">
      <w:pPr>
        <w:spacing w:line="360" w:lineRule="auto"/>
        <w:jc w:val="both"/>
        <w:rPr>
          <w:rtl/>
        </w:rPr>
      </w:pPr>
    </w:p>
    <w:p w14:paraId="247E11AD" w14:textId="77777777" w:rsidR="00957F44" w:rsidRPr="00827483" w:rsidRDefault="00957F44" w:rsidP="00957F44">
      <w:pPr>
        <w:spacing w:line="360" w:lineRule="auto"/>
        <w:jc w:val="both"/>
        <w:rPr>
          <w:b/>
          <w:bCs/>
          <w:u w:val="single"/>
          <w:rtl/>
        </w:rPr>
      </w:pPr>
      <w:r w:rsidRPr="00827483">
        <w:rPr>
          <w:rFonts w:hint="cs"/>
          <w:b/>
          <w:bCs/>
          <w:u w:val="single"/>
          <w:rtl/>
        </w:rPr>
        <w:t>טיעוני הנאשם</w:t>
      </w:r>
      <w:r>
        <w:rPr>
          <w:rFonts w:hint="cs"/>
          <w:b/>
          <w:bCs/>
          <w:u w:val="single"/>
          <w:rtl/>
        </w:rPr>
        <w:t xml:space="preserve"> לעניין העונש</w:t>
      </w:r>
    </w:p>
    <w:p w14:paraId="1378D39F" w14:textId="77777777" w:rsidR="00957F44" w:rsidRDefault="00957F44" w:rsidP="00957F44">
      <w:pPr>
        <w:spacing w:line="360" w:lineRule="auto"/>
        <w:jc w:val="both"/>
        <w:rPr>
          <w:rtl/>
        </w:rPr>
      </w:pPr>
    </w:p>
    <w:p w14:paraId="1D5B2FF7" w14:textId="77777777" w:rsidR="00957F44" w:rsidRDefault="00957F44" w:rsidP="00957F44">
      <w:pPr>
        <w:spacing w:line="360" w:lineRule="auto"/>
        <w:ind w:left="720" w:hanging="720"/>
        <w:jc w:val="both"/>
        <w:rPr>
          <w:rtl/>
        </w:rPr>
      </w:pPr>
      <w:r>
        <w:rPr>
          <w:rFonts w:hint="cs"/>
          <w:rtl/>
        </w:rPr>
        <w:t xml:space="preserve">9. </w:t>
      </w:r>
      <w:r>
        <w:rPr>
          <w:rtl/>
        </w:rPr>
        <w:tab/>
      </w:r>
      <w:r>
        <w:rPr>
          <w:rFonts w:hint="cs"/>
          <w:rtl/>
        </w:rPr>
        <w:t xml:space="preserve">יוער שמטעם הנאשם העידו שלושה עדי אופי: ראש המועצה, אדם שמפקח עליו כעת, ומעבידו, כאשר כולם העידו שמדובר באדם צעיר, חיובי, שהעבירה אינה מתאימה להתנהלותו הרגילה. ב"כ הנאשם הזכיר שמדובר באדם צעיר, נעדר עבר פלילי, שלקח אחריות והודה, והביע חרטה עוד בחקירתו במשטרה (הוגשו בהסכמה החקירות מיום 05.05.2018, ו-10.05.2018). כמו כן, הוזכר שגיל צעיר מהווה רכיב רלוונטי שיש להתחשב בו בקביעת מתחם הענישה. נטען עוד שמדובר בנשק מאולתר, ולא נשק תקני, ונטען שהוא מהווה סיכון פחות חמור. הוזכר עוד שאין מדובר ברימון רגיל, אלא רימון לפיזור הפגנות. נטען כי לא הועלתה טענה שהמחסנית מתאימה לנשק. נטען שלסוג הנשק ומידת מסוכנותו רלוונטיות באשר לענישה (ע"פ </w:t>
      </w:r>
      <w:hyperlink r:id="rId18" w:history="1">
        <w:r w:rsidR="00F27DFB" w:rsidRPr="00F27DFB">
          <w:rPr>
            <w:color w:val="0000FF"/>
            <w:u w:val="single"/>
            <w:rtl/>
          </w:rPr>
          <w:t xml:space="preserve">1332/04 </w:t>
        </w:r>
      </w:hyperlink>
      <w:r>
        <w:rPr>
          <w:rFonts w:hint="cs"/>
          <w:rtl/>
        </w:rPr>
        <w:t xml:space="preserve"> </w:t>
      </w:r>
      <w:r>
        <w:rPr>
          <w:rFonts w:hint="cs"/>
          <w:b/>
          <w:bCs/>
          <w:rtl/>
        </w:rPr>
        <w:t>פז נ' מדינת ישראל</w:t>
      </w:r>
      <w:r>
        <w:rPr>
          <w:rFonts w:hint="cs"/>
          <w:rtl/>
        </w:rPr>
        <w:t xml:space="preserve">). נטענו טענות ביחס לעבירה של הפרעה לשוטר במילוי תפקידו, ואולם, מכיוון שהטענות חרגו מהעובדות בהן הודה הנאשם, אין מקום להתחשב בהן. </w:t>
      </w:r>
    </w:p>
    <w:p w14:paraId="4E4BC8DB" w14:textId="77777777" w:rsidR="00957F44" w:rsidRDefault="00957F44" w:rsidP="00957F44">
      <w:pPr>
        <w:spacing w:line="360" w:lineRule="auto"/>
        <w:jc w:val="both"/>
        <w:rPr>
          <w:rtl/>
        </w:rPr>
      </w:pPr>
    </w:p>
    <w:p w14:paraId="4C656741" w14:textId="77777777" w:rsidR="00957F44" w:rsidRDefault="00957F44" w:rsidP="00957F44">
      <w:pPr>
        <w:spacing w:line="360" w:lineRule="auto"/>
        <w:ind w:left="720" w:hanging="720"/>
        <w:jc w:val="both"/>
        <w:rPr>
          <w:rtl/>
        </w:rPr>
      </w:pPr>
      <w:r>
        <w:rPr>
          <w:rFonts w:hint="cs"/>
          <w:rtl/>
        </w:rPr>
        <w:t xml:space="preserve">10. </w:t>
      </w:r>
      <w:r>
        <w:rPr>
          <w:rtl/>
        </w:rPr>
        <w:tab/>
      </w:r>
      <w:r>
        <w:rPr>
          <w:rFonts w:hint="cs"/>
          <w:rtl/>
        </w:rPr>
        <w:t xml:space="preserve">הסנגור אזכר את הפסיקה הבאה: </w:t>
      </w:r>
    </w:p>
    <w:p w14:paraId="6936FF74" w14:textId="77777777" w:rsidR="00957F44" w:rsidRDefault="00957F44" w:rsidP="00957F44">
      <w:pPr>
        <w:spacing w:line="360" w:lineRule="auto"/>
        <w:ind w:left="720" w:hanging="720"/>
        <w:jc w:val="both"/>
        <w:rPr>
          <w:rtl/>
        </w:rPr>
      </w:pPr>
    </w:p>
    <w:p w14:paraId="7DF2F2FB" w14:textId="77777777" w:rsidR="00957F44" w:rsidRDefault="00957F44" w:rsidP="00957F44">
      <w:pPr>
        <w:spacing w:line="360" w:lineRule="auto"/>
        <w:ind w:left="720"/>
        <w:jc w:val="both"/>
        <w:rPr>
          <w:rtl/>
        </w:rPr>
      </w:pPr>
      <w:r>
        <w:rPr>
          <w:rFonts w:hint="cs"/>
          <w:rtl/>
        </w:rPr>
        <w:t xml:space="preserve">ע"פ 1505-14-14 </w:t>
      </w:r>
      <w:r>
        <w:rPr>
          <w:rFonts w:hint="cs"/>
          <w:b/>
          <w:bCs/>
          <w:rtl/>
        </w:rPr>
        <w:t xml:space="preserve">לידאוי נ' מדינת ישראל </w:t>
      </w:r>
      <w:r>
        <w:rPr>
          <w:rFonts w:hint="cs"/>
          <w:rtl/>
        </w:rPr>
        <w:t>(04.11.2014), שם הורשע נאשם באחזקת נשק והוטלו עליו עבודות שירות.</w:t>
      </w:r>
    </w:p>
    <w:p w14:paraId="6C609253" w14:textId="77777777" w:rsidR="00957F44" w:rsidRDefault="00957F44" w:rsidP="00957F44">
      <w:pPr>
        <w:spacing w:line="360" w:lineRule="auto"/>
        <w:ind w:left="720"/>
        <w:jc w:val="both"/>
        <w:rPr>
          <w:rtl/>
        </w:rPr>
      </w:pPr>
    </w:p>
    <w:p w14:paraId="4FDA5FD4" w14:textId="77777777" w:rsidR="00957F44" w:rsidRDefault="00957F44" w:rsidP="00957F44">
      <w:pPr>
        <w:spacing w:line="360" w:lineRule="auto"/>
        <w:ind w:left="720"/>
        <w:jc w:val="both"/>
        <w:rPr>
          <w:rtl/>
        </w:rPr>
      </w:pPr>
      <w:r>
        <w:rPr>
          <w:rFonts w:hint="cs"/>
          <w:rtl/>
        </w:rPr>
        <w:t xml:space="preserve"> </w:t>
      </w:r>
      <w:hyperlink r:id="rId19" w:history="1">
        <w:r w:rsidR="00670BEB" w:rsidRPr="00670BEB">
          <w:rPr>
            <w:color w:val="0000FF"/>
            <w:u w:val="single"/>
            <w:rtl/>
          </w:rPr>
          <w:t>ע"פ 7139/12</w:t>
        </w:r>
      </w:hyperlink>
      <w:r>
        <w:rPr>
          <w:rFonts w:hint="cs"/>
          <w:rtl/>
        </w:rPr>
        <w:t xml:space="preserve"> </w:t>
      </w:r>
      <w:r>
        <w:rPr>
          <w:rFonts w:hint="cs"/>
          <w:b/>
          <w:bCs/>
          <w:rtl/>
        </w:rPr>
        <w:t xml:space="preserve">ליאור נ' מדינת ישראל </w:t>
      </w:r>
      <w:r>
        <w:rPr>
          <w:rFonts w:hint="cs"/>
          <w:rtl/>
        </w:rPr>
        <w:t xml:space="preserve">(07.03.2013), שם ביהמ"ש הקל בעונשו של המערער שהורשע בשתי עבירות של אחזקת נשק, והעמידו על שישה חודשי מאסר וריצוי בעבודות שירות; </w:t>
      </w:r>
      <w:hyperlink r:id="rId20" w:history="1">
        <w:r w:rsidR="00670BEB" w:rsidRPr="00670BEB">
          <w:rPr>
            <w:color w:val="0000FF"/>
            <w:u w:val="single"/>
            <w:rtl/>
          </w:rPr>
          <w:t>ע"פ 4945/13</w:t>
        </w:r>
      </w:hyperlink>
      <w:r>
        <w:rPr>
          <w:rFonts w:hint="cs"/>
          <w:rtl/>
        </w:rPr>
        <w:t xml:space="preserve"> לעיל, שם בגין הרשעה לאחר שמיעת ראיות בעבירות של אחזקת נשק, רכישה ואחזקת תחמושת, נשיאה והובלת נשק ותחמושת, הפרעה לשוטר במילוי תפקידו, מעשה פזיזות ורשלנות, והסתייעות ברכב בביצוע פשע, הוטלו על הנאשם שישה חודשי מאסר בריצוי בעבודות שירות, וערעור המדינה על קולת העונש נדחה.</w:t>
      </w:r>
    </w:p>
    <w:p w14:paraId="079B3497" w14:textId="77777777" w:rsidR="00957F44" w:rsidRDefault="00957F44" w:rsidP="00957F44">
      <w:pPr>
        <w:spacing w:line="360" w:lineRule="auto"/>
        <w:ind w:left="720"/>
        <w:jc w:val="both"/>
        <w:rPr>
          <w:rtl/>
        </w:rPr>
      </w:pPr>
    </w:p>
    <w:p w14:paraId="683D3FE6" w14:textId="77777777" w:rsidR="00957F44" w:rsidRDefault="00957F44" w:rsidP="00957F44">
      <w:pPr>
        <w:spacing w:line="360" w:lineRule="auto"/>
        <w:ind w:left="720"/>
        <w:jc w:val="both"/>
        <w:rPr>
          <w:rtl/>
        </w:rPr>
      </w:pPr>
      <w:r>
        <w:rPr>
          <w:rFonts w:hint="cs"/>
          <w:rtl/>
        </w:rPr>
        <w:t>אוזכרו מקרים נוספים, בהם הוטלו עבודות שירות, או אף צווי מבחן בלבד (</w:t>
      </w:r>
      <w:hyperlink r:id="rId21" w:history="1">
        <w:r w:rsidR="00670BEB" w:rsidRPr="00670BEB">
          <w:rPr>
            <w:color w:val="0000FF"/>
            <w:u w:val="single"/>
            <w:rtl/>
          </w:rPr>
          <w:t>ע"פ 1462/12</w:t>
        </w:r>
      </w:hyperlink>
      <w:r>
        <w:rPr>
          <w:rFonts w:hint="cs"/>
          <w:rtl/>
        </w:rPr>
        <w:t xml:space="preserve"> </w:t>
      </w:r>
      <w:r>
        <w:rPr>
          <w:rFonts w:hint="cs"/>
          <w:b/>
          <w:bCs/>
          <w:rtl/>
        </w:rPr>
        <w:t xml:space="preserve">שוקרון נ' מדינת ישראל; </w:t>
      </w:r>
      <w:r>
        <w:rPr>
          <w:rFonts w:hint="cs"/>
          <w:rtl/>
        </w:rPr>
        <w:t xml:space="preserve">ע"פ 105/14 </w:t>
      </w:r>
      <w:r>
        <w:rPr>
          <w:rFonts w:hint="cs"/>
          <w:b/>
          <w:bCs/>
          <w:rtl/>
        </w:rPr>
        <w:t>דידר נ' מדינת ישראל</w:t>
      </w:r>
      <w:r>
        <w:rPr>
          <w:rFonts w:hint="cs"/>
          <w:rtl/>
        </w:rPr>
        <w:t xml:space="preserve">; </w:t>
      </w:r>
      <w:hyperlink r:id="rId22" w:history="1">
        <w:r w:rsidR="00670BEB" w:rsidRPr="00670BEB">
          <w:rPr>
            <w:color w:val="0000FF"/>
            <w:u w:val="single"/>
            <w:rtl/>
          </w:rPr>
          <w:t>ת"פ 54432-02-17</w:t>
        </w:r>
      </w:hyperlink>
      <w:r>
        <w:rPr>
          <w:rFonts w:hint="cs"/>
          <w:rtl/>
        </w:rPr>
        <w:t xml:space="preserve"> </w:t>
      </w:r>
      <w:r>
        <w:rPr>
          <w:rFonts w:hint="cs"/>
          <w:b/>
          <w:bCs/>
          <w:rtl/>
        </w:rPr>
        <w:t>מדינת ישראל נ' חוסאם</w:t>
      </w:r>
      <w:r>
        <w:rPr>
          <w:rFonts w:hint="cs"/>
          <w:rtl/>
        </w:rPr>
        <w:t xml:space="preserve">). </w:t>
      </w:r>
    </w:p>
    <w:p w14:paraId="10C9397E" w14:textId="77777777" w:rsidR="00957F44" w:rsidRDefault="00957F44" w:rsidP="00957F44">
      <w:pPr>
        <w:spacing w:line="360" w:lineRule="auto"/>
        <w:jc w:val="both"/>
        <w:rPr>
          <w:rtl/>
        </w:rPr>
      </w:pPr>
    </w:p>
    <w:p w14:paraId="12AF4F92" w14:textId="77777777" w:rsidR="00957F44" w:rsidRDefault="00957F44" w:rsidP="00957F44">
      <w:pPr>
        <w:spacing w:line="360" w:lineRule="auto"/>
        <w:ind w:left="720" w:hanging="720"/>
        <w:jc w:val="both"/>
        <w:rPr>
          <w:rtl/>
        </w:rPr>
      </w:pPr>
      <w:r>
        <w:rPr>
          <w:rFonts w:hint="cs"/>
          <w:rtl/>
        </w:rPr>
        <w:t xml:space="preserve">11. </w:t>
      </w:r>
      <w:r>
        <w:rPr>
          <w:rtl/>
        </w:rPr>
        <w:tab/>
      </w:r>
      <w:r>
        <w:rPr>
          <w:rFonts w:hint="cs"/>
          <w:rtl/>
        </w:rPr>
        <w:t xml:space="preserve">נטען שהנאשם ניהל חיים נורמטיביים, ושהמדינה לא פירטה את המטרה שלשמה הוא נשא את הנשק, והדבר פועל לטובתו. כמו כן צוין שהאירוע היווה עבור הנאשם אירוע טראומתי שקטע את המהלך הרגיל של חייו. </w:t>
      </w:r>
    </w:p>
    <w:p w14:paraId="6A8C61BD" w14:textId="77777777" w:rsidR="00957F44" w:rsidRDefault="00957F44" w:rsidP="00957F44">
      <w:pPr>
        <w:spacing w:line="360" w:lineRule="auto"/>
        <w:jc w:val="both"/>
        <w:rPr>
          <w:rtl/>
        </w:rPr>
      </w:pPr>
    </w:p>
    <w:p w14:paraId="268E775D" w14:textId="77777777" w:rsidR="00957F44" w:rsidRDefault="00957F44" w:rsidP="00957F44">
      <w:pPr>
        <w:spacing w:line="360" w:lineRule="auto"/>
        <w:ind w:left="720" w:hanging="720"/>
        <w:jc w:val="both"/>
        <w:rPr>
          <w:rtl/>
        </w:rPr>
      </w:pPr>
      <w:r>
        <w:rPr>
          <w:rFonts w:hint="cs"/>
          <w:rtl/>
        </w:rPr>
        <w:t xml:space="preserve">12. </w:t>
      </w:r>
      <w:r>
        <w:rPr>
          <w:rtl/>
        </w:rPr>
        <w:tab/>
      </w:r>
      <w:r>
        <w:rPr>
          <w:rFonts w:hint="cs"/>
          <w:rtl/>
        </w:rPr>
        <w:t>כמו כן נטען שהנאשם הוא בעל פוטנציאל שיקום, והוא ללא עבר פלילי. הנאשם עצמו ביקש סליחה והביע צער על הסתבכותו, ורצון להמשיך במסלול חייו הקודם.</w:t>
      </w:r>
    </w:p>
    <w:p w14:paraId="4285ED3F" w14:textId="77777777" w:rsidR="00957F44" w:rsidRDefault="00957F44" w:rsidP="00957F44">
      <w:pPr>
        <w:spacing w:line="360" w:lineRule="auto"/>
        <w:jc w:val="both"/>
        <w:rPr>
          <w:rtl/>
        </w:rPr>
      </w:pPr>
    </w:p>
    <w:p w14:paraId="26EB6826" w14:textId="77777777" w:rsidR="00957F44" w:rsidRPr="001E3552" w:rsidRDefault="00957F44" w:rsidP="00957F44">
      <w:pPr>
        <w:spacing w:line="360" w:lineRule="auto"/>
        <w:jc w:val="both"/>
        <w:rPr>
          <w:b/>
          <w:bCs/>
          <w:u w:val="single"/>
          <w:rtl/>
        </w:rPr>
      </w:pPr>
      <w:r w:rsidRPr="001E3552">
        <w:rPr>
          <w:rFonts w:hint="cs"/>
          <w:b/>
          <w:bCs/>
          <w:u w:val="single"/>
          <w:rtl/>
        </w:rPr>
        <w:t>דיון</w:t>
      </w:r>
    </w:p>
    <w:p w14:paraId="3007409D" w14:textId="77777777" w:rsidR="00957F44" w:rsidRDefault="00957F44" w:rsidP="00957F44">
      <w:pPr>
        <w:spacing w:line="360" w:lineRule="auto"/>
        <w:jc w:val="both"/>
        <w:rPr>
          <w:rtl/>
        </w:rPr>
      </w:pPr>
    </w:p>
    <w:p w14:paraId="21469377" w14:textId="77777777" w:rsidR="00957F44" w:rsidRDefault="00957F44" w:rsidP="00957F44">
      <w:pPr>
        <w:spacing w:line="360" w:lineRule="auto"/>
        <w:ind w:left="720" w:hanging="720"/>
        <w:jc w:val="both"/>
        <w:rPr>
          <w:rtl/>
        </w:rPr>
      </w:pPr>
      <w:r>
        <w:rPr>
          <w:rFonts w:hint="cs"/>
          <w:rtl/>
        </w:rPr>
        <w:t xml:space="preserve">13. </w:t>
      </w:r>
      <w:r>
        <w:rPr>
          <w:rtl/>
        </w:rPr>
        <w:tab/>
      </w:r>
      <w:r>
        <w:rPr>
          <w:rFonts w:hint="cs"/>
          <w:rtl/>
        </w:rPr>
        <w:t>במקרה דנן נפגעו הערכים המוגנים של שמירה על ביטחון הציבור, וכמו כן שמירה על שלום הציבור (העבירה השנייה). היות שמדובר בעבירות נשק, מידת הפגיעה בערכים המוגנים הייתה לכל הפחות בינונית. מתוך פרטי כתב האישום לא ברור אם התקיים תכנון מוקדם, על אף שפיזור הממצאים בתוך הרכב מעלה תהייה.</w:t>
      </w:r>
    </w:p>
    <w:p w14:paraId="2B93FA33" w14:textId="77777777" w:rsidR="00957F44" w:rsidRDefault="00957F44" w:rsidP="00957F44">
      <w:pPr>
        <w:spacing w:line="360" w:lineRule="auto"/>
        <w:ind w:left="720" w:hanging="720"/>
        <w:jc w:val="both"/>
        <w:rPr>
          <w:rtl/>
        </w:rPr>
      </w:pPr>
    </w:p>
    <w:p w14:paraId="66F23251" w14:textId="77777777" w:rsidR="00957F44" w:rsidRDefault="00957F44" w:rsidP="00957F44">
      <w:pPr>
        <w:spacing w:line="360" w:lineRule="auto"/>
        <w:ind w:left="720"/>
        <w:jc w:val="both"/>
        <w:rPr>
          <w:rtl/>
        </w:rPr>
      </w:pPr>
      <w:r>
        <w:rPr>
          <w:rFonts w:hint="cs"/>
          <w:rtl/>
        </w:rPr>
        <w:t xml:space="preserve">חלקו היחסי של הנאשם היה מוחלט, ומובן כי אחזקה והובלת נשק באופן לא חוקי טומנת בחובה פוטנציאל נזק משמעותי. הנאשם היה צריך לדעת את הפסול במעשיו. כמו כן, כפי שציין שירות המבחן, רב הנסתר על הגלוי בכל הקשור לשאלה כיצד הגיע הנשק לידיו של הנאשם, ובאיזו נסיבות. מכל האמור הגעתי למסקנה שמתחם הענישה ההולם נמצא בין 16 עד 48 חודשי מאסר בפועל. </w:t>
      </w:r>
    </w:p>
    <w:p w14:paraId="74814BAD" w14:textId="77777777" w:rsidR="00957F44" w:rsidRDefault="00957F44" w:rsidP="00957F44">
      <w:pPr>
        <w:spacing w:line="360" w:lineRule="auto"/>
        <w:jc w:val="both"/>
        <w:rPr>
          <w:rtl/>
        </w:rPr>
      </w:pPr>
    </w:p>
    <w:p w14:paraId="1F412E86" w14:textId="77777777" w:rsidR="00957F44" w:rsidRDefault="00957F44" w:rsidP="00957F44">
      <w:pPr>
        <w:spacing w:line="360" w:lineRule="auto"/>
        <w:ind w:left="720" w:hanging="720"/>
        <w:jc w:val="both"/>
        <w:rPr>
          <w:rtl/>
        </w:rPr>
      </w:pPr>
      <w:r>
        <w:rPr>
          <w:rFonts w:hint="cs"/>
          <w:rtl/>
        </w:rPr>
        <w:t xml:space="preserve">14. </w:t>
      </w:r>
      <w:r>
        <w:rPr>
          <w:rtl/>
        </w:rPr>
        <w:tab/>
      </w:r>
      <w:r>
        <w:rPr>
          <w:rFonts w:hint="cs"/>
          <w:rtl/>
        </w:rPr>
        <w:t xml:space="preserve">הנאשם הוא אדם צעיר יחסית, ללא עבר פלילי, שעל פי כל הסממנים ניהל אורח חיים נורמטיבי טרם ביצוע העבירות. כמו כן, אין ספק שמעצרו ותוצאותיו היוו עבורו קושי. יחד עם זאת, יצוין שלא ניתנה שום המלצה שיקומית. </w:t>
      </w:r>
    </w:p>
    <w:p w14:paraId="22A29C21" w14:textId="77777777" w:rsidR="00957F44" w:rsidRDefault="00957F44" w:rsidP="00957F44">
      <w:pPr>
        <w:spacing w:line="360" w:lineRule="auto"/>
        <w:ind w:left="720" w:hanging="720"/>
        <w:jc w:val="both"/>
        <w:rPr>
          <w:rtl/>
        </w:rPr>
      </w:pPr>
    </w:p>
    <w:p w14:paraId="534C6279" w14:textId="77777777" w:rsidR="00957F44" w:rsidRPr="006054B2" w:rsidRDefault="00957F44" w:rsidP="00957F44">
      <w:pPr>
        <w:spacing w:line="360" w:lineRule="auto"/>
        <w:ind w:left="720" w:hanging="720"/>
        <w:jc w:val="both"/>
        <w:rPr>
          <w:b/>
          <w:bCs/>
          <w:u w:val="single"/>
          <w:rtl/>
        </w:rPr>
      </w:pPr>
      <w:r w:rsidRPr="006054B2">
        <w:rPr>
          <w:rFonts w:hint="cs"/>
          <w:b/>
          <w:bCs/>
          <w:u w:val="single"/>
          <w:rtl/>
        </w:rPr>
        <w:t>מכל האמור לעיל הגעתי למסקנה שיש להטיל על הנאשם עונשים כדלקמן:</w:t>
      </w:r>
    </w:p>
    <w:p w14:paraId="346A968C" w14:textId="77777777" w:rsidR="00957F44" w:rsidRDefault="00957F44" w:rsidP="00957F44">
      <w:pPr>
        <w:spacing w:line="360" w:lineRule="auto"/>
        <w:ind w:left="720" w:hanging="720"/>
        <w:jc w:val="both"/>
        <w:rPr>
          <w:rtl/>
        </w:rPr>
      </w:pPr>
    </w:p>
    <w:p w14:paraId="781E437C" w14:textId="77777777" w:rsidR="00957F44" w:rsidRDefault="00957F44" w:rsidP="00957F44">
      <w:pPr>
        <w:spacing w:line="360" w:lineRule="auto"/>
        <w:ind w:left="720" w:hanging="720"/>
        <w:jc w:val="both"/>
        <w:rPr>
          <w:rtl/>
        </w:rPr>
      </w:pPr>
      <w:r>
        <w:rPr>
          <w:rFonts w:hint="cs"/>
          <w:rtl/>
        </w:rPr>
        <w:t>א.</w:t>
      </w:r>
      <w:r>
        <w:rPr>
          <w:rFonts w:hint="cs"/>
          <w:rtl/>
        </w:rPr>
        <w:tab/>
        <w:t xml:space="preserve">18 חודשי מאסר בפועל כאשר תנוכה תקופת מעצרו כאמור לעיל. תחילת המאסר יהיה מיום 16.9.2018 שביום זה על הנאשם להתייצב לתחילת ריצוי עונשו. </w:t>
      </w:r>
    </w:p>
    <w:p w14:paraId="3C0FE8F4" w14:textId="77777777" w:rsidR="00957F44" w:rsidRPr="00570C2F" w:rsidRDefault="00957F44" w:rsidP="00957F44">
      <w:pPr>
        <w:spacing w:line="360" w:lineRule="auto"/>
        <w:ind w:left="720" w:hanging="720"/>
        <w:jc w:val="both"/>
        <w:rPr>
          <w:b/>
          <w:bCs/>
          <w:u w:val="single"/>
          <w:rtl/>
        </w:rPr>
      </w:pPr>
      <w:r>
        <w:rPr>
          <w:rtl/>
        </w:rPr>
        <w:tab/>
      </w:r>
      <w:r w:rsidRPr="00570C2F">
        <w:rPr>
          <w:rFonts w:hint="cs"/>
          <w:b/>
          <w:bCs/>
          <w:u w:val="single"/>
          <w:rtl/>
        </w:rPr>
        <w:t xml:space="preserve">התנאים המגבילים ימשיכו לחול. </w:t>
      </w:r>
    </w:p>
    <w:p w14:paraId="4968AAB0" w14:textId="77777777" w:rsidR="00957F44" w:rsidRDefault="00957F44" w:rsidP="00957F44">
      <w:pPr>
        <w:spacing w:line="360" w:lineRule="auto"/>
        <w:jc w:val="both"/>
        <w:rPr>
          <w:rtl/>
        </w:rPr>
      </w:pPr>
    </w:p>
    <w:p w14:paraId="4F68F7CE" w14:textId="77777777" w:rsidR="00957F44" w:rsidRDefault="00957F44" w:rsidP="00957F44">
      <w:pPr>
        <w:spacing w:line="360" w:lineRule="auto"/>
        <w:ind w:left="720" w:hanging="720"/>
        <w:jc w:val="both"/>
        <w:rPr>
          <w:rtl/>
        </w:rPr>
      </w:pPr>
      <w:r>
        <w:rPr>
          <w:rFonts w:hint="cs"/>
          <w:rtl/>
        </w:rPr>
        <w:t>ב.</w:t>
      </w:r>
      <w:r>
        <w:rPr>
          <w:rFonts w:hint="cs"/>
          <w:rtl/>
        </w:rPr>
        <w:tab/>
        <w:t xml:space="preserve">9 חודשי מאסר על תנאי, כאשר התנאי חל למשך שלוש שנים מיום שחרורו, והתנאי יופעל במידה והנאשם יעבור על עבירות נשק מסוג פשע. </w:t>
      </w:r>
    </w:p>
    <w:p w14:paraId="08F779D3" w14:textId="77777777" w:rsidR="00957F44" w:rsidRDefault="00957F44" w:rsidP="00957F44">
      <w:pPr>
        <w:spacing w:line="360" w:lineRule="auto"/>
        <w:ind w:left="720" w:hanging="720"/>
        <w:jc w:val="both"/>
        <w:rPr>
          <w:rtl/>
        </w:rPr>
      </w:pPr>
    </w:p>
    <w:p w14:paraId="19093AEB" w14:textId="77777777" w:rsidR="00957F44" w:rsidRDefault="00957F44" w:rsidP="00957F44">
      <w:pPr>
        <w:spacing w:line="360" w:lineRule="auto"/>
        <w:jc w:val="both"/>
        <w:rPr>
          <w:rtl/>
        </w:rPr>
      </w:pPr>
      <w:r>
        <w:rPr>
          <w:rFonts w:hint="cs"/>
          <w:rtl/>
        </w:rPr>
        <w:t>ג.</w:t>
      </w:r>
      <w:r>
        <w:rPr>
          <w:rFonts w:hint="cs"/>
          <w:rtl/>
        </w:rPr>
        <w:tab/>
        <w:t xml:space="preserve">קנס בסך של 3,000 ₪ לתשלום עד ליום 31.12.18. </w:t>
      </w:r>
    </w:p>
    <w:p w14:paraId="122603BE" w14:textId="77777777" w:rsidR="00957F44" w:rsidRPr="00670BEB" w:rsidRDefault="00670BEB" w:rsidP="00957F44">
      <w:pPr>
        <w:jc w:val="both"/>
        <w:rPr>
          <w:color w:val="FFFFFF"/>
          <w:sz w:val="2"/>
          <w:szCs w:val="2"/>
          <w:rtl/>
        </w:rPr>
      </w:pPr>
      <w:r w:rsidRPr="00670BEB">
        <w:rPr>
          <w:color w:val="FFFFFF"/>
          <w:sz w:val="2"/>
          <w:szCs w:val="2"/>
          <w:rtl/>
        </w:rPr>
        <w:t>5129371</w:t>
      </w:r>
    </w:p>
    <w:p w14:paraId="576A569B" w14:textId="77777777" w:rsidR="00957F44" w:rsidRDefault="00670BEB" w:rsidP="00957F44">
      <w:pPr>
        <w:jc w:val="both"/>
        <w:rPr>
          <w:rFonts w:cs="FrankRuehl"/>
          <w:sz w:val="28"/>
          <w:szCs w:val="28"/>
          <w:rtl/>
        </w:rPr>
      </w:pPr>
      <w:r w:rsidRPr="00670BEB">
        <w:rPr>
          <w:rFonts w:ascii="Arial" w:hAnsi="Arial"/>
          <w:color w:val="FFFFFF"/>
          <w:sz w:val="2"/>
          <w:szCs w:val="2"/>
          <w:rtl/>
        </w:rPr>
        <w:t>54678313</w:t>
      </w:r>
      <w:r>
        <w:rPr>
          <w:rFonts w:ascii="Arial" w:hAnsi="Arial"/>
          <w:rtl/>
        </w:rPr>
        <w:t xml:space="preserve">ניתן היום,  ז' אב תשע"ח, 19 יולי 2018, בהעדר הצדדים. </w:t>
      </w:r>
    </w:p>
    <w:p w14:paraId="25895632" w14:textId="77777777" w:rsidR="00957F44" w:rsidRDefault="00957F44" w:rsidP="00957F44">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0BC867F" w14:textId="77777777" w:rsidR="00957F44" w:rsidRDefault="00957F44" w:rsidP="00957F44">
      <w:pPr>
        <w:jc w:val="both"/>
        <w:rPr>
          <w:rFonts w:ascii="Arial" w:hAnsi="Arial" w:cs="FrankRuehl"/>
          <w:sz w:val="28"/>
          <w:szCs w:val="28"/>
          <w:rtl/>
        </w:rPr>
      </w:pPr>
    </w:p>
    <w:p w14:paraId="7B8070CD" w14:textId="77777777" w:rsidR="00670BEB" w:rsidRDefault="00670BEB" w:rsidP="00670BEB">
      <w:pPr>
        <w:rPr>
          <w:rtl/>
        </w:rPr>
      </w:pPr>
    </w:p>
    <w:p w14:paraId="0974714C" w14:textId="77777777" w:rsidR="00670BEB" w:rsidRDefault="00670BEB" w:rsidP="00670BEB">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532B17CC" w14:textId="77777777" w:rsidR="00F9744E" w:rsidRPr="00F9744E" w:rsidRDefault="00F9744E" w:rsidP="00F9744E">
      <w:pPr>
        <w:keepNext/>
        <w:rPr>
          <w:rFonts w:ascii="David" w:hAnsi="David"/>
          <w:color w:val="000000"/>
          <w:sz w:val="22"/>
          <w:szCs w:val="22"/>
          <w:rtl/>
        </w:rPr>
      </w:pPr>
    </w:p>
    <w:p w14:paraId="373CC6E0" w14:textId="77777777" w:rsidR="00F9744E" w:rsidRPr="00F9744E" w:rsidRDefault="00F9744E" w:rsidP="00F9744E">
      <w:pPr>
        <w:keepNext/>
        <w:rPr>
          <w:rFonts w:ascii="David" w:hAnsi="David"/>
          <w:color w:val="000000"/>
          <w:sz w:val="22"/>
          <w:szCs w:val="22"/>
          <w:rtl/>
        </w:rPr>
      </w:pPr>
      <w:r w:rsidRPr="00F9744E">
        <w:rPr>
          <w:rFonts w:ascii="David" w:hAnsi="David"/>
          <w:color w:val="000000"/>
          <w:sz w:val="22"/>
          <w:szCs w:val="22"/>
          <w:rtl/>
        </w:rPr>
        <w:t>דניאל פיש 54678313-/</w:t>
      </w:r>
    </w:p>
    <w:p w14:paraId="31A64A14" w14:textId="77777777" w:rsidR="00670BEB" w:rsidRPr="00670BEB" w:rsidRDefault="00F9744E" w:rsidP="00F9744E">
      <w:pPr>
        <w:rPr>
          <w:color w:val="0000FF"/>
          <w:u w:val="single"/>
        </w:rPr>
      </w:pPr>
      <w:r w:rsidRPr="00F9744E">
        <w:rPr>
          <w:color w:val="000000"/>
          <w:u w:val="single"/>
          <w:rtl/>
        </w:rPr>
        <w:t>נוסח מסמך זה כפוף לשינויי ניסוח ועריכה</w:t>
      </w:r>
    </w:p>
    <w:sectPr w:rsidR="00670BEB" w:rsidRPr="00670BEB" w:rsidSect="00F9744E">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1CF6B" w14:textId="77777777" w:rsidR="0092425F" w:rsidRDefault="0092425F" w:rsidP="003B78E0">
      <w:r>
        <w:separator/>
      </w:r>
    </w:p>
  </w:endnote>
  <w:endnote w:type="continuationSeparator" w:id="0">
    <w:p w14:paraId="76C3D4B8" w14:textId="77777777" w:rsidR="0092425F" w:rsidRDefault="0092425F" w:rsidP="003B7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068E8" w14:textId="77777777" w:rsidR="00F9744E" w:rsidRDefault="00F9744E" w:rsidP="00F9744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F157B2D" w14:textId="77777777" w:rsidR="007674A3" w:rsidRPr="00F9744E" w:rsidRDefault="00F9744E" w:rsidP="00F9744E">
    <w:pPr>
      <w:pStyle w:val="a5"/>
      <w:pBdr>
        <w:top w:val="single" w:sz="4" w:space="1" w:color="auto"/>
        <w:between w:val="single" w:sz="4" w:space="0" w:color="auto"/>
      </w:pBdr>
      <w:spacing w:after="60"/>
      <w:jc w:val="center"/>
      <w:rPr>
        <w:rFonts w:ascii="FrankRuehl" w:hAnsi="FrankRuehl" w:cs="FrankRuehl"/>
        <w:color w:val="000000"/>
      </w:rPr>
    </w:pPr>
    <w:r w:rsidRPr="00F9744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1D97E" w14:textId="77777777" w:rsidR="00F9744E" w:rsidRDefault="00F9744E" w:rsidP="00F9744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46962">
      <w:rPr>
        <w:rFonts w:ascii="FrankRuehl" w:hAnsi="FrankRuehl" w:cs="FrankRuehl"/>
        <w:noProof/>
        <w:rtl/>
      </w:rPr>
      <w:t>1</w:t>
    </w:r>
    <w:r>
      <w:rPr>
        <w:rFonts w:ascii="FrankRuehl" w:hAnsi="FrankRuehl" w:cs="FrankRuehl"/>
        <w:rtl/>
      </w:rPr>
      <w:fldChar w:fldCharType="end"/>
    </w:r>
  </w:p>
  <w:p w14:paraId="57B17B2F" w14:textId="77777777" w:rsidR="007674A3" w:rsidRPr="00F9744E" w:rsidRDefault="00F9744E" w:rsidP="00F9744E">
    <w:pPr>
      <w:pStyle w:val="a5"/>
      <w:pBdr>
        <w:top w:val="single" w:sz="4" w:space="1" w:color="auto"/>
        <w:between w:val="single" w:sz="4" w:space="0" w:color="auto"/>
      </w:pBdr>
      <w:spacing w:after="60"/>
      <w:jc w:val="center"/>
      <w:rPr>
        <w:rFonts w:ascii="FrankRuehl" w:hAnsi="FrankRuehl" w:cs="FrankRuehl"/>
        <w:color w:val="000000"/>
      </w:rPr>
    </w:pPr>
    <w:r w:rsidRPr="00F9744E">
      <w:rPr>
        <w:rFonts w:ascii="FrankRuehl" w:hAnsi="FrankRuehl" w:cs="FrankRuehl"/>
        <w:color w:val="000000"/>
      </w:rPr>
      <w:pict w14:anchorId="23C51C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7A625" w14:textId="77777777" w:rsidR="0092425F" w:rsidRDefault="0092425F" w:rsidP="003B78E0">
      <w:r>
        <w:separator/>
      </w:r>
    </w:p>
  </w:footnote>
  <w:footnote w:type="continuationSeparator" w:id="0">
    <w:p w14:paraId="467E5510" w14:textId="77777777" w:rsidR="0092425F" w:rsidRDefault="0092425F" w:rsidP="003B78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2EC2C" w14:textId="77777777" w:rsidR="00670BEB" w:rsidRPr="00F9744E" w:rsidRDefault="00F9744E" w:rsidP="00F9744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32659-05-18</w:t>
    </w:r>
    <w:r>
      <w:rPr>
        <w:rFonts w:ascii="David" w:hAnsi="David"/>
        <w:color w:val="000000"/>
        <w:sz w:val="22"/>
        <w:szCs w:val="22"/>
        <w:rtl/>
      </w:rPr>
      <w:tab/>
      <w:t xml:space="preserve"> מדינת ישראל נ' מוראד סלמאן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F4D27" w14:textId="77777777" w:rsidR="00670BEB" w:rsidRPr="00F9744E" w:rsidRDefault="00F9744E" w:rsidP="00F9744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32659-05-18</w:t>
    </w:r>
    <w:r>
      <w:rPr>
        <w:rFonts w:ascii="David" w:hAnsi="David"/>
        <w:color w:val="000000"/>
        <w:sz w:val="22"/>
        <w:szCs w:val="22"/>
        <w:rtl/>
      </w:rPr>
      <w:tab/>
      <w:t xml:space="preserve"> מדינת ישראל נ' מוראד סלמאן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57F44"/>
    <w:rsid w:val="001008CA"/>
    <w:rsid w:val="003B78E0"/>
    <w:rsid w:val="00401ACB"/>
    <w:rsid w:val="00670BEB"/>
    <w:rsid w:val="007674A3"/>
    <w:rsid w:val="008D2752"/>
    <w:rsid w:val="0092425F"/>
    <w:rsid w:val="00957F44"/>
    <w:rsid w:val="00B22D75"/>
    <w:rsid w:val="00EA213C"/>
    <w:rsid w:val="00F27DFB"/>
    <w:rsid w:val="00F46962"/>
    <w:rsid w:val="00F77E8A"/>
    <w:rsid w:val="00F974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869631C"/>
  <w15:chartTrackingRefBased/>
  <w15:docId w15:val="{02625C46-40AA-47EA-8D77-2E07AA5A8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57F4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57F44"/>
    <w:pPr>
      <w:tabs>
        <w:tab w:val="center" w:pos="4153"/>
        <w:tab w:val="right" w:pos="8306"/>
      </w:tabs>
    </w:pPr>
  </w:style>
  <w:style w:type="character" w:customStyle="1" w:styleId="a4">
    <w:name w:val="כותרת עליונה תו"/>
    <w:link w:val="a3"/>
    <w:rsid w:val="00957F44"/>
    <w:rPr>
      <w:rFonts w:ascii="Times New Roman" w:eastAsia="Times New Roman" w:hAnsi="Times New Roman" w:cs="David"/>
      <w:sz w:val="24"/>
      <w:szCs w:val="24"/>
    </w:rPr>
  </w:style>
  <w:style w:type="paragraph" w:styleId="a5">
    <w:name w:val="footer"/>
    <w:basedOn w:val="a"/>
    <w:link w:val="a6"/>
    <w:rsid w:val="00957F44"/>
    <w:pPr>
      <w:tabs>
        <w:tab w:val="center" w:pos="4153"/>
        <w:tab w:val="right" w:pos="8306"/>
      </w:tabs>
    </w:pPr>
  </w:style>
  <w:style w:type="character" w:customStyle="1" w:styleId="a6">
    <w:name w:val="כותרת תחתונה תו"/>
    <w:link w:val="a5"/>
    <w:rsid w:val="00957F44"/>
    <w:rPr>
      <w:rFonts w:ascii="Times New Roman" w:eastAsia="Times New Roman" w:hAnsi="Times New Roman" w:cs="David"/>
      <w:sz w:val="24"/>
      <w:szCs w:val="24"/>
    </w:rPr>
  </w:style>
  <w:style w:type="table" w:styleId="a7">
    <w:name w:val="Table Grid"/>
    <w:basedOn w:val="a1"/>
    <w:rsid w:val="00957F4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57F44"/>
  </w:style>
  <w:style w:type="character" w:customStyle="1" w:styleId="TimesNewRomanTimesNewRoman">
    <w:name w:val="סגנון (לטיני) Times New Roman (עברית ושפות אחרות) Times New Roman..."/>
    <w:rsid w:val="00957F44"/>
    <w:rPr>
      <w:rFonts w:ascii="Times New Roman" w:hAnsi="Times New Roman" w:cs="David" w:hint="default"/>
      <w:b/>
      <w:bCs/>
      <w:sz w:val="26"/>
      <w:szCs w:val="26"/>
    </w:rPr>
  </w:style>
  <w:style w:type="table" w:customStyle="1" w:styleId="1">
    <w:name w:val="רשת טבלה1"/>
    <w:basedOn w:val="a1"/>
    <w:next w:val="a7"/>
    <w:rsid w:val="00957F44"/>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70BE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275" TargetMode="External"/><Relationship Id="rId13" Type="http://schemas.openxmlformats.org/officeDocument/2006/relationships/hyperlink" Target="http://www.nevo.co.il/case/5821327" TargetMode="External"/><Relationship Id="rId18" Type="http://schemas.openxmlformats.org/officeDocument/2006/relationships/hyperlink" Target="http://www.nevo.co.il/case/5762686"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case/5576212" TargetMode="External"/><Relationship Id="rId7" Type="http://schemas.openxmlformats.org/officeDocument/2006/relationships/hyperlink" Target="http://www.nevo.co.il/law/70301/144.b" TargetMode="External"/><Relationship Id="rId12" Type="http://schemas.openxmlformats.org/officeDocument/2006/relationships/hyperlink" Target="http://www.nevo.co.il/case/7791493" TargetMode="External"/><Relationship Id="rId17" Type="http://schemas.openxmlformats.org/officeDocument/2006/relationships/hyperlink" Target="http://www.nevo.co.il/case/22733878"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case/22916210" TargetMode="External"/><Relationship Id="rId20" Type="http://schemas.openxmlformats.org/officeDocument/2006/relationships/hyperlink" Target="http://www.nevo.co.il/case/7791493"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275"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case/21863824"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case/5614477" TargetMode="Externa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case/21771409" TargetMode="External"/><Relationship Id="rId22" Type="http://schemas.openxmlformats.org/officeDocument/2006/relationships/hyperlink" Target="http://www.nevo.co.il/case/22272975"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1742</Words>
  <Characters>8712</Characters>
  <Application>Microsoft Office Word</Application>
  <DocSecurity>0</DocSecurity>
  <Lines>72</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10434</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3473528</vt:i4>
      </vt:variant>
      <vt:variant>
        <vt:i4>48</vt:i4>
      </vt:variant>
      <vt:variant>
        <vt:i4>0</vt:i4>
      </vt:variant>
      <vt:variant>
        <vt:i4>5</vt:i4>
      </vt:variant>
      <vt:variant>
        <vt:lpwstr>http://www.nevo.co.il/case/22272975</vt:lpwstr>
      </vt:variant>
      <vt:variant>
        <vt:lpwstr/>
      </vt:variant>
      <vt:variant>
        <vt:i4>3276918</vt:i4>
      </vt:variant>
      <vt:variant>
        <vt:i4>45</vt:i4>
      </vt:variant>
      <vt:variant>
        <vt:i4>0</vt:i4>
      </vt:variant>
      <vt:variant>
        <vt:i4>5</vt:i4>
      </vt:variant>
      <vt:variant>
        <vt:lpwstr>http://www.nevo.co.il/case/5576212</vt:lpwstr>
      </vt:variant>
      <vt:variant>
        <vt:lpwstr/>
      </vt:variant>
      <vt:variant>
        <vt:i4>3735675</vt:i4>
      </vt:variant>
      <vt:variant>
        <vt:i4>42</vt:i4>
      </vt:variant>
      <vt:variant>
        <vt:i4>0</vt:i4>
      </vt:variant>
      <vt:variant>
        <vt:i4>5</vt:i4>
      </vt:variant>
      <vt:variant>
        <vt:lpwstr>http://www.nevo.co.il/case/7791493</vt:lpwstr>
      </vt:variant>
      <vt:variant>
        <vt:lpwstr/>
      </vt:variant>
      <vt:variant>
        <vt:i4>3604593</vt:i4>
      </vt:variant>
      <vt:variant>
        <vt:i4>39</vt:i4>
      </vt:variant>
      <vt:variant>
        <vt:i4>0</vt:i4>
      </vt:variant>
      <vt:variant>
        <vt:i4>5</vt:i4>
      </vt:variant>
      <vt:variant>
        <vt:lpwstr>http://www.nevo.co.il/case/5614477</vt:lpwstr>
      </vt:variant>
      <vt:variant>
        <vt:lpwstr/>
      </vt:variant>
      <vt:variant>
        <vt:i4>3342457</vt:i4>
      </vt:variant>
      <vt:variant>
        <vt:i4>36</vt:i4>
      </vt:variant>
      <vt:variant>
        <vt:i4>0</vt:i4>
      </vt:variant>
      <vt:variant>
        <vt:i4>5</vt:i4>
      </vt:variant>
      <vt:variant>
        <vt:lpwstr>http://www.nevo.co.il/case/5762686</vt:lpwstr>
      </vt:variant>
      <vt:variant>
        <vt:lpwstr/>
      </vt:variant>
      <vt:variant>
        <vt:i4>3211389</vt:i4>
      </vt:variant>
      <vt:variant>
        <vt:i4>33</vt:i4>
      </vt:variant>
      <vt:variant>
        <vt:i4>0</vt:i4>
      </vt:variant>
      <vt:variant>
        <vt:i4>5</vt:i4>
      </vt:variant>
      <vt:variant>
        <vt:lpwstr>http://www.nevo.co.il/case/22733878</vt:lpwstr>
      </vt:variant>
      <vt:variant>
        <vt:lpwstr/>
      </vt:variant>
      <vt:variant>
        <vt:i4>3932277</vt:i4>
      </vt:variant>
      <vt:variant>
        <vt:i4>30</vt:i4>
      </vt:variant>
      <vt:variant>
        <vt:i4>0</vt:i4>
      </vt:variant>
      <vt:variant>
        <vt:i4>5</vt:i4>
      </vt:variant>
      <vt:variant>
        <vt:lpwstr>http://www.nevo.co.il/case/22916210</vt:lpwstr>
      </vt:variant>
      <vt:variant>
        <vt:lpwstr/>
      </vt:variant>
      <vt:variant>
        <vt:i4>3866747</vt:i4>
      </vt:variant>
      <vt:variant>
        <vt:i4>27</vt:i4>
      </vt:variant>
      <vt:variant>
        <vt:i4>0</vt:i4>
      </vt:variant>
      <vt:variant>
        <vt:i4>5</vt:i4>
      </vt:variant>
      <vt:variant>
        <vt:lpwstr>http://www.nevo.co.il/case/21863824</vt:lpwstr>
      </vt:variant>
      <vt:variant>
        <vt:lpwstr/>
      </vt:variant>
      <vt:variant>
        <vt:i4>3407990</vt:i4>
      </vt:variant>
      <vt:variant>
        <vt:i4>24</vt:i4>
      </vt:variant>
      <vt:variant>
        <vt:i4>0</vt:i4>
      </vt:variant>
      <vt:variant>
        <vt:i4>5</vt:i4>
      </vt:variant>
      <vt:variant>
        <vt:lpwstr>http://www.nevo.co.il/case/21771409</vt:lpwstr>
      </vt:variant>
      <vt:variant>
        <vt:lpwstr/>
      </vt:variant>
      <vt:variant>
        <vt:i4>3342463</vt:i4>
      </vt:variant>
      <vt:variant>
        <vt:i4>21</vt:i4>
      </vt:variant>
      <vt:variant>
        <vt:i4>0</vt:i4>
      </vt:variant>
      <vt:variant>
        <vt:i4>5</vt:i4>
      </vt:variant>
      <vt:variant>
        <vt:lpwstr>http://www.nevo.co.il/case/5821327</vt:lpwstr>
      </vt:variant>
      <vt:variant>
        <vt:lpwstr/>
      </vt:variant>
      <vt:variant>
        <vt:i4>3735675</vt:i4>
      </vt:variant>
      <vt:variant>
        <vt:i4>18</vt:i4>
      </vt:variant>
      <vt:variant>
        <vt:i4>0</vt:i4>
      </vt:variant>
      <vt:variant>
        <vt:i4>5</vt:i4>
      </vt:variant>
      <vt:variant>
        <vt:lpwstr>http://www.nevo.co.il/case/7791493</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6422631</vt:i4>
      </vt:variant>
      <vt:variant>
        <vt:i4>6</vt:i4>
      </vt:variant>
      <vt:variant>
        <vt:i4>0</vt:i4>
      </vt:variant>
      <vt:variant>
        <vt:i4>5</vt:i4>
      </vt:variant>
      <vt:variant>
        <vt:lpwstr>http://www.nevo.co.il/law/70301/275</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2023-12-07T11:48:00Z</dcterms:created>
  <dcterms:modified xsi:type="dcterms:W3CDTF">2023-12-07T11:48:00Z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32659</vt:lpwstr>
  </property>
  <property fmtid="{D5CDD505-2E9C-101B-9397-08002B2CF9AE}" pid="6" name="NEWPARTB">
    <vt:lpwstr>05</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מוראד סלמאן </vt:lpwstr>
  </property>
  <property fmtid="{D5CDD505-2E9C-101B-9397-08002B2CF9AE}" pid="10" name="JUDGE">
    <vt:lpwstr>דניאל פיש</vt:lpwstr>
  </property>
  <property fmtid="{D5CDD505-2E9C-101B-9397-08002B2CF9AE}" pid="11" name="CITY">
    <vt:lpwstr>חי'</vt:lpwstr>
  </property>
  <property fmtid="{D5CDD505-2E9C-101B-9397-08002B2CF9AE}" pid="12" name="DATE">
    <vt:lpwstr>20180719</vt:lpwstr>
  </property>
  <property fmtid="{D5CDD505-2E9C-101B-9397-08002B2CF9AE}" pid="13" name="TYPE_N_DATE">
    <vt:lpwstr>39020180719</vt:lpwstr>
  </property>
  <property fmtid="{D5CDD505-2E9C-101B-9397-08002B2CF9AE}" pid="14" name="WORDNUMPAGES">
    <vt:lpwstr>6</vt:lpwstr>
  </property>
  <property fmtid="{D5CDD505-2E9C-101B-9397-08002B2CF9AE}" pid="15" name="TYPE_ABS_DATE">
    <vt:lpwstr>390020180719</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7791493:2;21771409;21863824;22916210;22733878;5762686;5614477;5576212;22272975</vt:lpwstr>
  </property>
  <property fmtid="{D5CDD505-2E9C-101B-9397-08002B2CF9AE}" pid="36" name="LAWLISTTMP1">
    <vt:lpwstr>70301/144.b;275</vt:lpwstr>
  </property>
</Properties>
</file>