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160004" w:rsidRPr="005F7B34" w14:paraId="288E89DB" w14:textId="77777777" w:rsidTr="00E93928">
        <w:trPr>
          <w:trHeight w:hRule="exact" w:val="418"/>
          <w:jc w:val="center"/>
        </w:trPr>
        <w:tc>
          <w:tcPr>
            <w:tcW w:w="8721" w:type="dxa"/>
            <w:gridSpan w:val="2"/>
          </w:tcPr>
          <w:p w14:paraId="19E6065B" w14:textId="77777777" w:rsidR="00160004" w:rsidRPr="005F7B34" w:rsidRDefault="00160004" w:rsidP="00444AB8">
            <w:pPr>
              <w:pStyle w:val="a3"/>
              <w:jc w:val="center"/>
              <w:rPr>
                <w:rFonts w:ascii="Tahoma" w:hAnsi="Tahoma" w:cs="Tahoma"/>
                <w:color w:val="000080"/>
                <w:rtl/>
              </w:rPr>
            </w:pPr>
            <w:bookmarkStart w:id="0" w:name="FirstLawyer"/>
            <w:bookmarkStart w:id="1" w:name="LastJudge"/>
            <w:r w:rsidRPr="005F7B34">
              <w:rPr>
                <w:rFonts w:ascii="Tahoma" w:hAnsi="Tahoma" w:cs="Tahoma"/>
                <w:b/>
                <w:bCs/>
                <w:color w:val="000080"/>
                <w:rtl/>
              </w:rPr>
              <w:t>בית המשפט המחוזי בירושלים</w:t>
            </w:r>
          </w:p>
        </w:tc>
      </w:tr>
      <w:tr w:rsidR="00160004" w:rsidRPr="005F7B34" w14:paraId="183D5CBF" w14:textId="77777777" w:rsidTr="00E93928">
        <w:trPr>
          <w:trHeight w:val="337"/>
          <w:jc w:val="center"/>
        </w:trPr>
        <w:tc>
          <w:tcPr>
            <w:tcW w:w="5058" w:type="dxa"/>
          </w:tcPr>
          <w:p w14:paraId="7F4B6441" w14:textId="77777777" w:rsidR="00160004" w:rsidRPr="005F7B34" w:rsidRDefault="00160004" w:rsidP="00444AB8">
            <w:pPr>
              <w:rPr>
                <w:rFonts w:cs="FrankRuehl"/>
                <w:sz w:val="28"/>
                <w:szCs w:val="28"/>
                <w:rtl/>
              </w:rPr>
            </w:pPr>
            <w:r w:rsidRPr="005F7B34">
              <w:rPr>
                <w:rFonts w:cs="FrankRuehl"/>
                <w:sz w:val="28"/>
                <w:szCs w:val="28"/>
                <w:rtl/>
              </w:rPr>
              <w:t>ת"פ</w:t>
            </w:r>
            <w:r w:rsidRPr="005F7B34">
              <w:rPr>
                <w:rFonts w:cs="FrankRuehl" w:hint="cs"/>
                <w:sz w:val="28"/>
                <w:szCs w:val="28"/>
                <w:rtl/>
              </w:rPr>
              <w:t xml:space="preserve"> </w:t>
            </w:r>
            <w:r w:rsidRPr="005F7B34">
              <w:rPr>
                <w:rFonts w:cs="FrankRuehl"/>
                <w:sz w:val="28"/>
                <w:szCs w:val="28"/>
                <w:rtl/>
              </w:rPr>
              <w:t>3295-04-18</w:t>
            </w:r>
            <w:r w:rsidRPr="005F7B34">
              <w:rPr>
                <w:rFonts w:cs="FrankRuehl" w:hint="cs"/>
                <w:sz w:val="28"/>
                <w:szCs w:val="28"/>
                <w:rtl/>
              </w:rPr>
              <w:t xml:space="preserve"> </w:t>
            </w:r>
            <w:r w:rsidRPr="005F7B34">
              <w:rPr>
                <w:rFonts w:cs="FrankRuehl"/>
                <w:sz w:val="28"/>
                <w:szCs w:val="28"/>
                <w:rtl/>
              </w:rPr>
              <w:t>מדינת ישראל נ' רמדאן(עציר)</w:t>
            </w:r>
          </w:p>
          <w:p w14:paraId="0A521FAE" w14:textId="77777777" w:rsidR="00160004" w:rsidRPr="005F7B34" w:rsidRDefault="00160004" w:rsidP="00444AB8">
            <w:pPr>
              <w:pStyle w:val="a3"/>
              <w:rPr>
                <w:rFonts w:cs="FrankRuehl"/>
                <w:sz w:val="28"/>
                <w:szCs w:val="28"/>
                <w:rtl/>
              </w:rPr>
            </w:pPr>
          </w:p>
        </w:tc>
        <w:tc>
          <w:tcPr>
            <w:tcW w:w="3663" w:type="dxa"/>
          </w:tcPr>
          <w:p w14:paraId="0B9618AD" w14:textId="77777777" w:rsidR="00160004" w:rsidRPr="005F7B34" w:rsidRDefault="00160004" w:rsidP="00444AB8">
            <w:pPr>
              <w:pStyle w:val="a3"/>
              <w:jc w:val="right"/>
              <w:rPr>
                <w:rFonts w:cs="FrankRuehl"/>
                <w:sz w:val="28"/>
                <w:szCs w:val="28"/>
                <w:rtl/>
              </w:rPr>
            </w:pPr>
          </w:p>
        </w:tc>
      </w:tr>
    </w:tbl>
    <w:p w14:paraId="051BD233" w14:textId="77777777" w:rsidR="00160004" w:rsidRPr="005F7B34" w:rsidRDefault="00160004" w:rsidP="00160004">
      <w:pPr>
        <w:pStyle w:val="a3"/>
        <w:rPr>
          <w:rtl/>
        </w:rPr>
      </w:pPr>
      <w:r w:rsidRPr="005F7B34">
        <w:rPr>
          <w:rFonts w:hint="cs"/>
          <w:rtl/>
        </w:rPr>
        <w:t xml:space="preserve"> </w:t>
      </w:r>
    </w:p>
    <w:p w14:paraId="175B9498" w14:textId="77777777" w:rsidR="00160004" w:rsidRPr="005F7B34" w:rsidRDefault="00160004" w:rsidP="00160004">
      <w:pPr>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60004" w:rsidRPr="005F7B34" w14:paraId="467B6177" w14:textId="77777777" w:rsidTr="00160004">
        <w:trPr>
          <w:trHeight w:val="295"/>
          <w:jc w:val="center"/>
        </w:trPr>
        <w:tc>
          <w:tcPr>
            <w:tcW w:w="923" w:type="dxa"/>
            <w:tcBorders>
              <w:top w:val="nil"/>
              <w:left w:val="nil"/>
              <w:bottom w:val="nil"/>
              <w:right w:val="nil"/>
            </w:tcBorders>
            <w:shd w:val="clear" w:color="auto" w:fill="auto"/>
          </w:tcPr>
          <w:p w14:paraId="2F604930" w14:textId="77777777" w:rsidR="00160004" w:rsidRPr="005F7B34" w:rsidRDefault="00160004" w:rsidP="00160004">
            <w:pPr>
              <w:jc w:val="both"/>
              <w:rPr>
                <w:rFonts w:ascii="Arial" w:hAnsi="Arial"/>
                <w:b/>
                <w:bCs/>
                <w:sz w:val="26"/>
                <w:szCs w:val="26"/>
              </w:rPr>
            </w:pPr>
            <w:r w:rsidRPr="005F7B34">
              <w:rPr>
                <w:rFonts w:ascii="Arial" w:hAnsi="Arial" w:hint="cs"/>
                <w:b/>
                <w:bCs/>
                <w:sz w:val="26"/>
                <w:szCs w:val="26"/>
                <w:rtl/>
              </w:rPr>
              <w:t>ל</w:t>
            </w:r>
            <w:r w:rsidRPr="005F7B34">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1BE4723C" w14:textId="77777777" w:rsidR="00160004" w:rsidRPr="005F7B34" w:rsidRDefault="00160004" w:rsidP="00444AB8">
            <w:pPr>
              <w:rPr>
                <w:rFonts w:ascii="Arial" w:hAnsi="Arial"/>
                <w:b/>
                <w:bCs/>
                <w:rtl/>
              </w:rPr>
            </w:pPr>
            <w:r w:rsidRPr="005F7B34">
              <w:rPr>
                <w:rFonts w:ascii="Arial" w:hAnsi="Arial" w:hint="cs"/>
                <w:b/>
                <w:bCs/>
                <w:rtl/>
              </w:rPr>
              <w:t>כבוד ה</w:t>
            </w:r>
            <w:r w:rsidRPr="005F7B34">
              <w:rPr>
                <w:rFonts w:ascii="Arial" w:hAnsi="Arial"/>
                <w:b/>
                <w:bCs/>
                <w:rtl/>
              </w:rPr>
              <w:t>שופטת</w:t>
            </w:r>
            <w:r w:rsidRPr="005F7B34">
              <w:rPr>
                <w:rFonts w:ascii="Arial" w:hAnsi="Arial" w:hint="cs"/>
                <w:b/>
                <w:bCs/>
                <w:rtl/>
              </w:rPr>
              <w:t xml:space="preserve">  </w:t>
            </w:r>
            <w:r w:rsidRPr="005F7B34">
              <w:rPr>
                <w:rFonts w:ascii="Arial" w:hAnsi="Arial"/>
                <w:b/>
                <w:bCs/>
                <w:rtl/>
              </w:rPr>
              <w:t>חנה מרים לומפ</w:t>
            </w:r>
          </w:p>
          <w:p w14:paraId="25FF1954" w14:textId="77777777" w:rsidR="00160004" w:rsidRPr="005F7B34" w:rsidRDefault="00160004" w:rsidP="00160004">
            <w:pPr>
              <w:jc w:val="both"/>
              <w:rPr>
                <w:rFonts w:ascii="Arial" w:hAnsi="Arial"/>
                <w:b/>
                <w:bCs/>
                <w:sz w:val="28"/>
                <w:szCs w:val="28"/>
              </w:rPr>
            </w:pPr>
          </w:p>
        </w:tc>
      </w:tr>
      <w:tr w:rsidR="00160004" w:rsidRPr="005F7B34" w14:paraId="57C0D13E" w14:textId="77777777" w:rsidTr="00160004">
        <w:trPr>
          <w:trHeight w:val="355"/>
          <w:jc w:val="center"/>
        </w:trPr>
        <w:tc>
          <w:tcPr>
            <w:tcW w:w="923" w:type="dxa"/>
            <w:tcBorders>
              <w:top w:val="nil"/>
              <w:left w:val="nil"/>
              <w:bottom w:val="nil"/>
              <w:right w:val="nil"/>
            </w:tcBorders>
            <w:shd w:val="clear" w:color="auto" w:fill="auto"/>
          </w:tcPr>
          <w:p w14:paraId="0656E3AE" w14:textId="77777777" w:rsidR="00160004" w:rsidRPr="005F7B34" w:rsidRDefault="00160004" w:rsidP="00160004">
            <w:pPr>
              <w:jc w:val="both"/>
              <w:rPr>
                <w:rFonts w:ascii="Arial" w:hAnsi="Arial"/>
                <w:b/>
                <w:bCs/>
                <w:sz w:val="26"/>
                <w:szCs w:val="26"/>
              </w:rPr>
            </w:pPr>
            <w:bookmarkStart w:id="2" w:name="FirstAppellant"/>
            <w:r w:rsidRPr="005F7B34">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4E694EB2" w14:textId="77777777" w:rsidR="00160004" w:rsidRPr="005F7B34" w:rsidRDefault="00160004" w:rsidP="00444AB8">
            <w:pPr>
              <w:rPr>
                <w:b/>
                <w:bCs/>
                <w:sz w:val="26"/>
                <w:szCs w:val="26"/>
              </w:rPr>
            </w:pPr>
            <w:r w:rsidRPr="005F7B34">
              <w:rPr>
                <w:rFonts w:ascii="Arial" w:hAnsi="Arial"/>
                <w:b/>
                <w:bCs/>
                <w:sz w:val="26"/>
                <w:szCs w:val="26"/>
                <w:rtl/>
              </w:rPr>
              <w:t>מדינת ישראל</w:t>
            </w:r>
            <w:r w:rsidRPr="005F7B34">
              <w:rPr>
                <w:rFonts w:ascii="Arial" w:hAnsi="Arial"/>
                <w:b/>
                <w:bCs/>
                <w:sz w:val="26"/>
                <w:szCs w:val="26"/>
                <w:rtl/>
              </w:rPr>
              <w:br/>
            </w:r>
            <w:r w:rsidRPr="005F7B34">
              <w:rPr>
                <w:rFonts w:hint="cs"/>
                <w:b/>
                <w:bCs/>
                <w:sz w:val="26"/>
                <w:szCs w:val="26"/>
                <w:rtl/>
              </w:rPr>
              <w:t>באמצעות ב"כ עו"ד אביעד דוויק, פרקליטות מחוז ירושלים (פלילי)</w:t>
            </w:r>
          </w:p>
        </w:tc>
        <w:tc>
          <w:tcPr>
            <w:tcW w:w="3771" w:type="dxa"/>
            <w:tcBorders>
              <w:top w:val="nil"/>
              <w:left w:val="nil"/>
              <w:bottom w:val="nil"/>
              <w:right w:val="nil"/>
            </w:tcBorders>
            <w:shd w:val="clear" w:color="auto" w:fill="auto"/>
          </w:tcPr>
          <w:p w14:paraId="38FCDD41" w14:textId="77777777" w:rsidR="00160004" w:rsidRPr="005F7B34" w:rsidRDefault="00160004" w:rsidP="00160004">
            <w:pPr>
              <w:jc w:val="both"/>
              <w:rPr>
                <w:rFonts w:ascii="Arial" w:hAnsi="Arial"/>
                <w:b/>
                <w:bCs/>
                <w:sz w:val="26"/>
                <w:szCs w:val="26"/>
              </w:rPr>
            </w:pPr>
          </w:p>
        </w:tc>
      </w:tr>
      <w:bookmarkEnd w:id="2"/>
      <w:tr w:rsidR="00160004" w:rsidRPr="005F7B34" w14:paraId="460F717F" w14:textId="77777777" w:rsidTr="00160004">
        <w:trPr>
          <w:trHeight w:val="355"/>
          <w:jc w:val="center"/>
        </w:trPr>
        <w:tc>
          <w:tcPr>
            <w:tcW w:w="923" w:type="dxa"/>
            <w:tcBorders>
              <w:top w:val="nil"/>
              <w:left w:val="nil"/>
              <w:bottom w:val="nil"/>
              <w:right w:val="nil"/>
            </w:tcBorders>
            <w:shd w:val="clear" w:color="auto" w:fill="auto"/>
          </w:tcPr>
          <w:p w14:paraId="1B280E11" w14:textId="77777777" w:rsidR="00160004" w:rsidRPr="005F7B34" w:rsidRDefault="00160004" w:rsidP="00160004">
            <w:pPr>
              <w:jc w:val="both"/>
              <w:rPr>
                <w:rFonts w:ascii="Arial" w:hAnsi="Arial"/>
                <w:b/>
                <w:bCs/>
                <w:sz w:val="26"/>
                <w:szCs w:val="26"/>
                <w:rtl/>
              </w:rPr>
            </w:pPr>
          </w:p>
        </w:tc>
        <w:tc>
          <w:tcPr>
            <w:tcW w:w="4126" w:type="dxa"/>
            <w:tcBorders>
              <w:top w:val="nil"/>
              <w:left w:val="nil"/>
              <w:bottom w:val="nil"/>
              <w:right w:val="nil"/>
            </w:tcBorders>
            <w:shd w:val="clear" w:color="auto" w:fill="auto"/>
          </w:tcPr>
          <w:p w14:paraId="6AB07425" w14:textId="77777777" w:rsidR="00160004" w:rsidRPr="005F7B34" w:rsidRDefault="00160004" w:rsidP="00160004">
            <w:pPr>
              <w:jc w:val="both"/>
              <w:rPr>
                <w:b/>
                <w:bCs/>
                <w:sz w:val="26"/>
                <w:szCs w:val="26"/>
                <w:rtl/>
              </w:rPr>
            </w:pPr>
          </w:p>
        </w:tc>
        <w:tc>
          <w:tcPr>
            <w:tcW w:w="3771" w:type="dxa"/>
            <w:tcBorders>
              <w:top w:val="nil"/>
              <w:left w:val="nil"/>
              <w:bottom w:val="nil"/>
              <w:right w:val="nil"/>
            </w:tcBorders>
            <w:shd w:val="clear" w:color="auto" w:fill="auto"/>
          </w:tcPr>
          <w:p w14:paraId="0E64A4B5" w14:textId="77777777" w:rsidR="00160004" w:rsidRPr="005F7B34" w:rsidRDefault="00160004" w:rsidP="00160004">
            <w:pPr>
              <w:jc w:val="right"/>
              <w:rPr>
                <w:rFonts w:ascii="Arial" w:hAnsi="Arial"/>
                <w:b/>
                <w:bCs/>
                <w:sz w:val="26"/>
                <w:szCs w:val="26"/>
                <w:rtl/>
              </w:rPr>
            </w:pPr>
            <w:r w:rsidRPr="005F7B34">
              <w:rPr>
                <w:rFonts w:ascii="Arial" w:hAnsi="Arial" w:hint="cs"/>
                <w:b/>
                <w:bCs/>
                <w:sz w:val="26"/>
                <w:szCs w:val="26"/>
                <w:rtl/>
              </w:rPr>
              <w:t>ה</w:t>
            </w:r>
            <w:r w:rsidRPr="005F7B34">
              <w:rPr>
                <w:rFonts w:ascii="Arial" w:hAnsi="Arial"/>
                <w:b/>
                <w:bCs/>
                <w:sz w:val="26"/>
                <w:szCs w:val="26"/>
                <w:rtl/>
              </w:rPr>
              <w:t>מאשימה</w:t>
            </w:r>
          </w:p>
        </w:tc>
      </w:tr>
      <w:tr w:rsidR="00160004" w:rsidRPr="005F7B34" w14:paraId="5A984388" w14:textId="77777777" w:rsidTr="00160004">
        <w:trPr>
          <w:trHeight w:val="355"/>
          <w:jc w:val="center"/>
        </w:trPr>
        <w:tc>
          <w:tcPr>
            <w:tcW w:w="923" w:type="dxa"/>
            <w:tcBorders>
              <w:top w:val="nil"/>
              <w:left w:val="nil"/>
              <w:bottom w:val="nil"/>
              <w:right w:val="nil"/>
            </w:tcBorders>
            <w:shd w:val="clear" w:color="auto" w:fill="auto"/>
          </w:tcPr>
          <w:p w14:paraId="5981E263" w14:textId="77777777" w:rsidR="00160004" w:rsidRPr="005F7B34" w:rsidRDefault="00160004" w:rsidP="00160004">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66D6D438" w14:textId="77777777" w:rsidR="00160004" w:rsidRPr="005F7B34" w:rsidRDefault="00160004" w:rsidP="00160004">
            <w:pPr>
              <w:jc w:val="center"/>
              <w:rPr>
                <w:rFonts w:ascii="Arial" w:hAnsi="Arial"/>
                <w:b/>
                <w:bCs/>
                <w:sz w:val="26"/>
                <w:szCs w:val="26"/>
              </w:rPr>
            </w:pPr>
            <w:r w:rsidRPr="005F7B34">
              <w:rPr>
                <w:rFonts w:ascii="Arial" w:hAnsi="Arial"/>
                <w:b/>
                <w:bCs/>
                <w:sz w:val="26"/>
                <w:szCs w:val="26"/>
                <w:rtl/>
              </w:rPr>
              <w:t>נגד</w:t>
            </w:r>
          </w:p>
        </w:tc>
      </w:tr>
      <w:tr w:rsidR="00160004" w:rsidRPr="005F7B34" w14:paraId="15F264DD" w14:textId="77777777" w:rsidTr="00160004">
        <w:trPr>
          <w:trHeight w:val="355"/>
          <w:jc w:val="center"/>
        </w:trPr>
        <w:tc>
          <w:tcPr>
            <w:tcW w:w="923" w:type="dxa"/>
            <w:tcBorders>
              <w:top w:val="nil"/>
              <w:left w:val="nil"/>
              <w:bottom w:val="nil"/>
              <w:right w:val="nil"/>
            </w:tcBorders>
            <w:shd w:val="clear" w:color="auto" w:fill="auto"/>
          </w:tcPr>
          <w:p w14:paraId="1E63946C" w14:textId="77777777" w:rsidR="00160004" w:rsidRPr="005F7B34" w:rsidRDefault="00160004" w:rsidP="00444AB8">
            <w:pPr>
              <w:rPr>
                <w:rFonts w:ascii="Arial" w:hAnsi="Arial" w:hint="cs"/>
                <w:b/>
                <w:bCs/>
                <w:sz w:val="26"/>
                <w:szCs w:val="26"/>
                <w:rtl/>
              </w:rPr>
            </w:pPr>
          </w:p>
        </w:tc>
        <w:tc>
          <w:tcPr>
            <w:tcW w:w="4126" w:type="dxa"/>
            <w:tcBorders>
              <w:top w:val="nil"/>
              <w:left w:val="nil"/>
              <w:bottom w:val="nil"/>
              <w:right w:val="nil"/>
            </w:tcBorders>
            <w:shd w:val="clear" w:color="auto" w:fill="auto"/>
          </w:tcPr>
          <w:p w14:paraId="6D41A8CE" w14:textId="77777777" w:rsidR="00160004" w:rsidRPr="005F7B34" w:rsidRDefault="00160004" w:rsidP="00444AB8">
            <w:pPr>
              <w:rPr>
                <w:b/>
                <w:bCs/>
                <w:sz w:val="26"/>
                <w:szCs w:val="26"/>
                <w:rtl/>
              </w:rPr>
            </w:pPr>
            <w:r w:rsidRPr="005F7B34">
              <w:rPr>
                <w:rFonts w:ascii="Arial" w:hAnsi="Arial"/>
                <w:b/>
                <w:bCs/>
                <w:sz w:val="26"/>
                <w:szCs w:val="26"/>
                <w:rtl/>
              </w:rPr>
              <w:t>נעים רמדאן (עציר)</w:t>
            </w:r>
            <w:r w:rsidRPr="005F7B34">
              <w:rPr>
                <w:rFonts w:ascii="Arial" w:hAnsi="Arial"/>
                <w:b/>
                <w:bCs/>
                <w:sz w:val="26"/>
                <w:szCs w:val="26"/>
                <w:rtl/>
              </w:rPr>
              <w:br/>
            </w:r>
            <w:r w:rsidRPr="005F7B34">
              <w:rPr>
                <w:rFonts w:hint="cs"/>
                <w:b/>
                <w:bCs/>
                <w:sz w:val="26"/>
                <w:szCs w:val="26"/>
                <w:rtl/>
              </w:rPr>
              <w:t>באמצעות ב"כ עו"ד מוחמד מחמוד</w:t>
            </w:r>
          </w:p>
        </w:tc>
        <w:tc>
          <w:tcPr>
            <w:tcW w:w="3771" w:type="dxa"/>
            <w:tcBorders>
              <w:top w:val="nil"/>
              <w:left w:val="nil"/>
              <w:bottom w:val="nil"/>
              <w:right w:val="nil"/>
            </w:tcBorders>
            <w:shd w:val="clear" w:color="auto" w:fill="auto"/>
          </w:tcPr>
          <w:p w14:paraId="0AF5E22C" w14:textId="77777777" w:rsidR="00160004" w:rsidRPr="005F7B34" w:rsidRDefault="00160004" w:rsidP="00444AB8">
            <w:pPr>
              <w:rPr>
                <w:rFonts w:ascii="Arial" w:hAnsi="Arial"/>
                <w:b/>
                <w:bCs/>
                <w:sz w:val="26"/>
                <w:szCs w:val="26"/>
              </w:rPr>
            </w:pPr>
          </w:p>
        </w:tc>
      </w:tr>
      <w:tr w:rsidR="00160004" w:rsidRPr="005F7B34" w14:paraId="56C4E315" w14:textId="77777777" w:rsidTr="00160004">
        <w:trPr>
          <w:trHeight w:val="355"/>
          <w:jc w:val="center"/>
        </w:trPr>
        <w:tc>
          <w:tcPr>
            <w:tcW w:w="923" w:type="dxa"/>
            <w:tcBorders>
              <w:top w:val="nil"/>
              <w:left w:val="nil"/>
              <w:bottom w:val="nil"/>
              <w:right w:val="nil"/>
            </w:tcBorders>
            <w:shd w:val="clear" w:color="auto" w:fill="auto"/>
          </w:tcPr>
          <w:p w14:paraId="0F143294" w14:textId="77777777" w:rsidR="00160004" w:rsidRPr="005F7B34" w:rsidRDefault="00160004" w:rsidP="00160004">
            <w:pPr>
              <w:jc w:val="both"/>
              <w:rPr>
                <w:rFonts w:ascii="Arial" w:hAnsi="Arial"/>
                <w:b/>
                <w:bCs/>
                <w:sz w:val="26"/>
                <w:szCs w:val="26"/>
                <w:rtl/>
              </w:rPr>
            </w:pPr>
          </w:p>
        </w:tc>
        <w:tc>
          <w:tcPr>
            <w:tcW w:w="4126" w:type="dxa"/>
            <w:tcBorders>
              <w:top w:val="nil"/>
              <w:left w:val="nil"/>
              <w:bottom w:val="nil"/>
              <w:right w:val="nil"/>
            </w:tcBorders>
            <w:shd w:val="clear" w:color="auto" w:fill="auto"/>
          </w:tcPr>
          <w:p w14:paraId="14E50566" w14:textId="77777777" w:rsidR="00160004" w:rsidRPr="005F7B34" w:rsidRDefault="00160004" w:rsidP="00160004">
            <w:pPr>
              <w:jc w:val="both"/>
              <w:rPr>
                <w:b/>
                <w:bCs/>
                <w:sz w:val="26"/>
                <w:szCs w:val="26"/>
                <w:rtl/>
              </w:rPr>
            </w:pPr>
          </w:p>
        </w:tc>
        <w:tc>
          <w:tcPr>
            <w:tcW w:w="3771" w:type="dxa"/>
            <w:tcBorders>
              <w:top w:val="nil"/>
              <w:left w:val="nil"/>
              <w:bottom w:val="nil"/>
              <w:right w:val="nil"/>
            </w:tcBorders>
            <w:shd w:val="clear" w:color="auto" w:fill="auto"/>
          </w:tcPr>
          <w:p w14:paraId="310CE549" w14:textId="77777777" w:rsidR="00160004" w:rsidRPr="005F7B34" w:rsidRDefault="00160004" w:rsidP="00160004">
            <w:pPr>
              <w:jc w:val="right"/>
              <w:rPr>
                <w:rFonts w:ascii="Arial" w:hAnsi="Arial"/>
                <w:b/>
                <w:bCs/>
                <w:sz w:val="26"/>
                <w:szCs w:val="26"/>
              </w:rPr>
            </w:pPr>
            <w:r w:rsidRPr="005F7B34">
              <w:rPr>
                <w:rFonts w:ascii="Arial" w:hAnsi="Arial" w:hint="cs"/>
                <w:b/>
                <w:bCs/>
                <w:sz w:val="26"/>
                <w:szCs w:val="26"/>
                <w:rtl/>
              </w:rPr>
              <w:t>ה</w:t>
            </w:r>
            <w:r w:rsidRPr="005F7B34">
              <w:rPr>
                <w:rFonts w:ascii="Arial" w:hAnsi="Arial"/>
                <w:b/>
                <w:bCs/>
                <w:sz w:val="26"/>
                <w:szCs w:val="26"/>
                <w:rtl/>
              </w:rPr>
              <w:t>נאשם</w:t>
            </w:r>
          </w:p>
        </w:tc>
      </w:tr>
    </w:tbl>
    <w:p w14:paraId="5A4873FE" w14:textId="77777777" w:rsidR="00E93928" w:rsidRDefault="00E93928" w:rsidP="00160004">
      <w:pPr>
        <w:rPr>
          <w:sz w:val="26"/>
          <w:szCs w:val="26"/>
          <w:rtl/>
        </w:rPr>
      </w:pPr>
      <w:bookmarkStart w:id="3" w:name="LawTable"/>
      <w:bookmarkEnd w:id="3"/>
    </w:p>
    <w:p w14:paraId="2896CF89" w14:textId="77777777" w:rsidR="00E93928" w:rsidRPr="00E93928" w:rsidRDefault="00E93928" w:rsidP="00E93928">
      <w:pPr>
        <w:spacing w:after="120" w:line="240" w:lineRule="exact"/>
        <w:ind w:left="283" w:hanging="283"/>
        <w:jc w:val="both"/>
        <w:rPr>
          <w:rFonts w:ascii="FrankRuehl" w:hAnsi="FrankRuehl" w:cs="FrankRuehl"/>
          <w:rtl/>
        </w:rPr>
      </w:pPr>
    </w:p>
    <w:p w14:paraId="3CA482B4" w14:textId="77777777" w:rsidR="00E93928" w:rsidRPr="00E93928" w:rsidRDefault="00E93928" w:rsidP="00E93928">
      <w:pPr>
        <w:spacing w:after="120" w:line="240" w:lineRule="exact"/>
        <w:ind w:left="283" w:hanging="283"/>
        <w:jc w:val="both"/>
        <w:rPr>
          <w:rFonts w:ascii="FrankRuehl" w:hAnsi="FrankRuehl" w:cs="FrankRuehl"/>
          <w:rtl/>
        </w:rPr>
      </w:pPr>
      <w:r w:rsidRPr="00E93928">
        <w:rPr>
          <w:rFonts w:ascii="FrankRuehl" w:hAnsi="FrankRuehl" w:cs="FrankRuehl"/>
          <w:rtl/>
        </w:rPr>
        <w:t xml:space="preserve">חקיקה שאוזכרה: </w:t>
      </w:r>
    </w:p>
    <w:p w14:paraId="0E36F542" w14:textId="77777777" w:rsidR="00E93928" w:rsidRPr="00E93928" w:rsidRDefault="00E93928" w:rsidP="00E93928">
      <w:pPr>
        <w:spacing w:after="120" w:line="240" w:lineRule="exact"/>
        <w:ind w:left="283" w:hanging="283"/>
        <w:jc w:val="both"/>
        <w:rPr>
          <w:rFonts w:ascii="FrankRuehl" w:hAnsi="FrankRuehl" w:cs="FrankRuehl"/>
          <w:rtl/>
        </w:rPr>
      </w:pPr>
      <w:hyperlink r:id="rId7" w:history="1">
        <w:r w:rsidRPr="00E93928">
          <w:rPr>
            <w:rFonts w:ascii="FrankRuehl" w:hAnsi="FrankRuehl" w:cs="FrankRuehl"/>
            <w:color w:val="0000FF"/>
            <w:u w:val="single"/>
            <w:rtl/>
          </w:rPr>
          <w:t>חוק העונשין, תשל"ז-1977</w:t>
        </w:r>
      </w:hyperlink>
      <w:r w:rsidRPr="00E93928">
        <w:rPr>
          <w:rFonts w:ascii="FrankRuehl" w:hAnsi="FrankRuehl" w:cs="FrankRuehl"/>
          <w:rtl/>
        </w:rPr>
        <w:t xml:space="preserve">: סע'  </w:t>
      </w:r>
      <w:hyperlink r:id="rId8" w:history="1">
        <w:r w:rsidRPr="00E93928">
          <w:rPr>
            <w:rFonts w:ascii="FrankRuehl" w:hAnsi="FrankRuehl" w:cs="FrankRuehl"/>
            <w:color w:val="0000FF"/>
            <w:u w:val="single"/>
            <w:rtl/>
          </w:rPr>
          <w:t>40 ט'</w:t>
        </w:r>
      </w:hyperlink>
      <w:r w:rsidRPr="00E93928">
        <w:rPr>
          <w:rFonts w:ascii="FrankRuehl" w:hAnsi="FrankRuehl" w:cs="FrankRuehl"/>
          <w:rtl/>
        </w:rPr>
        <w:t xml:space="preserve">, </w:t>
      </w:r>
      <w:hyperlink r:id="rId9" w:history="1">
        <w:r w:rsidRPr="00E93928">
          <w:rPr>
            <w:rFonts w:ascii="FrankRuehl" w:hAnsi="FrankRuehl" w:cs="FrankRuehl"/>
            <w:color w:val="0000FF"/>
            <w:u w:val="single"/>
            <w:rtl/>
          </w:rPr>
          <w:t>144.א.</w:t>
        </w:r>
      </w:hyperlink>
      <w:r w:rsidRPr="00E93928">
        <w:rPr>
          <w:rFonts w:ascii="FrankRuehl" w:hAnsi="FrankRuehl" w:cs="FrankRuehl"/>
          <w:rtl/>
        </w:rPr>
        <w:t xml:space="preserve">, </w:t>
      </w:r>
      <w:hyperlink r:id="rId10" w:history="1">
        <w:r w:rsidRPr="00E93928">
          <w:rPr>
            <w:rFonts w:ascii="FrankRuehl" w:hAnsi="FrankRuehl" w:cs="FrankRuehl"/>
            <w:color w:val="0000FF"/>
            <w:u w:val="single"/>
            <w:rtl/>
          </w:rPr>
          <w:t>144(ב)</w:t>
        </w:r>
      </w:hyperlink>
      <w:r w:rsidRPr="00E93928">
        <w:rPr>
          <w:rFonts w:ascii="FrankRuehl" w:hAnsi="FrankRuehl" w:cs="FrankRuehl"/>
          <w:rtl/>
        </w:rPr>
        <w:t xml:space="preserve">, </w:t>
      </w:r>
      <w:hyperlink r:id="rId11" w:history="1">
        <w:r w:rsidRPr="00E93928">
          <w:rPr>
            <w:rFonts w:ascii="FrankRuehl" w:hAnsi="FrankRuehl" w:cs="FrankRuehl"/>
            <w:color w:val="0000FF"/>
            <w:u w:val="single"/>
            <w:rtl/>
          </w:rPr>
          <w:t>40 יא'</w:t>
        </w:r>
      </w:hyperlink>
    </w:p>
    <w:p w14:paraId="6D6B8B7D" w14:textId="77777777" w:rsidR="00E93928" w:rsidRPr="00E93928" w:rsidRDefault="00E93928" w:rsidP="00E93928">
      <w:pPr>
        <w:spacing w:after="120" w:line="240" w:lineRule="exact"/>
        <w:ind w:left="283" w:hanging="283"/>
        <w:jc w:val="both"/>
        <w:rPr>
          <w:rFonts w:ascii="FrankRuehl" w:hAnsi="FrankRuehl" w:cs="FrankRuehl"/>
          <w:rtl/>
        </w:rPr>
      </w:pPr>
    </w:p>
    <w:p w14:paraId="51D3222F" w14:textId="77777777" w:rsidR="005F7B34" w:rsidRPr="005F7B34" w:rsidRDefault="005F7B34" w:rsidP="00160004">
      <w:pPr>
        <w:ind w:left="360"/>
        <w:rPr>
          <w:sz w:val="26"/>
          <w:szCs w:val="26"/>
          <w:rtl/>
        </w:rPr>
      </w:pPr>
      <w:bookmarkStart w:id="4" w:name="LawTable_End"/>
      <w:bookmarkEnd w:id="4"/>
    </w:p>
    <w:p w14:paraId="2BD354F2" w14:textId="77777777" w:rsidR="005F7B34" w:rsidRPr="005F7B34" w:rsidRDefault="005F7B34" w:rsidP="00160004">
      <w:pPr>
        <w:ind w:left="360"/>
        <w:rPr>
          <w:b/>
          <w:bCs/>
          <w:sz w:val="26"/>
          <w:szCs w:val="26"/>
          <w:rtl/>
        </w:rPr>
      </w:pPr>
    </w:p>
    <w:p w14:paraId="656E82A8" w14:textId="77777777" w:rsidR="00160004" w:rsidRPr="005F7B34" w:rsidRDefault="00160004" w:rsidP="00160004">
      <w:pPr>
        <w:ind w:left="360"/>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160004" w:rsidRPr="00CD1633" w14:paraId="45122839" w14:textId="77777777" w:rsidTr="00160004">
        <w:trPr>
          <w:trHeight w:val="355"/>
          <w:jc w:val="center"/>
        </w:trPr>
        <w:tc>
          <w:tcPr>
            <w:tcW w:w="8820" w:type="dxa"/>
            <w:gridSpan w:val="2"/>
            <w:tcBorders>
              <w:top w:val="nil"/>
              <w:left w:val="nil"/>
              <w:bottom w:val="nil"/>
              <w:right w:val="nil"/>
            </w:tcBorders>
            <w:shd w:val="clear" w:color="auto" w:fill="auto"/>
          </w:tcPr>
          <w:p w14:paraId="5B975074" w14:textId="77777777" w:rsidR="005F7B34" w:rsidRPr="005F7B34" w:rsidRDefault="005F7B34" w:rsidP="005F7B34">
            <w:pPr>
              <w:jc w:val="center"/>
              <w:rPr>
                <w:rFonts w:ascii="Arial" w:hAnsi="Arial"/>
                <w:b/>
                <w:bCs/>
                <w:sz w:val="32"/>
                <w:szCs w:val="32"/>
                <w:u w:val="single"/>
                <w:rtl/>
              </w:rPr>
            </w:pPr>
            <w:bookmarkStart w:id="5" w:name="PsakDin" w:colFirst="0" w:colLast="0"/>
            <w:bookmarkEnd w:id="0"/>
            <w:bookmarkEnd w:id="1"/>
            <w:r w:rsidRPr="005F7B34">
              <w:rPr>
                <w:rFonts w:ascii="Arial" w:hAnsi="Arial"/>
                <w:b/>
                <w:bCs/>
                <w:sz w:val="32"/>
                <w:szCs w:val="32"/>
                <w:u w:val="single"/>
                <w:rtl/>
              </w:rPr>
              <w:t>גזר דין</w:t>
            </w:r>
          </w:p>
          <w:p w14:paraId="56F661C8" w14:textId="77777777" w:rsidR="00160004" w:rsidRPr="005F7B34" w:rsidRDefault="00160004" w:rsidP="005F7B34">
            <w:pPr>
              <w:jc w:val="center"/>
              <w:rPr>
                <w:rFonts w:ascii="Arial" w:hAnsi="Arial"/>
                <w:b/>
                <w:bCs/>
                <w:sz w:val="32"/>
                <w:szCs w:val="32"/>
                <w:u w:val="single"/>
                <w:rtl/>
              </w:rPr>
            </w:pPr>
          </w:p>
        </w:tc>
      </w:tr>
      <w:bookmarkEnd w:id="5"/>
      <w:tr w:rsidR="00160004" w14:paraId="45AF23FE" w14:textId="77777777" w:rsidTr="00160004">
        <w:trPr>
          <w:trHeight w:val="295"/>
          <w:jc w:val="center"/>
        </w:trPr>
        <w:tc>
          <w:tcPr>
            <w:tcW w:w="923" w:type="dxa"/>
            <w:tcBorders>
              <w:top w:val="nil"/>
              <w:left w:val="nil"/>
              <w:bottom w:val="nil"/>
              <w:right w:val="nil"/>
            </w:tcBorders>
            <w:shd w:val="clear" w:color="auto" w:fill="auto"/>
          </w:tcPr>
          <w:p w14:paraId="649DE221" w14:textId="77777777" w:rsidR="00160004" w:rsidRPr="00160004" w:rsidRDefault="00160004" w:rsidP="00160004">
            <w:pPr>
              <w:jc w:val="both"/>
              <w:rPr>
                <w:rFonts w:ascii="Arial" w:hAnsi="Arial"/>
                <w:b/>
                <w:bCs/>
                <w:sz w:val="26"/>
                <w:szCs w:val="26"/>
                <w:rtl/>
              </w:rPr>
            </w:pPr>
          </w:p>
        </w:tc>
        <w:tc>
          <w:tcPr>
            <w:tcW w:w="7897" w:type="dxa"/>
            <w:tcBorders>
              <w:top w:val="nil"/>
              <w:left w:val="nil"/>
              <w:bottom w:val="nil"/>
              <w:right w:val="nil"/>
            </w:tcBorders>
            <w:shd w:val="clear" w:color="auto" w:fill="auto"/>
          </w:tcPr>
          <w:p w14:paraId="17F8FA83" w14:textId="77777777" w:rsidR="00160004" w:rsidRPr="00160004" w:rsidRDefault="00160004" w:rsidP="00160004">
            <w:pPr>
              <w:jc w:val="both"/>
              <w:rPr>
                <w:rFonts w:ascii="Arial" w:hAnsi="Arial"/>
                <w:b/>
                <w:bCs/>
                <w:sz w:val="26"/>
                <w:szCs w:val="26"/>
                <w:rtl/>
              </w:rPr>
            </w:pPr>
          </w:p>
        </w:tc>
      </w:tr>
    </w:tbl>
    <w:p w14:paraId="6B04AE26" w14:textId="77777777" w:rsidR="00160004" w:rsidRDefault="00160004" w:rsidP="00160004">
      <w:pPr>
        <w:ind w:left="360"/>
        <w:rPr>
          <w:b/>
          <w:bCs/>
          <w:sz w:val="26"/>
          <w:szCs w:val="26"/>
          <w:u w:val="single"/>
          <w:rtl/>
        </w:rPr>
      </w:pPr>
      <w:r>
        <w:rPr>
          <w:rFonts w:hint="cs"/>
          <w:b/>
          <w:bCs/>
          <w:sz w:val="26"/>
          <w:szCs w:val="26"/>
          <w:u w:val="single"/>
          <w:rtl/>
        </w:rPr>
        <w:t>רקע</w:t>
      </w:r>
    </w:p>
    <w:p w14:paraId="2D99D0B5" w14:textId="77777777" w:rsidR="00160004" w:rsidRDefault="00160004" w:rsidP="00160004">
      <w:pPr>
        <w:ind w:left="360"/>
        <w:rPr>
          <w:rtl/>
        </w:rPr>
      </w:pPr>
    </w:p>
    <w:p w14:paraId="00E86E9F" w14:textId="77777777" w:rsidR="00160004" w:rsidRPr="00A51F4A" w:rsidRDefault="00160004" w:rsidP="00160004">
      <w:pPr>
        <w:pStyle w:val="a9"/>
        <w:numPr>
          <w:ilvl w:val="0"/>
          <w:numId w:val="1"/>
        </w:numPr>
        <w:spacing w:line="360" w:lineRule="auto"/>
        <w:jc w:val="both"/>
        <w:rPr>
          <w:sz w:val="12"/>
          <w:szCs w:val="12"/>
        </w:rPr>
      </w:pPr>
      <w:bookmarkStart w:id="6" w:name="ABSTRACT_START"/>
      <w:bookmarkEnd w:id="6"/>
      <w:r>
        <w:rPr>
          <w:rFonts w:hint="cs"/>
          <w:rtl/>
        </w:rPr>
        <w:t xml:space="preserve">הנאשם הורשע, בעקבות הסדר טיעון בכתב אישום מתוקן, בעבירה של נשיאה והובלת נשק וזאת לפי </w:t>
      </w:r>
      <w:hyperlink r:id="rId12" w:history="1">
        <w:r w:rsidR="00E93928" w:rsidRPr="00E93928">
          <w:rPr>
            <w:color w:val="0000FF"/>
            <w:u w:val="single"/>
            <w:rtl/>
          </w:rPr>
          <w:t>סעיף 144(ב)</w:t>
        </w:r>
      </w:hyperlink>
      <w:r>
        <w:rPr>
          <w:rFonts w:hint="cs"/>
          <w:rtl/>
        </w:rPr>
        <w:t xml:space="preserve"> רישא ל</w:t>
      </w:r>
      <w:hyperlink r:id="rId13" w:history="1">
        <w:r w:rsidR="005F7B34" w:rsidRPr="005F7B34">
          <w:rPr>
            <w:color w:val="0000FF"/>
            <w:u w:val="single"/>
            <w:rtl/>
          </w:rPr>
          <w:t>חוק העונשין</w:t>
        </w:r>
      </w:hyperlink>
      <w:r>
        <w:rPr>
          <w:rFonts w:hint="cs"/>
          <w:rtl/>
        </w:rPr>
        <w:t>, התשל"ז-1977 (</w:t>
      </w:r>
      <w:r w:rsidRPr="00A51F4A">
        <w:rPr>
          <w:rFonts w:hint="cs"/>
          <w:b/>
          <w:bCs/>
          <w:rtl/>
        </w:rPr>
        <w:t>להלן: החוק</w:t>
      </w:r>
      <w:r>
        <w:rPr>
          <w:rFonts w:hint="cs"/>
          <w:rtl/>
        </w:rPr>
        <w:t xml:space="preserve">). </w:t>
      </w:r>
    </w:p>
    <w:p w14:paraId="6FE88C72" w14:textId="77777777" w:rsidR="00160004" w:rsidRPr="00A51F4A" w:rsidRDefault="00160004" w:rsidP="00160004">
      <w:pPr>
        <w:pStyle w:val="a9"/>
        <w:spacing w:line="360" w:lineRule="auto"/>
        <w:jc w:val="both"/>
        <w:rPr>
          <w:sz w:val="12"/>
          <w:szCs w:val="12"/>
        </w:rPr>
      </w:pPr>
    </w:p>
    <w:p w14:paraId="4760E494" w14:textId="77777777" w:rsidR="00160004" w:rsidRDefault="00160004" w:rsidP="00160004">
      <w:pPr>
        <w:pStyle w:val="a9"/>
        <w:numPr>
          <w:ilvl w:val="0"/>
          <w:numId w:val="1"/>
        </w:numPr>
        <w:spacing w:line="360" w:lineRule="auto"/>
        <w:jc w:val="both"/>
      </w:pPr>
      <w:r>
        <w:rPr>
          <w:rFonts w:hint="cs"/>
          <w:rtl/>
        </w:rPr>
        <w:t xml:space="preserve">מעובדות כתב האישום המתוקן עולה, כי בתאריך 26.3.18, בשעה 18:15 או בסמוך לכך, נהג הנאשם ברכב אשר היה בשימושו באותה העת מסוג מאזדה 3 מ.ר. 83-234-56 (להלן: "הרכב") וחנה בפתחה של קופת חולים מאוחדת באל תורי 131, ירושלים (להלן: "קופת החולים"). </w:t>
      </w:r>
    </w:p>
    <w:p w14:paraId="6B2DEE2F" w14:textId="77777777" w:rsidR="00160004" w:rsidRPr="00B97088" w:rsidRDefault="00160004" w:rsidP="00160004">
      <w:pPr>
        <w:pStyle w:val="a9"/>
        <w:spacing w:line="360" w:lineRule="auto"/>
        <w:jc w:val="both"/>
        <w:rPr>
          <w:sz w:val="12"/>
          <w:szCs w:val="12"/>
          <w:rtl/>
        </w:rPr>
      </w:pPr>
    </w:p>
    <w:p w14:paraId="5C177AE8" w14:textId="77777777" w:rsidR="00160004" w:rsidRDefault="00160004" w:rsidP="00160004">
      <w:pPr>
        <w:pStyle w:val="a9"/>
        <w:numPr>
          <w:ilvl w:val="0"/>
          <w:numId w:val="1"/>
        </w:numPr>
        <w:spacing w:line="360" w:lineRule="auto"/>
        <w:jc w:val="both"/>
      </w:pPr>
      <w:r>
        <w:rPr>
          <w:rFonts w:hint="cs"/>
          <w:rtl/>
        </w:rPr>
        <w:t xml:space="preserve">באותה העת נשא הנאשם ברכבו תת מקלע מסוג עוזי (להלן: "הנשק"). בהגיעו לקופת  החולים שלף הנאשם את הנשק, החזיקו בידו והציגו בפני מוחמד אללחאם ומוחמד גברין שעבדו במקום, לאחר מכן השיב את הנשק לרכב. </w:t>
      </w:r>
    </w:p>
    <w:p w14:paraId="0BD2FD9C" w14:textId="77777777" w:rsidR="00160004" w:rsidRPr="00B97088" w:rsidRDefault="00160004" w:rsidP="00160004">
      <w:pPr>
        <w:pStyle w:val="a9"/>
        <w:spacing w:line="360" w:lineRule="auto"/>
        <w:jc w:val="both"/>
        <w:rPr>
          <w:sz w:val="12"/>
          <w:szCs w:val="12"/>
          <w:rtl/>
        </w:rPr>
      </w:pPr>
      <w:bookmarkStart w:id="7" w:name="ABSTRACT_END"/>
      <w:bookmarkEnd w:id="7"/>
    </w:p>
    <w:p w14:paraId="38580FA8" w14:textId="77777777" w:rsidR="00160004" w:rsidRDefault="00160004" w:rsidP="00160004">
      <w:pPr>
        <w:pStyle w:val="a9"/>
        <w:numPr>
          <w:ilvl w:val="0"/>
          <w:numId w:val="1"/>
        </w:numPr>
        <w:spacing w:line="360" w:lineRule="auto"/>
        <w:jc w:val="both"/>
      </w:pPr>
      <w:r>
        <w:rPr>
          <w:rFonts w:hint="cs"/>
          <w:rtl/>
        </w:rPr>
        <w:lastRenderedPageBreak/>
        <w:t xml:space="preserve">באותה העת נשא הנאשם ברצפת הרכב, בקרבת מושב הנהג, תיק ובו הנשק, שתי מחסניות בהן 15 כדורים, כת ורצועת נשק, וזאת כאשר הנאשם לא היה בעל רישיון לשאת את הנשק. </w:t>
      </w:r>
    </w:p>
    <w:p w14:paraId="255D6C89" w14:textId="77777777" w:rsidR="00160004" w:rsidRPr="00A51F4A" w:rsidRDefault="00160004" w:rsidP="00160004">
      <w:pPr>
        <w:spacing w:line="360" w:lineRule="auto"/>
        <w:jc w:val="both"/>
        <w:rPr>
          <w:sz w:val="12"/>
          <w:szCs w:val="12"/>
        </w:rPr>
      </w:pPr>
    </w:p>
    <w:p w14:paraId="0C1988B5" w14:textId="77777777" w:rsidR="00160004" w:rsidRDefault="00160004" w:rsidP="00160004">
      <w:pPr>
        <w:pStyle w:val="a9"/>
        <w:numPr>
          <w:ilvl w:val="0"/>
          <w:numId w:val="1"/>
        </w:numPr>
        <w:spacing w:line="360" w:lineRule="auto"/>
        <w:jc w:val="both"/>
      </w:pPr>
      <w:r>
        <w:rPr>
          <w:rFonts w:hint="cs"/>
          <w:rtl/>
        </w:rPr>
        <w:t>במסגרת הסדר הטיעון לא היתה הסכמה לעניין העונש. עם זאת, הוסכם, כי הצדדים יטענו לעונש באופן חופשי, וזאת לאחר קבלת תסקיר שירות מבחן.</w:t>
      </w:r>
    </w:p>
    <w:p w14:paraId="4A9E3F6D" w14:textId="77777777" w:rsidR="00160004" w:rsidRPr="00026315" w:rsidRDefault="00160004" w:rsidP="00160004">
      <w:pPr>
        <w:spacing w:line="360" w:lineRule="auto"/>
        <w:jc w:val="both"/>
      </w:pPr>
    </w:p>
    <w:p w14:paraId="33F410DD" w14:textId="77777777" w:rsidR="00160004" w:rsidRDefault="00160004" w:rsidP="00160004">
      <w:pPr>
        <w:spacing w:line="360" w:lineRule="auto"/>
        <w:ind w:left="360"/>
        <w:jc w:val="both"/>
        <w:rPr>
          <w:b/>
          <w:bCs/>
          <w:sz w:val="26"/>
          <w:szCs w:val="26"/>
          <w:u w:val="single"/>
          <w:rtl/>
        </w:rPr>
      </w:pPr>
      <w:r>
        <w:rPr>
          <w:rFonts w:hint="cs"/>
          <w:b/>
          <w:bCs/>
          <w:sz w:val="26"/>
          <w:szCs w:val="26"/>
          <w:u w:val="single"/>
          <w:rtl/>
        </w:rPr>
        <w:t>תסקיר שירות מבחן</w:t>
      </w:r>
    </w:p>
    <w:p w14:paraId="3537C713" w14:textId="77777777" w:rsidR="00160004" w:rsidRDefault="00160004" w:rsidP="00160004">
      <w:pPr>
        <w:pStyle w:val="a9"/>
        <w:numPr>
          <w:ilvl w:val="0"/>
          <w:numId w:val="1"/>
        </w:numPr>
        <w:spacing w:line="360" w:lineRule="auto"/>
        <w:jc w:val="both"/>
      </w:pPr>
      <w:r>
        <w:rPr>
          <w:rFonts w:hint="cs"/>
          <w:rtl/>
        </w:rPr>
        <w:t xml:space="preserve">מתסקיר שירות המבחן מיום 4.9.18 עולה, כי הנאשם בן 25, רווק אשר השלים 12 שנות לימוד ללא תעודת בגרות. לדבריו לא השלים את הלימודים לבגרות, בשל מעצרו בעבירות אלימות וביטחון באותה העת, שבגינן נדון לשני עונשי מאסר בפועל. טרם מעצרו התגורר הנאשם עם הוריו ועבד עם אביו בתחום האינסטלציה, על מנת לסייע בפרנסת המשפחה. בד בבד עבר קורס מקצועי בתחום זה, וכן עבד כעוזר נהג בחברת "אנגל". משפחת המוצא מונה זוג הורים ו-6 ילדים. הנאשם הוא הבן הבכור. אביו עבד בתחום האינסטלציה, כאמור, אולם בעקבות מחלת הסוכרת הוא אינו עובד כיום. אמו עקרת בית. </w:t>
      </w:r>
    </w:p>
    <w:p w14:paraId="37DD071C" w14:textId="77777777" w:rsidR="00160004" w:rsidRPr="00026315" w:rsidRDefault="00160004" w:rsidP="00160004">
      <w:pPr>
        <w:pStyle w:val="a9"/>
        <w:spacing w:line="360" w:lineRule="auto"/>
        <w:jc w:val="both"/>
        <w:rPr>
          <w:sz w:val="12"/>
          <w:szCs w:val="12"/>
        </w:rPr>
      </w:pPr>
    </w:p>
    <w:p w14:paraId="35668388" w14:textId="77777777" w:rsidR="00160004" w:rsidRDefault="00160004" w:rsidP="00160004">
      <w:pPr>
        <w:pStyle w:val="a9"/>
        <w:numPr>
          <w:ilvl w:val="0"/>
          <w:numId w:val="1"/>
        </w:numPr>
        <w:spacing w:line="360" w:lineRule="auto"/>
        <w:jc w:val="both"/>
        <w:rPr>
          <w:rtl/>
        </w:rPr>
      </w:pPr>
      <w:r>
        <w:rPr>
          <w:rFonts w:hint="cs"/>
          <w:rtl/>
        </w:rPr>
        <w:t xml:space="preserve">עוד עולה מהתסקיר, כי מדובר במשפחה נורמטיבית, אחיו אינם מעורבים בפלילים ומגלים תפקוד נורמטיבי בהתאם לגילם. כמו כן פורט בתסקיר מצבם הבריאותי של שלושה מאחיו של הנאשם, אך מפאת צנעת הפרט לא ארחיב בעניין זה. בנוסף, עולה מהתסקיר, כי בשל מצבם הרפואי של אחיו ועיסוקם בפרנסת המשפחה ובגידול הילדים, התקשו הוריו של הנאשם להיות פנויים לצרכיו הרגשיים, ולהוות דמויות סמכותיות מציבות גבול. בעניין זה, התייחסה קצינת המבחן ליחסים בין הנאשם לאביו ולהתרשמותה מהם כמפורט בפסקה 3 עמוד 2 בתסקיר. </w:t>
      </w:r>
    </w:p>
    <w:p w14:paraId="38D0C163" w14:textId="77777777" w:rsidR="00160004" w:rsidRDefault="00160004" w:rsidP="00160004">
      <w:pPr>
        <w:spacing w:line="360" w:lineRule="auto"/>
        <w:jc w:val="both"/>
        <w:rPr>
          <w:sz w:val="12"/>
          <w:szCs w:val="12"/>
        </w:rPr>
      </w:pPr>
    </w:p>
    <w:p w14:paraId="3B97C9A8" w14:textId="77777777" w:rsidR="00160004" w:rsidRDefault="00160004" w:rsidP="00160004">
      <w:pPr>
        <w:pStyle w:val="a9"/>
        <w:numPr>
          <w:ilvl w:val="0"/>
          <w:numId w:val="1"/>
        </w:numPr>
        <w:spacing w:line="360" w:lineRule="auto"/>
        <w:jc w:val="both"/>
      </w:pPr>
      <w:r>
        <w:rPr>
          <w:rFonts w:hint="cs"/>
          <w:rtl/>
        </w:rPr>
        <w:t xml:space="preserve">אשר לביצוע העבירה, הנאשם מצמצם את משמעותה. הנאשם מסר שרכש את הנשק מתוך תחושת סקרנות וביום האירוע היה בדרכו לזרוק את הנשק, בשל תחושת חרטה שחש. בדרכו פגש את מוחמד אללחאם ומוחמד ג'בארין והציג לפניהם את הנשק כבדיחה. הנאשם שלל כוונה לעשות שימוש בנשק, וטען שלא הייתה לו כוונה לאיים בעזרתו. הנאשם אף שלל, כי החזיק בנשק על רקע סכסוך. לנוכח התייחסותו של הנאשם, התקשתה קצינת המבחן להבין לעומק את המניע להתנהגותו. עם זאת, קצינת המבחן התרשמה מאדם בעל דפוסי התנהגות אלימים, אשר ברקע לעבירה רצון לייצר תחושת שליטה וכוחניות. עוד התרשמה קצינת המבחן, כי הנאשם התקשה להבין לעומק את משמעות  מעשיו ואת השלכותיהם. </w:t>
      </w:r>
    </w:p>
    <w:p w14:paraId="492011F0" w14:textId="77777777" w:rsidR="00160004" w:rsidRPr="007C7CBE" w:rsidRDefault="00160004" w:rsidP="00160004">
      <w:pPr>
        <w:pStyle w:val="a9"/>
        <w:spacing w:line="360" w:lineRule="auto"/>
        <w:jc w:val="both"/>
        <w:rPr>
          <w:sz w:val="12"/>
          <w:szCs w:val="12"/>
        </w:rPr>
      </w:pPr>
    </w:p>
    <w:p w14:paraId="6E5D1135" w14:textId="77777777" w:rsidR="00160004" w:rsidRDefault="00160004" w:rsidP="00160004">
      <w:pPr>
        <w:pStyle w:val="a9"/>
        <w:numPr>
          <w:ilvl w:val="0"/>
          <w:numId w:val="1"/>
        </w:numPr>
        <w:spacing w:line="360" w:lineRule="auto"/>
        <w:jc w:val="both"/>
      </w:pPr>
      <w:r>
        <w:rPr>
          <w:rFonts w:hint="cs"/>
          <w:rtl/>
        </w:rPr>
        <w:t xml:space="preserve">אשר למעצרו, קצינת המבחן לא התרשמה ממצוקה עמוקה ביחס לשהייתו במקום. היא מסרה שהנאשם סיפר לה, כי שולב בשתי קבוצות טיפוליות ועושה קורס ללימודי עברית, אך היא טרם קיבלה דיווח מגורמי הטיפול בשב"ס. הנאשם שלל אפשרות להשתלב בהליך </w:t>
      </w:r>
      <w:r>
        <w:rPr>
          <w:rFonts w:hint="cs"/>
          <w:rtl/>
        </w:rPr>
        <w:lastRenderedPageBreak/>
        <w:t xml:space="preserve">טיפול של שירות המבחן, כאשר לדבריו הוא משולב, כאמור, בקבוצות טיפוליות במסגרת שב"ס. </w:t>
      </w:r>
    </w:p>
    <w:p w14:paraId="036A031D" w14:textId="77777777" w:rsidR="00160004" w:rsidRPr="00A33813" w:rsidRDefault="00160004" w:rsidP="00160004">
      <w:pPr>
        <w:pStyle w:val="a9"/>
        <w:spacing w:line="360" w:lineRule="auto"/>
        <w:jc w:val="both"/>
        <w:rPr>
          <w:sz w:val="12"/>
          <w:szCs w:val="12"/>
        </w:rPr>
      </w:pPr>
    </w:p>
    <w:p w14:paraId="15060F88" w14:textId="77777777" w:rsidR="00160004" w:rsidRDefault="00160004" w:rsidP="00160004">
      <w:pPr>
        <w:pStyle w:val="a9"/>
        <w:numPr>
          <w:ilvl w:val="0"/>
          <w:numId w:val="1"/>
        </w:numPr>
        <w:spacing w:line="360" w:lineRule="auto"/>
        <w:jc w:val="both"/>
      </w:pPr>
      <w:r>
        <w:rPr>
          <w:rFonts w:hint="cs"/>
          <w:rtl/>
        </w:rPr>
        <w:t xml:space="preserve">קצינת המבחן התייחסה להרשעותיו הקודמות של הנאשם ומסרה, כי במסגרתם הופנה הנאשם לשירות המבחן לנוער. במסגרת הקשר עם שירות המבחן לנוער השתתף הנאשם בקבוצה במסגרת פיקוח מעצר בשיתוף עם מטפל באמנות מטעם עמותת "משעולים". הנאשם הקפיד להגיע למפגשים וגילה מוטיבציה ויציבות. עוד עולה מהדיווח של שירות המבחן לנוער, כי עלתה התרשמות מנער המעוניין בניהול אורח חיים נורמטיבי ובהצלחה בלימודים. </w:t>
      </w:r>
    </w:p>
    <w:p w14:paraId="248E9D63" w14:textId="77777777" w:rsidR="00160004" w:rsidRDefault="00160004" w:rsidP="00160004">
      <w:pPr>
        <w:pStyle w:val="a9"/>
        <w:spacing w:line="360" w:lineRule="auto"/>
        <w:jc w:val="both"/>
        <w:rPr>
          <w:sz w:val="12"/>
          <w:szCs w:val="12"/>
        </w:rPr>
      </w:pPr>
    </w:p>
    <w:p w14:paraId="0E38B5A9" w14:textId="77777777" w:rsidR="00160004" w:rsidRDefault="00160004" w:rsidP="00160004">
      <w:pPr>
        <w:pStyle w:val="a9"/>
        <w:numPr>
          <w:ilvl w:val="0"/>
          <w:numId w:val="1"/>
        </w:numPr>
        <w:spacing w:line="360" w:lineRule="auto"/>
        <w:ind w:left="360"/>
        <w:jc w:val="both"/>
        <w:rPr>
          <w:b/>
          <w:bCs/>
          <w:sz w:val="26"/>
          <w:szCs w:val="26"/>
          <w:u w:val="single"/>
        </w:rPr>
      </w:pPr>
      <w:r>
        <w:rPr>
          <w:rFonts w:hint="cs"/>
          <w:rtl/>
        </w:rPr>
        <w:t xml:space="preserve">בסופו של יום, קצינת המבחן לא ראתה מקום להמליץ על אפיק שיקומי בעניינו של הנאשם, וסברה כי יש מקום לנקוט בענישה הרתעתית ומוחשית בדמות מאסר בפועל, שתבהיר לנאשם את חומרת מעשיו. כמו כן, המליצה על הטלת עונש של מאסר על תנאי. </w:t>
      </w:r>
    </w:p>
    <w:p w14:paraId="309DCDF1" w14:textId="77777777" w:rsidR="00160004" w:rsidRDefault="00160004" w:rsidP="00160004">
      <w:pPr>
        <w:pStyle w:val="a9"/>
        <w:spacing w:line="360" w:lineRule="auto"/>
        <w:ind w:left="360"/>
        <w:jc w:val="both"/>
        <w:rPr>
          <w:b/>
          <w:bCs/>
          <w:sz w:val="26"/>
          <w:szCs w:val="26"/>
          <w:u w:val="single"/>
          <w:rtl/>
        </w:rPr>
      </w:pPr>
    </w:p>
    <w:p w14:paraId="30F25D36" w14:textId="77777777" w:rsidR="00160004" w:rsidRDefault="00160004" w:rsidP="00160004">
      <w:pPr>
        <w:spacing w:line="360" w:lineRule="auto"/>
        <w:jc w:val="both"/>
        <w:rPr>
          <w:b/>
          <w:bCs/>
          <w:sz w:val="26"/>
          <w:szCs w:val="26"/>
          <w:u w:val="single"/>
        </w:rPr>
      </w:pPr>
      <w:r>
        <w:rPr>
          <w:rFonts w:hint="cs"/>
          <w:b/>
          <w:bCs/>
          <w:sz w:val="26"/>
          <w:szCs w:val="26"/>
          <w:u w:val="single"/>
          <w:rtl/>
        </w:rPr>
        <w:t>טיעוני הצדדים לעונש</w:t>
      </w:r>
    </w:p>
    <w:p w14:paraId="5CEE9F1B" w14:textId="77777777" w:rsidR="00160004" w:rsidRDefault="00160004" w:rsidP="00160004">
      <w:pPr>
        <w:pStyle w:val="a9"/>
        <w:numPr>
          <w:ilvl w:val="0"/>
          <w:numId w:val="1"/>
        </w:numPr>
        <w:spacing w:line="360" w:lineRule="auto"/>
        <w:ind w:left="360"/>
        <w:jc w:val="both"/>
      </w:pPr>
      <w:r>
        <w:rPr>
          <w:rFonts w:hint="cs"/>
          <w:rtl/>
        </w:rPr>
        <w:t>ב"כ המאשימה הדגיש בטיעוניו את חומרת עבירות הנשק וציין, כי מדובר בתת מקלע ארוך ותקני, כך שפוטנציאל הנזק הצפוי ממנו הוא גבוה</w:t>
      </w:r>
      <w:r>
        <w:rPr>
          <w:rFonts w:hint="cs"/>
        </w:rPr>
        <w:t xml:space="preserve"> </w:t>
      </w:r>
      <w:r>
        <w:rPr>
          <w:rFonts w:hint="cs"/>
          <w:rtl/>
        </w:rPr>
        <w:t>ועשוי להיות קטלני, מה גם שהנאשם הצטייד בתחמושת מתאימה שהייתה זמינה ברכבו. הנאשם הוביל ונשא את הנשק ברכבו והגדיל לעשות כאשר הציג אותו לפני אנשים בסמוך לקופת החולים. לטענת ב"כ המאשימה מעשיו מלמדים על תעוזה. ב"כ המאשימה ביקש מבית המשפט להתעלם מהעובדות</w:t>
      </w:r>
      <w:r w:rsidRPr="005434F9">
        <w:rPr>
          <w:rFonts w:hint="cs"/>
          <w:rtl/>
        </w:rPr>
        <w:t xml:space="preserve"> </w:t>
      </w:r>
      <w:r>
        <w:rPr>
          <w:rFonts w:hint="cs"/>
          <w:rtl/>
        </w:rPr>
        <w:t>החורגות מעובדות כתב האישום המפורטות בתסקיר שירות המבחן, שלדברי הנאשם הובילו אותו לביצוע העבירה.</w:t>
      </w:r>
    </w:p>
    <w:p w14:paraId="495ABB61" w14:textId="77777777" w:rsidR="00160004" w:rsidRPr="00F85DA2" w:rsidRDefault="00160004" w:rsidP="00160004">
      <w:pPr>
        <w:pStyle w:val="a9"/>
        <w:spacing w:line="360" w:lineRule="auto"/>
        <w:ind w:left="360"/>
        <w:jc w:val="both"/>
        <w:rPr>
          <w:sz w:val="12"/>
          <w:szCs w:val="12"/>
        </w:rPr>
      </w:pPr>
    </w:p>
    <w:p w14:paraId="38D359A5" w14:textId="77777777" w:rsidR="00160004" w:rsidRDefault="00160004" w:rsidP="00160004">
      <w:pPr>
        <w:pStyle w:val="a9"/>
        <w:numPr>
          <w:ilvl w:val="0"/>
          <w:numId w:val="1"/>
        </w:numPr>
        <w:spacing w:line="360" w:lineRule="auto"/>
        <w:ind w:left="360"/>
        <w:jc w:val="both"/>
      </w:pPr>
      <w:r>
        <w:rPr>
          <w:rFonts w:hint="cs"/>
          <w:rtl/>
        </w:rPr>
        <w:t xml:space="preserve">ב"כ המאשימה טען שהערכים המוגנים אשר נפגעו כתוצאה ממעשיו של הנאשם, הם הגנה על שלמות הגוף והגנה על בטחון הציבור. עוד טען שקיים פוטנציאל פגיעה בנפש משימוש בנשק, שאין לדעת לאן יתגלגל, כפי שהמציאות מלמדת על פגיעות יום יומיות כתוצאה משימוש בנשק. ב"כ המאשימה הפנה לפסיקה בתמיכה לטענותיו. ב"כ המאשימה עתר לקביעת מתחם עונש הולם הנע בין מאסר של שלוש שנים ועד לחמש שנות מאסר בצירוף עונשים נלווים. </w:t>
      </w:r>
    </w:p>
    <w:p w14:paraId="1F22EDE1" w14:textId="77777777" w:rsidR="00160004" w:rsidRDefault="00160004" w:rsidP="00160004">
      <w:pPr>
        <w:pStyle w:val="a9"/>
        <w:spacing w:line="360" w:lineRule="auto"/>
        <w:jc w:val="both"/>
        <w:rPr>
          <w:sz w:val="12"/>
          <w:szCs w:val="12"/>
        </w:rPr>
      </w:pPr>
    </w:p>
    <w:p w14:paraId="1A0C8989" w14:textId="77777777" w:rsidR="00160004" w:rsidRDefault="00160004" w:rsidP="00160004">
      <w:pPr>
        <w:pStyle w:val="a9"/>
        <w:numPr>
          <w:ilvl w:val="0"/>
          <w:numId w:val="1"/>
        </w:numPr>
        <w:spacing w:line="360" w:lineRule="auto"/>
        <w:ind w:left="360"/>
        <w:jc w:val="both"/>
        <w:rPr>
          <w:sz w:val="12"/>
          <w:szCs w:val="12"/>
        </w:rPr>
      </w:pPr>
      <w:r>
        <w:rPr>
          <w:rFonts w:hint="cs"/>
          <w:rtl/>
        </w:rPr>
        <w:t xml:space="preserve">אשר לעונש המתאים, טען ב"כ המאשימה, כי מחד גיסא הנאשם הודה, לקח אחריות למעשיו, חסך זמן שיפוטי. מאידך גיסא, על אף גילו הצעיר צבר הנאשם 2 הרשעות קודמות וריצה שני עונשי מאסר ממש בשל עבירות אלימות ועבירות ביטחוניות. שירות המבחן התרשם שמדובר באדם עם דפוסי אלימות המתקשה להבין לעומק את משמעות מעשיו ואת השלכותיהם. שירות המבחן לא בא בהמלצה טיפולית בעניינו, אלא המליץ על הטלת מאסר. בנסיבות אלה סבר ב"כ המאשימה, כי יש למקם את הנאשם בחלק התחתון של המתחם אך לא בתחתיתו וביקש להטיל עליו עונש של 3.5 שנות מאסר, מאסר על תנאי וקנס משמעותי, וכן להשמיד או לחלט את הנשק. ב"כ המאשימה הגיש פסיקה לתמיכה בטענותיו.  </w:t>
      </w:r>
    </w:p>
    <w:p w14:paraId="6E051A78" w14:textId="77777777" w:rsidR="00160004" w:rsidRPr="005434F9" w:rsidRDefault="00160004" w:rsidP="00160004">
      <w:pPr>
        <w:pStyle w:val="a9"/>
        <w:spacing w:line="360" w:lineRule="auto"/>
        <w:ind w:left="360"/>
        <w:jc w:val="both"/>
        <w:rPr>
          <w:sz w:val="12"/>
          <w:szCs w:val="12"/>
        </w:rPr>
      </w:pPr>
    </w:p>
    <w:p w14:paraId="54D5554B" w14:textId="77777777" w:rsidR="00160004" w:rsidRDefault="00160004" w:rsidP="00160004">
      <w:pPr>
        <w:pStyle w:val="a9"/>
        <w:numPr>
          <w:ilvl w:val="0"/>
          <w:numId w:val="1"/>
        </w:numPr>
        <w:spacing w:line="360" w:lineRule="auto"/>
        <w:ind w:left="360"/>
        <w:jc w:val="both"/>
      </w:pPr>
      <w:r>
        <w:rPr>
          <w:rFonts w:hint="cs"/>
          <w:rtl/>
        </w:rPr>
        <w:t xml:space="preserve">מנגד, טען ב"כ הנאשם שהפסיקה אליה התייחס ב"כ המאשימה הייתה במקרים חמורים יותר, של אנשים עם עבר פלילי משמעותי או שדובר בעבירות של סחר, או במי שניהל את התיק ונשמעו ראיות. על כן, מתחם העונש שהתבקש על ידי המאשימה הוא לדידו מופרז ואינו נתמך בפסיקה. אשר לנסיבות ביצוע העבירה, ציין ב"כ הנאשם שלא נעשה שימוש בנשק, לא נעברו עבירות נלוות, והעבירה אינה במדרג חומרה גבוה. על כן סבר, כי מתחם העונש ההולם נע בין 10 חודשי מאסר ועד ל-18 חודשי מאסר, וביקש שיוטל עונש בתחתית המתחם, קרי, 10 חודשי מאסר. </w:t>
      </w:r>
    </w:p>
    <w:p w14:paraId="17360713" w14:textId="77777777" w:rsidR="00160004" w:rsidRPr="00F85DA2" w:rsidRDefault="00160004" w:rsidP="00160004">
      <w:pPr>
        <w:pStyle w:val="a9"/>
        <w:spacing w:line="360" w:lineRule="auto"/>
        <w:ind w:left="360"/>
        <w:jc w:val="both"/>
        <w:rPr>
          <w:sz w:val="12"/>
          <w:szCs w:val="12"/>
        </w:rPr>
      </w:pPr>
    </w:p>
    <w:p w14:paraId="0EBA1BCD" w14:textId="77777777" w:rsidR="00160004" w:rsidRDefault="00160004" w:rsidP="00160004">
      <w:pPr>
        <w:pStyle w:val="a9"/>
        <w:numPr>
          <w:ilvl w:val="0"/>
          <w:numId w:val="1"/>
        </w:numPr>
        <w:spacing w:line="360" w:lineRule="auto"/>
        <w:jc w:val="both"/>
      </w:pPr>
      <w:r>
        <w:rPr>
          <w:rFonts w:hint="cs"/>
          <w:rtl/>
        </w:rPr>
        <w:t xml:space="preserve">אשר לעברו הפלילי של הנאשם </w:t>
      </w:r>
      <w:r>
        <w:rPr>
          <w:rtl/>
        </w:rPr>
        <w:t>–</w:t>
      </w:r>
      <w:r>
        <w:rPr>
          <w:rFonts w:hint="cs"/>
          <w:rtl/>
        </w:rPr>
        <w:t xml:space="preserve"> הדגיש בא כוחו שמדובר בעבירות שבוצעו לפני 7 שנים עת היה הנאשם נער, ואין לתת משקל רב להרשעות אלה. עוד הוסיף ב"כ הנאשם, כי הוא הודה במעשיו בהזדמנות ראשונה וחסך זמן שיפוטי יקר.</w:t>
      </w:r>
    </w:p>
    <w:p w14:paraId="14C94E48" w14:textId="77777777" w:rsidR="00160004" w:rsidRPr="00F85DA2" w:rsidRDefault="00160004" w:rsidP="00160004">
      <w:pPr>
        <w:pStyle w:val="a9"/>
        <w:spacing w:line="360" w:lineRule="auto"/>
        <w:jc w:val="both"/>
        <w:rPr>
          <w:sz w:val="12"/>
          <w:szCs w:val="12"/>
        </w:rPr>
      </w:pPr>
    </w:p>
    <w:p w14:paraId="09CCEC96" w14:textId="77777777" w:rsidR="00160004" w:rsidRDefault="00160004" w:rsidP="00160004">
      <w:pPr>
        <w:pStyle w:val="a9"/>
        <w:numPr>
          <w:ilvl w:val="0"/>
          <w:numId w:val="1"/>
        </w:numPr>
        <w:spacing w:line="360" w:lineRule="auto"/>
        <w:jc w:val="both"/>
      </w:pPr>
      <w:r>
        <w:rPr>
          <w:rFonts w:hint="cs"/>
          <w:rtl/>
        </w:rPr>
        <w:t xml:space="preserve">הנאשם בדברו האחרון לא ביקש להוסיף על דברי בא כוחו. </w:t>
      </w:r>
    </w:p>
    <w:p w14:paraId="159CF476" w14:textId="77777777" w:rsidR="00160004" w:rsidRDefault="00160004" w:rsidP="00160004">
      <w:pPr>
        <w:pStyle w:val="a9"/>
        <w:spacing w:line="360" w:lineRule="auto"/>
        <w:jc w:val="both"/>
      </w:pPr>
    </w:p>
    <w:p w14:paraId="415B0EA9" w14:textId="77777777" w:rsidR="00160004" w:rsidRDefault="00160004" w:rsidP="00160004">
      <w:pPr>
        <w:spacing w:line="360" w:lineRule="auto"/>
        <w:ind w:firstLine="360"/>
        <w:jc w:val="both"/>
        <w:rPr>
          <w:b/>
          <w:bCs/>
          <w:u w:val="single"/>
        </w:rPr>
      </w:pPr>
      <w:r>
        <w:rPr>
          <w:rFonts w:hint="cs"/>
          <w:b/>
          <w:bCs/>
          <w:u w:val="single"/>
          <w:rtl/>
        </w:rPr>
        <w:t>מתחם העונש ההולם</w:t>
      </w:r>
    </w:p>
    <w:p w14:paraId="5D4E4149" w14:textId="77777777" w:rsidR="00160004" w:rsidRDefault="00160004" w:rsidP="00160004">
      <w:pPr>
        <w:pStyle w:val="a9"/>
        <w:numPr>
          <w:ilvl w:val="0"/>
          <w:numId w:val="1"/>
        </w:numPr>
        <w:spacing w:line="360" w:lineRule="auto"/>
        <w:jc w:val="both"/>
        <w:rPr>
          <w:rFonts w:ascii="David" w:hAnsi="David"/>
        </w:rPr>
      </w:pPr>
      <w:r w:rsidRPr="002E581F">
        <w:rPr>
          <w:rFonts w:ascii="Arial" w:hAnsi="Arial" w:hint="cs"/>
          <w:rtl/>
        </w:rPr>
        <w:t>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w:t>
      </w:r>
      <w:r>
        <w:rPr>
          <w:rFonts w:ascii="David" w:hAnsi="David" w:hint="cs"/>
          <w:rtl/>
        </w:rPr>
        <w:t xml:space="preserve"> המחוקק ראה את עבירת נשיאת הנשק כעבירה חמורה, שהעונש הקבוע לצידה הוא עד 10 שנות מאסר.</w:t>
      </w:r>
    </w:p>
    <w:p w14:paraId="1E2B69D5" w14:textId="77777777" w:rsidR="00160004" w:rsidRPr="00DF1872" w:rsidRDefault="00160004" w:rsidP="00160004">
      <w:pPr>
        <w:pStyle w:val="a9"/>
        <w:spacing w:line="360" w:lineRule="auto"/>
        <w:jc w:val="both"/>
        <w:rPr>
          <w:rFonts w:ascii="David" w:hAnsi="David"/>
          <w:sz w:val="12"/>
          <w:szCs w:val="12"/>
        </w:rPr>
      </w:pPr>
    </w:p>
    <w:p w14:paraId="0287E1D4" w14:textId="77777777" w:rsidR="00160004" w:rsidRPr="0087197C" w:rsidRDefault="00160004" w:rsidP="00160004">
      <w:pPr>
        <w:pStyle w:val="a9"/>
        <w:numPr>
          <w:ilvl w:val="0"/>
          <w:numId w:val="1"/>
        </w:numPr>
        <w:spacing w:line="360" w:lineRule="auto"/>
        <w:jc w:val="both"/>
        <w:rPr>
          <w:rFonts w:ascii="David" w:hAnsi="David"/>
          <w:b/>
          <w:bCs/>
        </w:rPr>
      </w:pPr>
      <w:r w:rsidRPr="002E581F">
        <w:rPr>
          <w:rFonts w:ascii="Arial" w:hAnsi="Arial" w:hint="cs"/>
          <w:rtl/>
        </w:rPr>
        <w:t xml:space="preserve"> בית המשפט העליון חזר פעם אחר פעם על החומרה הגלומה בעבירות נשק ועל פוטנציאל הפגיעה בנפש וברכוש שעלולים להיגרם כתוצאה מהשימוש בו</w:t>
      </w:r>
      <w:r>
        <w:rPr>
          <w:rFonts w:ascii="Arial" w:hAnsi="Arial" w:hint="cs"/>
          <w:rtl/>
        </w:rPr>
        <w:t>, ומכאן הצורך להחמיר עם מי שמבצעים עבירות אלה</w:t>
      </w:r>
      <w:r w:rsidRPr="002E581F">
        <w:rPr>
          <w:rFonts w:ascii="Arial" w:hAnsi="Arial" w:hint="cs"/>
          <w:rtl/>
        </w:rPr>
        <w:t>.</w:t>
      </w:r>
      <w:r>
        <w:rPr>
          <w:rFonts w:ascii="Arial" w:hAnsi="Arial" w:hint="cs"/>
          <w:rtl/>
        </w:rPr>
        <w:t xml:space="preserve"> יפים הדברים שנאמרו לאחרונה ב</w:t>
      </w:r>
      <w:hyperlink r:id="rId14" w:history="1">
        <w:r w:rsidR="005F7B34" w:rsidRPr="005F7B34">
          <w:rPr>
            <w:color w:val="0000FF"/>
            <w:u w:val="single"/>
            <w:rtl/>
          </w:rPr>
          <w:t>ע"פ 8045/17</w:t>
        </w:r>
      </w:hyperlink>
      <w:r w:rsidRPr="00DF1872">
        <w:rPr>
          <w:rFonts w:hint="cs"/>
          <w:rtl/>
        </w:rPr>
        <w:t xml:space="preserve"> </w:t>
      </w:r>
      <w:r w:rsidRPr="00DF1872">
        <w:rPr>
          <w:rFonts w:hint="cs"/>
          <w:b/>
          <w:bCs/>
          <w:rtl/>
        </w:rPr>
        <w:t>בראנסי ואח' נ' מדינת ישראל</w:t>
      </w:r>
      <w:r w:rsidRPr="00DF1872">
        <w:rPr>
          <w:rFonts w:hint="cs"/>
          <w:rtl/>
        </w:rPr>
        <w:t xml:space="preserve"> (16.8.18)</w:t>
      </w:r>
      <w:r>
        <w:rPr>
          <w:rFonts w:hint="cs"/>
          <w:rtl/>
        </w:rPr>
        <w:t xml:space="preserve">, מפי </w:t>
      </w:r>
      <w:r w:rsidRPr="00DF1872">
        <w:rPr>
          <w:rFonts w:hint="cs"/>
          <w:rtl/>
        </w:rPr>
        <w:t xml:space="preserve"> כב' השופט </w:t>
      </w:r>
      <w:r>
        <w:rPr>
          <w:rFonts w:hint="cs"/>
          <w:rtl/>
        </w:rPr>
        <w:t xml:space="preserve">ד' </w:t>
      </w:r>
      <w:r w:rsidRPr="00DF1872">
        <w:rPr>
          <w:rFonts w:hint="cs"/>
          <w:rtl/>
        </w:rPr>
        <w:t xml:space="preserve">מינץ </w:t>
      </w:r>
      <w:r>
        <w:rPr>
          <w:rFonts w:hint="cs"/>
          <w:rtl/>
        </w:rPr>
        <w:t>בעניין עבירות של סחר בנשק, מהם ניתן ללמוד לעניינינו</w:t>
      </w:r>
      <w:r>
        <w:rPr>
          <w:rFonts w:ascii="David" w:hAnsi="David" w:hint="cs"/>
          <w:rtl/>
        </w:rPr>
        <w:t>:</w:t>
      </w:r>
    </w:p>
    <w:p w14:paraId="31EF4680" w14:textId="77777777" w:rsidR="00160004" w:rsidRPr="0032115D" w:rsidRDefault="00160004" w:rsidP="00160004">
      <w:pPr>
        <w:pStyle w:val="a9"/>
        <w:spacing w:line="360" w:lineRule="auto"/>
        <w:jc w:val="both"/>
        <w:rPr>
          <w:rFonts w:ascii="David" w:hAnsi="David"/>
          <w:sz w:val="12"/>
          <w:szCs w:val="12"/>
          <w:rtl/>
        </w:rPr>
      </w:pPr>
    </w:p>
    <w:p w14:paraId="43707717" w14:textId="77777777" w:rsidR="00160004" w:rsidRPr="0032115D" w:rsidRDefault="00160004" w:rsidP="00160004">
      <w:pPr>
        <w:pStyle w:val="a9"/>
        <w:spacing w:line="360" w:lineRule="auto"/>
        <w:ind w:left="1134" w:right="567"/>
        <w:jc w:val="both"/>
        <w:rPr>
          <w:rFonts w:ascii="David" w:hAnsi="David"/>
          <w:b/>
          <w:bCs/>
          <w:rtl/>
        </w:rPr>
      </w:pPr>
      <w:r w:rsidRPr="0032115D">
        <w:rPr>
          <w:rFonts w:ascii="David" w:hAnsi="David" w:hint="cs"/>
          <w:b/>
          <w:bCs/>
          <w:rtl/>
        </w:rPr>
        <w:t>"</w:t>
      </w:r>
      <w:r w:rsidRPr="0032115D">
        <w:rPr>
          <w:rFonts w:hint="eastAsia"/>
          <w:b/>
          <w:bCs/>
          <w:rtl/>
        </w:rPr>
        <w:t>פעילות</w:t>
      </w:r>
      <w:r w:rsidRPr="0032115D">
        <w:rPr>
          <w:b/>
          <w:bCs/>
          <w:rtl/>
        </w:rPr>
        <w:t xml:space="preserve"> </w:t>
      </w:r>
      <w:r w:rsidRPr="0032115D">
        <w:rPr>
          <w:rFonts w:hint="eastAsia"/>
          <w:b/>
          <w:bCs/>
          <w:rtl/>
        </w:rPr>
        <w:t>של</w:t>
      </w:r>
      <w:r w:rsidRPr="0032115D">
        <w:rPr>
          <w:b/>
          <w:bCs/>
          <w:rtl/>
        </w:rPr>
        <w:t xml:space="preserve"> </w:t>
      </w:r>
      <w:r w:rsidRPr="0032115D">
        <w:rPr>
          <w:rFonts w:hint="eastAsia"/>
          <w:b/>
          <w:bCs/>
          <w:rtl/>
        </w:rPr>
        <w:t>סחר</w:t>
      </w:r>
      <w:r w:rsidRPr="0032115D">
        <w:rPr>
          <w:b/>
          <w:bCs/>
          <w:rtl/>
        </w:rPr>
        <w:t xml:space="preserve"> </w:t>
      </w:r>
      <w:r w:rsidRPr="0032115D">
        <w:rPr>
          <w:rFonts w:hint="eastAsia"/>
          <w:b/>
          <w:bCs/>
          <w:rtl/>
        </w:rPr>
        <w:t>בלתי</w:t>
      </w:r>
      <w:r w:rsidRPr="0032115D">
        <w:rPr>
          <w:b/>
          <w:bCs/>
          <w:rtl/>
        </w:rPr>
        <w:t xml:space="preserve"> </w:t>
      </w:r>
      <w:r w:rsidRPr="0032115D">
        <w:rPr>
          <w:rFonts w:hint="eastAsia"/>
          <w:b/>
          <w:bCs/>
          <w:rtl/>
        </w:rPr>
        <w:t>חוקי</w:t>
      </w:r>
      <w:r w:rsidRPr="0032115D">
        <w:rPr>
          <w:b/>
          <w:bCs/>
          <w:rtl/>
        </w:rPr>
        <w:t xml:space="preserve"> </w:t>
      </w:r>
      <w:r w:rsidRPr="0032115D">
        <w:rPr>
          <w:rFonts w:hint="eastAsia"/>
          <w:b/>
          <w:bCs/>
          <w:rtl/>
        </w:rPr>
        <w:t>בנשק</w:t>
      </w:r>
      <w:r w:rsidRPr="0032115D">
        <w:rPr>
          <w:b/>
          <w:bCs/>
          <w:rtl/>
        </w:rPr>
        <w:t xml:space="preserve"> </w:t>
      </w:r>
      <w:r w:rsidRPr="0032115D">
        <w:rPr>
          <w:rFonts w:hint="eastAsia"/>
          <w:b/>
          <w:bCs/>
          <w:rtl/>
        </w:rPr>
        <w:t>אוצרת</w:t>
      </w:r>
      <w:r w:rsidRPr="0032115D">
        <w:rPr>
          <w:b/>
          <w:bCs/>
          <w:rtl/>
        </w:rPr>
        <w:t xml:space="preserve"> </w:t>
      </w:r>
      <w:r w:rsidRPr="0032115D">
        <w:rPr>
          <w:rFonts w:hint="eastAsia"/>
          <w:b/>
          <w:bCs/>
          <w:rtl/>
        </w:rPr>
        <w:t>בחובה</w:t>
      </w:r>
      <w:r w:rsidRPr="0032115D">
        <w:rPr>
          <w:b/>
          <w:bCs/>
          <w:rtl/>
        </w:rPr>
        <w:t xml:space="preserve"> </w:t>
      </w:r>
      <w:r w:rsidRPr="0032115D">
        <w:rPr>
          <w:rFonts w:hint="eastAsia"/>
          <w:b/>
          <w:bCs/>
          <w:rtl/>
        </w:rPr>
        <w:t>פגיעה</w:t>
      </w:r>
      <w:r w:rsidRPr="0032115D">
        <w:rPr>
          <w:b/>
          <w:bCs/>
          <w:rtl/>
        </w:rPr>
        <w:t xml:space="preserve"> </w:t>
      </w:r>
      <w:r w:rsidRPr="0032115D">
        <w:rPr>
          <w:rFonts w:hint="eastAsia"/>
          <w:b/>
          <w:bCs/>
          <w:rtl/>
        </w:rPr>
        <w:t>בערכים</w:t>
      </w:r>
      <w:r w:rsidRPr="0032115D">
        <w:rPr>
          <w:b/>
          <w:bCs/>
          <w:rtl/>
        </w:rPr>
        <w:t xml:space="preserve"> </w:t>
      </w:r>
      <w:r w:rsidRPr="0032115D">
        <w:rPr>
          <w:rFonts w:hint="eastAsia"/>
          <w:b/>
          <w:bCs/>
          <w:rtl/>
        </w:rPr>
        <w:t>חברתיים</w:t>
      </w:r>
      <w:r w:rsidRPr="0032115D">
        <w:rPr>
          <w:b/>
          <w:bCs/>
          <w:rtl/>
        </w:rPr>
        <w:t xml:space="preserve"> </w:t>
      </w:r>
      <w:r w:rsidRPr="0032115D">
        <w:rPr>
          <w:rFonts w:hint="eastAsia"/>
          <w:b/>
          <w:bCs/>
          <w:rtl/>
        </w:rPr>
        <w:t>בעלי</w:t>
      </w:r>
      <w:r w:rsidRPr="0032115D">
        <w:rPr>
          <w:b/>
          <w:bCs/>
          <w:rtl/>
        </w:rPr>
        <w:t xml:space="preserve"> </w:t>
      </w:r>
      <w:r w:rsidRPr="0032115D">
        <w:rPr>
          <w:rFonts w:hint="eastAsia"/>
          <w:b/>
          <w:bCs/>
          <w:rtl/>
        </w:rPr>
        <w:t>חשיבות</w:t>
      </w:r>
      <w:r w:rsidRPr="0032115D">
        <w:rPr>
          <w:b/>
          <w:bCs/>
          <w:rtl/>
        </w:rPr>
        <w:t xml:space="preserve"> </w:t>
      </w:r>
      <w:r w:rsidRPr="0032115D">
        <w:rPr>
          <w:rFonts w:hint="eastAsia"/>
          <w:b/>
          <w:bCs/>
          <w:rtl/>
        </w:rPr>
        <w:t>רבה</w:t>
      </w:r>
      <w:r w:rsidRPr="0032115D">
        <w:rPr>
          <w:b/>
          <w:bCs/>
          <w:rtl/>
        </w:rPr>
        <w:t xml:space="preserve">, </w:t>
      </w:r>
      <w:r w:rsidRPr="0032115D">
        <w:rPr>
          <w:rFonts w:hint="eastAsia"/>
          <w:b/>
          <w:bCs/>
          <w:rtl/>
        </w:rPr>
        <w:t>בהם</w:t>
      </w:r>
      <w:r w:rsidRPr="0032115D">
        <w:rPr>
          <w:b/>
          <w:bCs/>
          <w:rtl/>
        </w:rPr>
        <w:t xml:space="preserve"> </w:t>
      </w:r>
      <w:r w:rsidRPr="0032115D">
        <w:rPr>
          <w:rFonts w:hint="eastAsia"/>
          <w:b/>
          <w:bCs/>
          <w:rtl/>
        </w:rPr>
        <w:t>שלמות</w:t>
      </w:r>
      <w:r w:rsidRPr="0032115D">
        <w:rPr>
          <w:b/>
          <w:bCs/>
          <w:rtl/>
        </w:rPr>
        <w:t xml:space="preserve"> </w:t>
      </w:r>
      <w:r w:rsidRPr="0032115D">
        <w:rPr>
          <w:rFonts w:hint="eastAsia"/>
          <w:b/>
          <w:bCs/>
          <w:rtl/>
        </w:rPr>
        <w:t>הגוף</w:t>
      </w:r>
      <w:r w:rsidRPr="0032115D">
        <w:rPr>
          <w:b/>
          <w:bCs/>
          <w:rtl/>
        </w:rPr>
        <w:t xml:space="preserve">, </w:t>
      </w:r>
      <w:r w:rsidRPr="0032115D">
        <w:rPr>
          <w:rFonts w:hint="eastAsia"/>
          <w:b/>
          <w:bCs/>
          <w:rtl/>
        </w:rPr>
        <w:t>חיי</w:t>
      </w:r>
      <w:r w:rsidRPr="0032115D">
        <w:rPr>
          <w:b/>
          <w:bCs/>
          <w:rtl/>
        </w:rPr>
        <w:t xml:space="preserve"> </w:t>
      </w:r>
      <w:r w:rsidRPr="0032115D">
        <w:rPr>
          <w:rFonts w:hint="eastAsia"/>
          <w:b/>
          <w:bCs/>
          <w:rtl/>
        </w:rPr>
        <w:t>אדם</w:t>
      </w:r>
      <w:r w:rsidRPr="0032115D">
        <w:rPr>
          <w:b/>
          <w:bCs/>
          <w:rtl/>
        </w:rPr>
        <w:t xml:space="preserve"> </w:t>
      </w:r>
      <w:r w:rsidRPr="0032115D">
        <w:rPr>
          <w:rFonts w:hint="eastAsia"/>
          <w:b/>
          <w:bCs/>
          <w:rtl/>
        </w:rPr>
        <w:t>ושלום</w:t>
      </w:r>
      <w:r w:rsidRPr="0032115D">
        <w:rPr>
          <w:b/>
          <w:bCs/>
          <w:rtl/>
        </w:rPr>
        <w:t xml:space="preserve"> </w:t>
      </w:r>
      <w:r w:rsidRPr="0032115D">
        <w:rPr>
          <w:rFonts w:hint="eastAsia"/>
          <w:b/>
          <w:bCs/>
          <w:rtl/>
        </w:rPr>
        <w:t>הציבור</w:t>
      </w:r>
      <w:r w:rsidRPr="0032115D">
        <w:rPr>
          <w:b/>
          <w:bCs/>
          <w:rtl/>
        </w:rPr>
        <w:t xml:space="preserve"> </w:t>
      </w:r>
      <w:r w:rsidRPr="0032115D">
        <w:rPr>
          <w:rFonts w:hint="eastAsia"/>
          <w:b/>
          <w:bCs/>
          <w:rtl/>
        </w:rPr>
        <w:t>וביטחונו</w:t>
      </w:r>
      <w:r w:rsidRPr="0032115D">
        <w:rPr>
          <w:b/>
          <w:bCs/>
          <w:rtl/>
        </w:rPr>
        <w:t xml:space="preserve">. </w:t>
      </w:r>
      <w:r w:rsidRPr="0032115D">
        <w:rPr>
          <w:rFonts w:hint="eastAsia"/>
          <w:b/>
          <w:bCs/>
          <w:rtl/>
        </w:rPr>
        <w:t>כלי</w:t>
      </w:r>
      <w:r w:rsidRPr="0032115D">
        <w:rPr>
          <w:b/>
          <w:bCs/>
          <w:rtl/>
        </w:rPr>
        <w:t xml:space="preserve"> </w:t>
      </w:r>
      <w:r w:rsidRPr="0032115D">
        <w:rPr>
          <w:rFonts w:hint="eastAsia"/>
          <w:b/>
          <w:bCs/>
          <w:rtl/>
        </w:rPr>
        <w:t>הנשק</w:t>
      </w:r>
      <w:r w:rsidRPr="0032115D">
        <w:rPr>
          <w:b/>
          <w:bCs/>
          <w:rtl/>
        </w:rPr>
        <w:t xml:space="preserve"> </w:t>
      </w:r>
      <w:r w:rsidRPr="0032115D">
        <w:rPr>
          <w:rFonts w:hint="eastAsia"/>
          <w:b/>
          <w:bCs/>
          <w:rtl/>
        </w:rPr>
        <w:t>שנמכרו</w:t>
      </w:r>
      <w:r w:rsidRPr="0032115D">
        <w:rPr>
          <w:b/>
          <w:bCs/>
          <w:rtl/>
        </w:rPr>
        <w:t xml:space="preserve"> </w:t>
      </w:r>
      <w:r w:rsidRPr="0032115D">
        <w:rPr>
          <w:rFonts w:hint="eastAsia"/>
          <w:b/>
          <w:bCs/>
          <w:rtl/>
        </w:rPr>
        <w:t>במסגרת</w:t>
      </w:r>
      <w:r w:rsidRPr="0032115D">
        <w:rPr>
          <w:b/>
          <w:bCs/>
          <w:rtl/>
        </w:rPr>
        <w:t xml:space="preserve"> </w:t>
      </w:r>
      <w:r w:rsidRPr="0032115D">
        <w:rPr>
          <w:rFonts w:hint="eastAsia"/>
          <w:b/>
          <w:bCs/>
          <w:rtl/>
        </w:rPr>
        <w:t>האישומים</w:t>
      </w:r>
      <w:r w:rsidRPr="0032115D">
        <w:rPr>
          <w:b/>
          <w:bCs/>
          <w:rtl/>
        </w:rPr>
        <w:t xml:space="preserve"> </w:t>
      </w:r>
      <w:r w:rsidRPr="0032115D">
        <w:rPr>
          <w:rFonts w:hint="eastAsia"/>
          <w:b/>
          <w:bCs/>
          <w:rtl/>
        </w:rPr>
        <w:t>הם</w:t>
      </w:r>
      <w:r w:rsidRPr="0032115D">
        <w:rPr>
          <w:b/>
          <w:bCs/>
          <w:rtl/>
        </w:rPr>
        <w:t xml:space="preserve"> </w:t>
      </w:r>
      <w:r w:rsidRPr="0032115D">
        <w:rPr>
          <w:rFonts w:hint="eastAsia"/>
          <w:b/>
          <w:bCs/>
          <w:rtl/>
        </w:rPr>
        <w:t>על</w:t>
      </w:r>
      <w:r w:rsidRPr="0032115D">
        <w:rPr>
          <w:b/>
          <w:bCs/>
          <w:rtl/>
        </w:rPr>
        <w:t xml:space="preserve"> </w:t>
      </w:r>
      <w:r w:rsidRPr="0032115D">
        <w:rPr>
          <w:rFonts w:hint="eastAsia"/>
          <w:b/>
          <w:bCs/>
          <w:rtl/>
        </w:rPr>
        <w:t>פי</w:t>
      </w:r>
      <w:r w:rsidRPr="0032115D">
        <w:rPr>
          <w:b/>
          <w:bCs/>
          <w:rtl/>
        </w:rPr>
        <w:t xml:space="preserve"> </w:t>
      </w:r>
      <w:r w:rsidRPr="0032115D">
        <w:rPr>
          <w:rFonts w:hint="eastAsia"/>
          <w:b/>
          <w:bCs/>
          <w:rtl/>
        </w:rPr>
        <w:t>טיבם</w:t>
      </w:r>
      <w:r w:rsidRPr="0032115D">
        <w:rPr>
          <w:b/>
          <w:bCs/>
          <w:rtl/>
        </w:rPr>
        <w:t xml:space="preserve"> </w:t>
      </w:r>
      <w:r w:rsidRPr="0032115D">
        <w:rPr>
          <w:rFonts w:hint="eastAsia"/>
          <w:b/>
          <w:bCs/>
          <w:rtl/>
        </w:rPr>
        <w:t>כאלה</w:t>
      </w:r>
      <w:r w:rsidRPr="0032115D">
        <w:rPr>
          <w:b/>
          <w:bCs/>
          <w:rtl/>
        </w:rPr>
        <w:t xml:space="preserve"> </w:t>
      </w:r>
      <w:r w:rsidRPr="0032115D">
        <w:rPr>
          <w:rFonts w:hint="eastAsia"/>
          <w:b/>
          <w:bCs/>
          <w:rtl/>
        </w:rPr>
        <w:t>שבאמצעותם</w:t>
      </w:r>
      <w:r w:rsidRPr="0032115D">
        <w:rPr>
          <w:b/>
          <w:bCs/>
          <w:rtl/>
        </w:rPr>
        <w:t xml:space="preserve"> </w:t>
      </w:r>
      <w:r w:rsidRPr="0032115D">
        <w:rPr>
          <w:rFonts w:hint="eastAsia"/>
          <w:b/>
          <w:bCs/>
          <w:rtl/>
        </w:rPr>
        <w:t>ניתן</w:t>
      </w:r>
      <w:r w:rsidRPr="0032115D">
        <w:rPr>
          <w:b/>
          <w:bCs/>
          <w:rtl/>
        </w:rPr>
        <w:t xml:space="preserve"> </w:t>
      </w:r>
      <w:r w:rsidRPr="0032115D">
        <w:rPr>
          <w:rFonts w:hint="eastAsia"/>
          <w:b/>
          <w:bCs/>
          <w:rtl/>
        </w:rPr>
        <w:t>בנקל</w:t>
      </w:r>
      <w:r w:rsidRPr="0032115D">
        <w:rPr>
          <w:b/>
          <w:bCs/>
          <w:rtl/>
        </w:rPr>
        <w:t xml:space="preserve"> </w:t>
      </w:r>
      <w:r w:rsidRPr="0032115D">
        <w:rPr>
          <w:rFonts w:hint="eastAsia"/>
          <w:b/>
          <w:bCs/>
          <w:rtl/>
        </w:rPr>
        <w:t>לפגוע</w:t>
      </w:r>
      <w:r w:rsidRPr="0032115D">
        <w:rPr>
          <w:b/>
          <w:bCs/>
          <w:rtl/>
        </w:rPr>
        <w:t xml:space="preserve"> </w:t>
      </w:r>
      <w:r w:rsidRPr="0032115D">
        <w:rPr>
          <w:rFonts w:hint="eastAsia"/>
          <w:b/>
          <w:bCs/>
          <w:rtl/>
        </w:rPr>
        <w:t>בשלמות</w:t>
      </w:r>
      <w:r w:rsidRPr="0032115D">
        <w:rPr>
          <w:b/>
          <w:bCs/>
          <w:rtl/>
        </w:rPr>
        <w:t xml:space="preserve"> </w:t>
      </w:r>
      <w:r w:rsidRPr="0032115D">
        <w:rPr>
          <w:rFonts w:hint="eastAsia"/>
          <w:b/>
          <w:bCs/>
          <w:rtl/>
        </w:rPr>
        <w:t>הגוף</w:t>
      </w:r>
      <w:r w:rsidRPr="0032115D">
        <w:rPr>
          <w:b/>
          <w:bCs/>
          <w:rtl/>
        </w:rPr>
        <w:t xml:space="preserve"> </w:t>
      </w:r>
      <w:r w:rsidRPr="0032115D">
        <w:rPr>
          <w:rFonts w:hint="eastAsia"/>
          <w:b/>
          <w:bCs/>
          <w:rtl/>
        </w:rPr>
        <w:t>ולגדוע</w:t>
      </w:r>
      <w:r w:rsidRPr="0032115D">
        <w:rPr>
          <w:b/>
          <w:bCs/>
          <w:rtl/>
        </w:rPr>
        <w:t xml:space="preserve"> </w:t>
      </w:r>
      <w:r w:rsidRPr="0032115D">
        <w:rPr>
          <w:rFonts w:hint="eastAsia"/>
          <w:b/>
          <w:bCs/>
          <w:rtl/>
        </w:rPr>
        <w:t>חיי</w:t>
      </w:r>
      <w:r w:rsidRPr="0032115D">
        <w:rPr>
          <w:b/>
          <w:bCs/>
          <w:rtl/>
        </w:rPr>
        <w:t xml:space="preserve"> </w:t>
      </w:r>
      <w:r w:rsidRPr="0032115D">
        <w:rPr>
          <w:rFonts w:hint="eastAsia"/>
          <w:b/>
          <w:bCs/>
          <w:rtl/>
        </w:rPr>
        <w:t>אדם</w:t>
      </w:r>
      <w:r w:rsidRPr="0032115D">
        <w:rPr>
          <w:b/>
          <w:bCs/>
          <w:rtl/>
        </w:rPr>
        <w:t xml:space="preserve">. </w:t>
      </w:r>
      <w:r w:rsidRPr="0032115D">
        <w:rPr>
          <w:rFonts w:hint="eastAsia"/>
          <w:b/>
          <w:bCs/>
          <w:rtl/>
        </w:rPr>
        <w:t>חומרת</w:t>
      </w:r>
      <w:r w:rsidRPr="0032115D">
        <w:rPr>
          <w:b/>
          <w:bCs/>
          <w:rtl/>
        </w:rPr>
        <w:t xml:space="preserve"> </w:t>
      </w:r>
      <w:r w:rsidRPr="0032115D">
        <w:rPr>
          <w:rFonts w:hint="eastAsia"/>
          <w:b/>
          <w:bCs/>
          <w:rtl/>
        </w:rPr>
        <w:t>הנזק</w:t>
      </w:r>
      <w:r w:rsidRPr="0032115D">
        <w:rPr>
          <w:b/>
          <w:bCs/>
          <w:rtl/>
        </w:rPr>
        <w:t xml:space="preserve"> </w:t>
      </w:r>
      <w:r w:rsidRPr="0032115D">
        <w:rPr>
          <w:rFonts w:hint="eastAsia"/>
          <w:b/>
          <w:bCs/>
          <w:rtl/>
        </w:rPr>
        <w:t>הנגרם</w:t>
      </w:r>
      <w:r w:rsidRPr="0032115D">
        <w:rPr>
          <w:b/>
          <w:bCs/>
          <w:rtl/>
        </w:rPr>
        <w:t xml:space="preserve"> </w:t>
      </w:r>
      <w:r w:rsidRPr="0032115D">
        <w:rPr>
          <w:rFonts w:hint="eastAsia"/>
          <w:b/>
          <w:bCs/>
          <w:rtl/>
        </w:rPr>
        <w:t>בעקבות</w:t>
      </w:r>
      <w:r w:rsidRPr="0032115D">
        <w:rPr>
          <w:b/>
          <w:bCs/>
          <w:rtl/>
        </w:rPr>
        <w:t xml:space="preserve"> </w:t>
      </w:r>
      <w:r w:rsidRPr="0032115D">
        <w:rPr>
          <w:rFonts w:hint="eastAsia"/>
          <w:b/>
          <w:bCs/>
          <w:rtl/>
        </w:rPr>
        <w:t>ביצוע</w:t>
      </w:r>
      <w:r w:rsidRPr="0032115D">
        <w:rPr>
          <w:b/>
          <w:bCs/>
          <w:rtl/>
        </w:rPr>
        <w:t xml:space="preserve"> </w:t>
      </w:r>
      <w:r w:rsidRPr="0032115D">
        <w:rPr>
          <w:rFonts w:hint="eastAsia"/>
          <w:b/>
          <w:bCs/>
          <w:rtl/>
        </w:rPr>
        <w:t>עבירות</w:t>
      </w:r>
      <w:r w:rsidRPr="0032115D">
        <w:rPr>
          <w:b/>
          <w:bCs/>
          <w:rtl/>
        </w:rPr>
        <w:t xml:space="preserve"> </w:t>
      </w:r>
      <w:r w:rsidRPr="0032115D">
        <w:rPr>
          <w:rFonts w:hint="eastAsia"/>
          <w:b/>
          <w:bCs/>
          <w:rtl/>
        </w:rPr>
        <w:t>כגון</w:t>
      </w:r>
      <w:r w:rsidRPr="0032115D">
        <w:rPr>
          <w:b/>
          <w:bCs/>
          <w:rtl/>
        </w:rPr>
        <w:t xml:space="preserve"> </w:t>
      </w:r>
      <w:r w:rsidRPr="0032115D">
        <w:rPr>
          <w:rFonts w:hint="eastAsia"/>
          <w:b/>
          <w:bCs/>
          <w:rtl/>
        </w:rPr>
        <w:t>אלו</w:t>
      </w:r>
      <w:r w:rsidRPr="0032115D">
        <w:rPr>
          <w:b/>
          <w:bCs/>
          <w:rtl/>
        </w:rPr>
        <w:t xml:space="preserve"> </w:t>
      </w:r>
      <w:r w:rsidRPr="0032115D">
        <w:rPr>
          <w:rFonts w:hint="eastAsia"/>
          <w:b/>
          <w:bCs/>
          <w:rtl/>
        </w:rPr>
        <w:t>מתעצמת</w:t>
      </w:r>
      <w:r w:rsidRPr="0032115D">
        <w:rPr>
          <w:b/>
          <w:bCs/>
          <w:rtl/>
        </w:rPr>
        <w:t xml:space="preserve"> </w:t>
      </w:r>
      <w:r w:rsidRPr="0032115D">
        <w:rPr>
          <w:rFonts w:hint="eastAsia"/>
          <w:b/>
          <w:bCs/>
          <w:rtl/>
        </w:rPr>
        <w:t>במקרים</w:t>
      </w:r>
      <w:r w:rsidRPr="0032115D">
        <w:rPr>
          <w:b/>
          <w:bCs/>
          <w:rtl/>
        </w:rPr>
        <w:t xml:space="preserve"> </w:t>
      </w:r>
      <w:r w:rsidRPr="0032115D">
        <w:rPr>
          <w:rFonts w:hint="eastAsia"/>
          <w:b/>
          <w:bCs/>
          <w:rtl/>
        </w:rPr>
        <w:t>כבענייננו</w:t>
      </w:r>
      <w:r w:rsidRPr="0032115D">
        <w:rPr>
          <w:b/>
          <w:bCs/>
          <w:rtl/>
        </w:rPr>
        <w:t xml:space="preserve">, </w:t>
      </w:r>
      <w:r w:rsidRPr="0032115D">
        <w:rPr>
          <w:rFonts w:hint="eastAsia"/>
          <w:b/>
          <w:bCs/>
          <w:rtl/>
        </w:rPr>
        <w:t>שבהם</w:t>
      </w:r>
      <w:r w:rsidRPr="0032115D">
        <w:rPr>
          <w:b/>
          <w:bCs/>
          <w:rtl/>
        </w:rPr>
        <w:t xml:space="preserve"> </w:t>
      </w:r>
      <w:r w:rsidRPr="0032115D">
        <w:rPr>
          <w:rFonts w:hint="eastAsia"/>
          <w:b/>
          <w:bCs/>
          <w:rtl/>
        </w:rPr>
        <w:t>נמכרים</w:t>
      </w:r>
      <w:r w:rsidRPr="0032115D">
        <w:rPr>
          <w:b/>
          <w:bCs/>
          <w:rtl/>
        </w:rPr>
        <w:t xml:space="preserve"> </w:t>
      </w:r>
      <w:r w:rsidRPr="0032115D">
        <w:rPr>
          <w:rFonts w:hint="eastAsia"/>
          <w:b/>
          <w:bCs/>
          <w:rtl/>
        </w:rPr>
        <w:t>כלי</w:t>
      </w:r>
      <w:r w:rsidRPr="0032115D">
        <w:rPr>
          <w:b/>
          <w:bCs/>
          <w:rtl/>
        </w:rPr>
        <w:t xml:space="preserve"> </w:t>
      </w:r>
      <w:r w:rsidRPr="0032115D">
        <w:rPr>
          <w:rFonts w:hint="eastAsia"/>
          <w:b/>
          <w:bCs/>
          <w:rtl/>
        </w:rPr>
        <w:t>נשק</w:t>
      </w:r>
      <w:r w:rsidRPr="0032115D">
        <w:rPr>
          <w:b/>
          <w:bCs/>
          <w:rtl/>
        </w:rPr>
        <w:t xml:space="preserve"> </w:t>
      </w:r>
      <w:r w:rsidRPr="0032115D">
        <w:rPr>
          <w:rFonts w:hint="eastAsia"/>
          <w:b/>
          <w:bCs/>
          <w:rtl/>
        </w:rPr>
        <w:t>בעלי</w:t>
      </w:r>
      <w:r w:rsidRPr="0032115D">
        <w:rPr>
          <w:b/>
          <w:bCs/>
          <w:rtl/>
        </w:rPr>
        <w:t xml:space="preserve"> </w:t>
      </w:r>
      <w:r w:rsidRPr="0032115D">
        <w:rPr>
          <w:rFonts w:hint="eastAsia"/>
          <w:b/>
          <w:bCs/>
          <w:rtl/>
        </w:rPr>
        <w:t>פוטנציאל</w:t>
      </w:r>
      <w:r w:rsidRPr="0032115D">
        <w:rPr>
          <w:b/>
          <w:bCs/>
          <w:rtl/>
        </w:rPr>
        <w:t xml:space="preserve"> </w:t>
      </w:r>
      <w:r w:rsidRPr="0032115D">
        <w:rPr>
          <w:rFonts w:hint="eastAsia"/>
          <w:b/>
          <w:bCs/>
          <w:rtl/>
        </w:rPr>
        <w:t>פגיעה</w:t>
      </w:r>
      <w:r w:rsidRPr="0032115D">
        <w:rPr>
          <w:b/>
          <w:bCs/>
          <w:rtl/>
        </w:rPr>
        <w:t xml:space="preserve"> </w:t>
      </w:r>
      <w:r w:rsidRPr="0032115D">
        <w:rPr>
          <w:rFonts w:hint="eastAsia"/>
          <w:b/>
          <w:bCs/>
          <w:rtl/>
        </w:rPr>
        <w:t>ממשי</w:t>
      </w:r>
      <w:r w:rsidRPr="0032115D">
        <w:rPr>
          <w:b/>
          <w:bCs/>
          <w:rtl/>
        </w:rPr>
        <w:t xml:space="preserve">, </w:t>
      </w:r>
      <w:r w:rsidRPr="0032115D">
        <w:rPr>
          <w:rFonts w:hint="eastAsia"/>
          <w:b/>
          <w:bCs/>
          <w:rtl/>
        </w:rPr>
        <w:t>שהרי</w:t>
      </w:r>
      <w:r w:rsidRPr="0032115D">
        <w:rPr>
          <w:b/>
          <w:bCs/>
          <w:rtl/>
        </w:rPr>
        <w:t xml:space="preserve"> </w:t>
      </w:r>
      <w:r w:rsidRPr="0032115D">
        <w:rPr>
          <w:rFonts w:hint="eastAsia"/>
          <w:b/>
          <w:bCs/>
          <w:rtl/>
        </w:rPr>
        <w:t>דין</w:t>
      </w:r>
      <w:r w:rsidRPr="0032115D">
        <w:rPr>
          <w:b/>
          <w:bCs/>
          <w:rtl/>
        </w:rPr>
        <w:t xml:space="preserve"> </w:t>
      </w:r>
      <w:r w:rsidRPr="0032115D">
        <w:rPr>
          <w:rFonts w:hint="eastAsia"/>
          <w:b/>
          <w:bCs/>
          <w:rtl/>
        </w:rPr>
        <w:t>סחר</w:t>
      </w:r>
      <w:r w:rsidRPr="0032115D">
        <w:rPr>
          <w:b/>
          <w:bCs/>
          <w:rtl/>
        </w:rPr>
        <w:t xml:space="preserve"> </w:t>
      </w:r>
      <w:r w:rsidRPr="0032115D">
        <w:rPr>
          <w:rFonts w:hint="eastAsia"/>
          <w:b/>
          <w:bCs/>
          <w:rtl/>
        </w:rPr>
        <w:t>ברובה</w:t>
      </w:r>
      <w:r w:rsidRPr="0032115D">
        <w:rPr>
          <w:b/>
          <w:bCs/>
          <w:rtl/>
        </w:rPr>
        <w:t xml:space="preserve"> </w:t>
      </w:r>
      <w:r w:rsidRPr="0032115D">
        <w:rPr>
          <w:rFonts w:hint="eastAsia"/>
          <w:b/>
          <w:bCs/>
          <w:rtl/>
        </w:rPr>
        <w:t>סער</w:t>
      </w:r>
      <w:r w:rsidRPr="0032115D">
        <w:rPr>
          <w:b/>
          <w:bCs/>
          <w:rtl/>
        </w:rPr>
        <w:t xml:space="preserve">, </w:t>
      </w:r>
      <w:r w:rsidRPr="0032115D">
        <w:rPr>
          <w:rFonts w:hint="eastAsia"/>
          <w:b/>
          <w:bCs/>
          <w:rtl/>
        </w:rPr>
        <w:t>בתת</w:t>
      </w:r>
      <w:r w:rsidRPr="0032115D">
        <w:rPr>
          <w:b/>
          <w:bCs/>
          <w:rtl/>
        </w:rPr>
        <w:t>-</w:t>
      </w:r>
      <w:r w:rsidRPr="0032115D">
        <w:rPr>
          <w:rFonts w:hint="eastAsia"/>
          <w:b/>
          <w:bCs/>
          <w:rtl/>
        </w:rPr>
        <w:t>מקלע</w:t>
      </w:r>
      <w:r w:rsidRPr="0032115D">
        <w:rPr>
          <w:b/>
          <w:bCs/>
          <w:rtl/>
        </w:rPr>
        <w:t xml:space="preserve"> </w:t>
      </w:r>
      <w:r w:rsidRPr="0032115D">
        <w:rPr>
          <w:rFonts w:hint="eastAsia"/>
          <w:b/>
          <w:bCs/>
          <w:rtl/>
        </w:rPr>
        <w:t>או</w:t>
      </w:r>
      <w:r w:rsidRPr="0032115D">
        <w:rPr>
          <w:b/>
          <w:bCs/>
          <w:rtl/>
        </w:rPr>
        <w:t xml:space="preserve"> </w:t>
      </w:r>
      <w:r w:rsidRPr="0032115D">
        <w:rPr>
          <w:rFonts w:hint="eastAsia"/>
          <w:b/>
          <w:bCs/>
          <w:rtl/>
        </w:rPr>
        <w:t>באקדח</w:t>
      </w:r>
      <w:r w:rsidRPr="0032115D">
        <w:rPr>
          <w:b/>
          <w:bCs/>
          <w:rtl/>
        </w:rPr>
        <w:t xml:space="preserve"> </w:t>
      </w:r>
      <w:r w:rsidRPr="0032115D">
        <w:rPr>
          <w:rFonts w:hint="eastAsia"/>
          <w:b/>
          <w:bCs/>
          <w:rtl/>
        </w:rPr>
        <w:t>אמין</w:t>
      </w:r>
      <w:r w:rsidRPr="0032115D">
        <w:rPr>
          <w:b/>
          <w:bCs/>
          <w:rtl/>
        </w:rPr>
        <w:t xml:space="preserve"> </w:t>
      </w:r>
      <w:r w:rsidRPr="0032115D">
        <w:rPr>
          <w:rFonts w:hint="eastAsia"/>
          <w:b/>
          <w:bCs/>
          <w:rtl/>
        </w:rPr>
        <w:t>ואיכותי</w:t>
      </w:r>
      <w:r w:rsidRPr="0032115D">
        <w:rPr>
          <w:b/>
          <w:bCs/>
          <w:rtl/>
        </w:rPr>
        <w:t xml:space="preserve">, </w:t>
      </w:r>
      <w:r w:rsidRPr="0032115D">
        <w:rPr>
          <w:rFonts w:hint="eastAsia"/>
          <w:b/>
          <w:bCs/>
          <w:rtl/>
        </w:rPr>
        <w:t>אינו</w:t>
      </w:r>
      <w:r w:rsidRPr="0032115D">
        <w:rPr>
          <w:b/>
          <w:bCs/>
          <w:rtl/>
        </w:rPr>
        <w:t xml:space="preserve"> </w:t>
      </w:r>
      <w:r w:rsidRPr="0032115D">
        <w:rPr>
          <w:rFonts w:hint="eastAsia"/>
          <w:b/>
          <w:bCs/>
          <w:rtl/>
        </w:rPr>
        <w:t>כדין</w:t>
      </w:r>
      <w:r w:rsidRPr="0032115D">
        <w:rPr>
          <w:b/>
          <w:bCs/>
          <w:rtl/>
        </w:rPr>
        <w:t xml:space="preserve"> </w:t>
      </w:r>
      <w:r w:rsidRPr="0032115D">
        <w:rPr>
          <w:rFonts w:hint="eastAsia"/>
          <w:b/>
          <w:bCs/>
          <w:rtl/>
        </w:rPr>
        <w:t>סחר</w:t>
      </w:r>
      <w:r w:rsidRPr="0032115D">
        <w:rPr>
          <w:b/>
          <w:bCs/>
          <w:rtl/>
        </w:rPr>
        <w:t xml:space="preserve"> </w:t>
      </w:r>
      <w:r w:rsidRPr="0032115D">
        <w:rPr>
          <w:rFonts w:hint="eastAsia"/>
          <w:b/>
          <w:bCs/>
          <w:rtl/>
        </w:rPr>
        <w:t>באקדח</w:t>
      </w:r>
      <w:r w:rsidRPr="0032115D">
        <w:rPr>
          <w:b/>
          <w:bCs/>
          <w:rtl/>
        </w:rPr>
        <w:t xml:space="preserve"> </w:t>
      </w:r>
      <w:r w:rsidRPr="0032115D">
        <w:rPr>
          <w:rFonts w:hint="eastAsia"/>
          <w:b/>
          <w:bCs/>
          <w:rtl/>
        </w:rPr>
        <w:t>מאולתר</w:t>
      </w:r>
      <w:r w:rsidRPr="0032115D">
        <w:rPr>
          <w:b/>
          <w:bCs/>
          <w:rtl/>
        </w:rPr>
        <w:t xml:space="preserve"> (</w:t>
      </w:r>
      <w:r w:rsidRPr="0032115D">
        <w:rPr>
          <w:rFonts w:hint="eastAsia"/>
          <w:b/>
          <w:bCs/>
          <w:rtl/>
        </w:rPr>
        <w:t>ראו</w:t>
      </w:r>
      <w:r w:rsidRPr="0032115D">
        <w:rPr>
          <w:b/>
          <w:bCs/>
          <w:rtl/>
        </w:rPr>
        <w:t xml:space="preserve"> </w:t>
      </w:r>
      <w:r w:rsidRPr="0032115D">
        <w:rPr>
          <w:rFonts w:hint="eastAsia"/>
          <w:b/>
          <w:bCs/>
          <w:rtl/>
        </w:rPr>
        <w:t>למשל</w:t>
      </w:r>
      <w:r w:rsidRPr="0032115D">
        <w:rPr>
          <w:b/>
          <w:bCs/>
          <w:rtl/>
        </w:rPr>
        <w:t xml:space="preserve">: </w:t>
      </w:r>
      <w:hyperlink r:id="rId15" w:history="1">
        <w:r w:rsidR="005F7B34" w:rsidRPr="005F7B34">
          <w:rPr>
            <w:b/>
            <w:bCs/>
            <w:color w:val="0000FF"/>
            <w:u w:val="single"/>
            <w:rtl/>
          </w:rPr>
          <w:t>ע"פ 1397/16</w:t>
        </w:r>
      </w:hyperlink>
      <w:r w:rsidRPr="0032115D">
        <w:rPr>
          <w:b/>
          <w:bCs/>
          <w:rtl/>
        </w:rPr>
        <w:t xml:space="preserve"> </w:t>
      </w:r>
      <w:r w:rsidRPr="0032115D">
        <w:rPr>
          <w:rFonts w:ascii="Century" w:hAnsi="Century" w:hint="eastAsia"/>
          <w:b/>
          <w:bCs/>
          <w:rtl/>
        </w:rPr>
        <w:t>מדינת</w:t>
      </w:r>
      <w:r w:rsidRPr="0032115D">
        <w:rPr>
          <w:rFonts w:ascii="Century" w:hAnsi="Century"/>
          <w:b/>
          <w:bCs/>
          <w:rtl/>
        </w:rPr>
        <w:t xml:space="preserve"> </w:t>
      </w:r>
      <w:r w:rsidRPr="0032115D">
        <w:rPr>
          <w:rFonts w:ascii="Century" w:hAnsi="Century" w:hint="eastAsia"/>
          <w:b/>
          <w:bCs/>
          <w:rtl/>
        </w:rPr>
        <w:t>ישראל</w:t>
      </w:r>
      <w:r w:rsidRPr="0032115D">
        <w:rPr>
          <w:rFonts w:ascii="Century" w:hAnsi="Century"/>
          <w:b/>
          <w:bCs/>
          <w:rtl/>
        </w:rPr>
        <w:t xml:space="preserve"> </w:t>
      </w:r>
      <w:r w:rsidRPr="0032115D">
        <w:rPr>
          <w:rFonts w:ascii="Century" w:hAnsi="Century" w:hint="eastAsia"/>
          <w:b/>
          <w:bCs/>
          <w:rtl/>
        </w:rPr>
        <w:t>נ</w:t>
      </w:r>
      <w:r w:rsidRPr="0032115D">
        <w:rPr>
          <w:rFonts w:ascii="Century" w:hAnsi="Century"/>
          <w:b/>
          <w:bCs/>
          <w:rtl/>
        </w:rPr>
        <w:t xml:space="preserve">' </w:t>
      </w:r>
      <w:r w:rsidRPr="0032115D">
        <w:rPr>
          <w:rFonts w:ascii="Century" w:hAnsi="Century" w:hint="eastAsia"/>
          <w:b/>
          <w:bCs/>
          <w:rtl/>
        </w:rPr>
        <w:t>חמאיל</w:t>
      </w:r>
      <w:r w:rsidRPr="0032115D">
        <w:rPr>
          <w:b/>
          <w:bCs/>
          <w:rtl/>
        </w:rPr>
        <w:t xml:space="preserve">, [פורסם בנבו] </w:t>
      </w:r>
      <w:r w:rsidRPr="0032115D">
        <w:rPr>
          <w:rFonts w:hint="eastAsia"/>
          <w:b/>
          <w:bCs/>
          <w:rtl/>
        </w:rPr>
        <w:t>פסקה</w:t>
      </w:r>
      <w:r w:rsidRPr="0032115D">
        <w:rPr>
          <w:b/>
          <w:bCs/>
          <w:rtl/>
        </w:rPr>
        <w:t xml:space="preserve"> 13 (12.9.2016) (</w:t>
      </w:r>
      <w:r w:rsidRPr="0032115D">
        <w:rPr>
          <w:rFonts w:hint="eastAsia"/>
          <w:b/>
          <w:bCs/>
          <w:rtl/>
        </w:rPr>
        <w:t>להלן</w:t>
      </w:r>
      <w:r w:rsidRPr="0032115D">
        <w:rPr>
          <w:b/>
          <w:bCs/>
          <w:rtl/>
        </w:rPr>
        <w:t xml:space="preserve">: </w:t>
      </w:r>
      <w:r w:rsidRPr="0032115D">
        <w:rPr>
          <w:rFonts w:hint="eastAsia"/>
          <w:b/>
          <w:bCs/>
          <w:rtl/>
        </w:rPr>
        <w:t>עניין</w:t>
      </w:r>
      <w:r w:rsidRPr="0032115D">
        <w:rPr>
          <w:b/>
          <w:bCs/>
          <w:rtl/>
        </w:rPr>
        <w:t xml:space="preserve"> </w:t>
      </w:r>
      <w:r w:rsidRPr="0032115D">
        <w:rPr>
          <w:rFonts w:ascii="Century" w:hAnsi="Century" w:hint="eastAsia"/>
          <w:b/>
          <w:bCs/>
          <w:rtl/>
        </w:rPr>
        <w:t>חמאיל</w:t>
      </w:r>
      <w:r w:rsidRPr="0032115D">
        <w:rPr>
          <w:b/>
          <w:bCs/>
          <w:rtl/>
        </w:rPr>
        <w:t xml:space="preserve">); </w:t>
      </w:r>
      <w:r w:rsidRPr="0032115D">
        <w:rPr>
          <w:rFonts w:hint="eastAsia"/>
          <w:b/>
          <w:bCs/>
          <w:rtl/>
        </w:rPr>
        <w:t>עניין</w:t>
      </w:r>
      <w:r w:rsidRPr="0032115D">
        <w:rPr>
          <w:b/>
          <w:bCs/>
          <w:rtl/>
        </w:rPr>
        <w:t xml:space="preserve"> </w:t>
      </w:r>
      <w:r w:rsidRPr="0032115D">
        <w:rPr>
          <w:rFonts w:ascii="Century" w:hAnsi="Century" w:hint="eastAsia"/>
          <w:b/>
          <w:bCs/>
          <w:rtl/>
        </w:rPr>
        <w:t>חסן</w:t>
      </w:r>
      <w:r w:rsidRPr="0032115D">
        <w:rPr>
          <w:b/>
          <w:bCs/>
          <w:rtl/>
        </w:rPr>
        <w:t xml:space="preserve">, </w:t>
      </w:r>
      <w:r w:rsidRPr="0032115D">
        <w:rPr>
          <w:rFonts w:hint="eastAsia"/>
          <w:b/>
          <w:bCs/>
          <w:rtl/>
        </w:rPr>
        <w:t>פסקה</w:t>
      </w:r>
      <w:r w:rsidRPr="0032115D">
        <w:rPr>
          <w:b/>
          <w:bCs/>
          <w:rtl/>
        </w:rPr>
        <w:t xml:space="preserve"> 10).</w:t>
      </w:r>
    </w:p>
    <w:p w14:paraId="4C958EFD" w14:textId="77777777" w:rsidR="00160004" w:rsidRPr="0087197C" w:rsidRDefault="00160004" w:rsidP="00160004">
      <w:pPr>
        <w:pStyle w:val="Ruller4"/>
        <w:ind w:left="1134" w:right="567"/>
        <w:rPr>
          <w:rFonts w:cs="David"/>
          <w:sz w:val="12"/>
          <w:szCs w:val="12"/>
        </w:rPr>
      </w:pPr>
    </w:p>
    <w:p w14:paraId="209B4D63" w14:textId="77777777" w:rsidR="00160004" w:rsidRPr="0087197C" w:rsidRDefault="00160004" w:rsidP="00160004">
      <w:pPr>
        <w:pStyle w:val="a9"/>
        <w:spacing w:line="360" w:lineRule="auto"/>
        <w:ind w:left="1134" w:right="567"/>
        <w:jc w:val="both"/>
        <w:rPr>
          <w:rFonts w:ascii="David" w:hAnsi="David"/>
          <w:b/>
          <w:bCs/>
          <w:rtl/>
        </w:rPr>
      </w:pPr>
      <w:r w:rsidRPr="0032115D">
        <w:rPr>
          <w:rFonts w:ascii="David" w:hAnsi="David"/>
          <w:b/>
          <w:bCs/>
          <w:rtl/>
        </w:rPr>
        <w:t xml:space="preserve">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 (עניין </w:t>
      </w:r>
      <w:r w:rsidRPr="0032115D">
        <w:rPr>
          <w:rFonts w:ascii="David" w:hAnsi="David" w:hint="eastAsia"/>
          <w:b/>
          <w:bCs/>
          <w:rtl/>
        </w:rPr>
        <w:t>דהוד</w:t>
      </w:r>
      <w:r w:rsidRPr="0032115D">
        <w:rPr>
          <w:rFonts w:ascii="David" w:hAnsi="David"/>
          <w:b/>
          <w:bCs/>
          <w:rtl/>
        </w:rPr>
        <w:t xml:space="preserve">, </w:t>
      </w:r>
      <w:r w:rsidRPr="0032115D">
        <w:rPr>
          <w:rFonts w:ascii="David" w:hAnsi="David" w:hint="eastAsia"/>
          <w:b/>
          <w:bCs/>
          <w:rtl/>
        </w:rPr>
        <w:t>פסקה</w:t>
      </w:r>
      <w:r w:rsidRPr="0032115D">
        <w:rPr>
          <w:rFonts w:ascii="David" w:hAnsi="David"/>
          <w:b/>
          <w:bCs/>
          <w:rtl/>
        </w:rPr>
        <w:t xml:space="preserve"> 11; </w:t>
      </w:r>
      <w:r w:rsidRPr="0032115D">
        <w:rPr>
          <w:rFonts w:ascii="David" w:hAnsi="David" w:hint="eastAsia"/>
          <w:b/>
          <w:bCs/>
          <w:rtl/>
        </w:rPr>
        <w:t>עניין</w:t>
      </w:r>
      <w:r w:rsidRPr="0032115D">
        <w:rPr>
          <w:rFonts w:ascii="David" w:hAnsi="David"/>
          <w:b/>
          <w:bCs/>
          <w:rtl/>
        </w:rPr>
        <w:t xml:space="preserve"> </w:t>
      </w:r>
      <w:r w:rsidRPr="0032115D">
        <w:rPr>
          <w:rFonts w:ascii="David" w:hAnsi="David" w:hint="eastAsia"/>
          <w:b/>
          <w:bCs/>
          <w:rtl/>
        </w:rPr>
        <w:t>חסן</w:t>
      </w:r>
      <w:r w:rsidRPr="0032115D">
        <w:rPr>
          <w:rFonts w:ascii="David" w:hAnsi="David"/>
          <w:b/>
          <w:bCs/>
          <w:rtl/>
        </w:rPr>
        <w:t xml:space="preserve">, </w:t>
      </w:r>
      <w:r w:rsidRPr="0032115D">
        <w:rPr>
          <w:rFonts w:ascii="David" w:hAnsi="David" w:hint="eastAsia"/>
          <w:b/>
          <w:bCs/>
          <w:rtl/>
        </w:rPr>
        <w:t>פסקה</w:t>
      </w:r>
      <w:r w:rsidRPr="0032115D">
        <w:rPr>
          <w:rFonts w:ascii="David" w:hAnsi="David"/>
          <w:b/>
          <w:bCs/>
          <w:rtl/>
        </w:rPr>
        <w:t xml:space="preserve"> 12; עניין </w:t>
      </w:r>
      <w:r w:rsidRPr="0032115D">
        <w:rPr>
          <w:rFonts w:ascii="David" w:hAnsi="David" w:hint="eastAsia"/>
          <w:b/>
          <w:bCs/>
          <w:rtl/>
        </w:rPr>
        <w:t>עספור</w:t>
      </w:r>
      <w:r w:rsidRPr="0032115D">
        <w:rPr>
          <w:rFonts w:ascii="David" w:hAnsi="David"/>
          <w:b/>
          <w:bCs/>
          <w:rtl/>
        </w:rPr>
        <w:t xml:space="preserve">, </w:t>
      </w:r>
      <w:r w:rsidRPr="0032115D">
        <w:rPr>
          <w:rFonts w:ascii="David" w:hAnsi="David" w:hint="eastAsia"/>
          <w:b/>
          <w:bCs/>
          <w:rtl/>
        </w:rPr>
        <w:t>פסקה</w:t>
      </w:r>
      <w:r w:rsidRPr="0032115D">
        <w:rPr>
          <w:rFonts w:ascii="David" w:hAnsi="David"/>
          <w:b/>
          <w:bCs/>
          <w:rtl/>
        </w:rPr>
        <w:t xml:space="preserve"> 7).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w:t>
      </w:r>
      <w:r w:rsidRPr="0087197C">
        <w:rPr>
          <w:rFonts w:ascii="David" w:hAnsi="David"/>
          <w:b/>
          <w:bCs/>
          <w:rtl/>
        </w:rPr>
        <w:t xml:space="preserve"> והאינטרס הציבורי (</w:t>
      </w:r>
      <w:hyperlink r:id="rId16" w:history="1">
        <w:r w:rsidR="005F7B34" w:rsidRPr="005F7B34">
          <w:rPr>
            <w:rFonts w:ascii="David" w:hAnsi="David"/>
            <w:b/>
            <w:bCs/>
            <w:color w:val="0000FF"/>
            <w:u w:val="single"/>
            <w:rtl/>
          </w:rPr>
          <w:t>ע"פ 5643/14</w:t>
        </w:r>
      </w:hyperlink>
      <w:r w:rsidRPr="0087197C">
        <w:rPr>
          <w:rFonts w:ascii="David" w:hAnsi="David"/>
          <w:b/>
          <w:bCs/>
          <w:rtl/>
        </w:rPr>
        <w:t xml:space="preserve"> </w:t>
      </w:r>
      <w:r w:rsidRPr="0087197C">
        <w:rPr>
          <w:rFonts w:ascii="David" w:hAnsi="David" w:hint="eastAsia"/>
          <w:b/>
          <w:bCs/>
          <w:rtl/>
        </w:rPr>
        <w:t>עיסא</w:t>
      </w:r>
      <w:r w:rsidRPr="0087197C">
        <w:rPr>
          <w:rFonts w:ascii="David" w:hAnsi="David"/>
          <w:b/>
          <w:bCs/>
          <w:rtl/>
        </w:rPr>
        <w:t xml:space="preserve"> </w:t>
      </w:r>
      <w:r w:rsidRPr="0087197C">
        <w:rPr>
          <w:rFonts w:ascii="David" w:hAnsi="David" w:hint="eastAsia"/>
          <w:b/>
          <w:bCs/>
          <w:rtl/>
        </w:rPr>
        <w:t>נ</w:t>
      </w:r>
      <w:r w:rsidRPr="0087197C">
        <w:rPr>
          <w:rFonts w:ascii="David" w:hAnsi="David"/>
          <w:b/>
          <w:bCs/>
          <w:rtl/>
        </w:rPr>
        <w:t xml:space="preserve">' </w:t>
      </w:r>
      <w:r w:rsidRPr="0087197C">
        <w:rPr>
          <w:rFonts w:ascii="David" w:hAnsi="David" w:hint="eastAsia"/>
          <w:b/>
          <w:bCs/>
          <w:rtl/>
        </w:rPr>
        <w:t>מדינת</w:t>
      </w:r>
      <w:r w:rsidRPr="0087197C">
        <w:rPr>
          <w:rFonts w:ascii="David" w:hAnsi="David"/>
          <w:b/>
          <w:bCs/>
          <w:rtl/>
        </w:rPr>
        <w:t xml:space="preserve"> </w:t>
      </w:r>
      <w:r w:rsidRPr="0087197C">
        <w:rPr>
          <w:rFonts w:ascii="David" w:hAnsi="David" w:hint="eastAsia"/>
          <w:b/>
          <w:bCs/>
          <w:rtl/>
        </w:rPr>
        <w:t>ישראל</w:t>
      </w:r>
      <w:r w:rsidRPr="0087197C">
        <w:rPr>
          <w:rFonts w:ascii="David" w:hAnsi="David"/>
          <w:b/>
          <w:bCs/>
          <w:rtl/>
        </w:rPr>
        <w:t xml:space="preserve"> [פורסם בנבו] (23.6.2015) (</w:t>
      </w:r>
      <w:r w:rsidRPr="0087197C">
        <w:rPr>
          <w:rFonts w:ascii="David" w:hAnsi="David" w:hint="eastAsia"/>
          <w:b/>
          <w:bCs/>
          <w:rtl/>
        </w:rPr>
        <w:t>להלן</w:t>
      </w:r>
      <w:r w:rsidRPr="0087197C">
        <w:rPr>
          <w:rFonts w:ascii="David" w:hAnsi="David"/>
          <w:b/>
          <w:bCs/>
          <w:rtl/>
        </w:rPr>
        <w:t xml:space="preserve">: </w:t>
      </w:r>
      <w:r w:rsidRPr="0087197C">
        <w:rPr>
          <w:rFonts w:ascii="David" w:hAnsi="David" w:hint="eastAsia"/>
          <w:b/>
          <w:bCs/>
          <w:rtl/>
        </w:rPr>
        <w:t>עניין</w:t>
      </w:r>
      <w:r w:rsidRPr="0087197C">
        <w:rPr>
          <w:rFonts w:ascii="David" w:hAnsi="David"/>
          <w:b/>
          <w:bCs/>
          <w:rtl/>
        </w:rPr>
        <w:t xml:space="preserve"> </w:t>
      </w:r>
      <w:r w:rsidRPr="0087197C">
        <w:rPr>
          <w:rFonts w:ascii="David" w:hAnsi="David" w:hint="eastAsia"/>
          <w:b/>
          <w:bCs/>
          <w:rtl/>
        </w:rPr>
        <w:t>עיסא</w:t>
      </w:r>
      <w:r w:rsidRPr="0087197C">
        <w:rPr>
          <w:rFonts w:ascii="David" w:hAnsi="David"/>
          <w:b/>
          <w:bCs/>
          <w:rtl/>
        </w:rPr>
        <w:t xml:space="preserve">), </w:t>
      </w:r>
      <w:r w:rsidRPr="0087197C">
        <w:rPr>
          <w:rFonts w:ascii="David" w:hAnsi="David" w:hint="eastAsia"/>
          <w:b/>
          <w:bCs/>
          <w:rtl/>
        </w:rPr>
        <w:t>פסקה</w:t>
      </w:r>
      <w:r w:rsidRPr="0087197C">
        <w:rPr>
          <w:rFonts w:ascii="David" w:hAnsi="David"/>
          <w:b/>
          <w:bCs/>
          <w:rtl/>
        </w:rPr>
        <w:t xml:space="preserve"> 13; </w:t>
      </w:r>
      <w:r w:rsidRPr="0087197C">
        <w:rPr>
          <w:rFonts w:ascii="David" w:hAnsi="David" w:hint="eastAsia"/>
          <w:b/>
          <w:bCs/>
          <w:rtl/>
        </w:rPr>
        <w:t>עניין</w:t>
      </w:r>
      <w:r w:rsidRPr="0087197C">
        <w:rPr>
          <w:rFonts w:ascii="David" w:hAnsi="David"/>
          <w:b/>
          <w:bCs/>
          <w:rtl/>
        </w:rPr>
        <w:t xml:space="preserve"> </w:t>
      </w:r>
      <w:r w:rsidRPr="0087197C">
        <w:rPr>
          <w:rFonts w:ascii="David" w:hAnsi="David" w:hint="eastAsia"/>
          <w:b/>
          <w:bCs/>
          <w:rtl/>
        </w:rPr>
        <w:t>נפאע</w:t>
      </w:r>
      <w:r w:rsidRPr="0087197C">
        <w:rPr>
          <w:rFonts w:ascii="David" w:hAnsi="David"/>
          <w:b/>
          <w:bCs/>
          <w:rtl/>
        </w:rPr>
        <w:t xml:space="preserve">, </w:t>
      </w:r>
      <w:r w:rsidRPr="0087197C">
        <w:rPr>
          <w:rFonts w:ascii="David" w:hAnsi="David" w:hint="eastAsia"/>
          <w:b/>
          <w:bCs/>
          <w:rtl/>
        </w:rPr>
        <w:t>פסקה</w:t>
      </w:r>
      <w:r w:rsidRPr="0087197C">
        <w:rPr>
          <w:rFonts w:ascii="David" w:hAnsi="David"/>
          <w:b/>
          <w:bCs/>
          <w:rtl/>
        </w:rPr>
        <w:t xml:space="preserve"> 5</w:t>
      </w:r>
      <w:r>
        <w:rPr>
          <w:rFonts w:ascii="David" w:hAnsi="David"/>
          <w:b/>
          <w:bCs/>
          <w:rtl/>
        </w:rPr>
        <w:t>).</w:t>
      </w:r>
      <w:r>
        <w:rPr>
          <w:rFonts w:ascii="David" w:hAnsi="David" w:hint="cs"/>
          <w:b/>
          <w:bCs/>
          <w:rtl/>
        </w:rPr>
        <w:t>"</w:t>
      </w:r>
      <w:r w:rsidRPr="003E51E5">
        <w:rPr>
          <w:rFonts w:hint="cs"/>
          <w:rtl/>
        </w:rPr>
        <w:t xml:space="preserve"> (שם בפסקאות 10,11</w:t>
      </w:r>
      <w:r w:rsidRPr="003E51E5">
        <w:rPr>
          <w:rFonts w:ascii="David" w:hAnsi="David" w:hint="cs"/>
          <w:rtl/>
        </w:rPr>
        <w:t>)</w:t>
      </w:r>
    </w:p>
    <w:p w14:paraId="00F4A1C4" w14:textId="77777777" w:rsidR="00160004" w:rsidRPr="00160004" w:rsidRDefault="00160004" w:rsidP="00160004">
      <w:pPr>
        <w:spacing w:after="160" w:line="360" w:lineRule="auto"/>
        <w:jc w:val="both"/>
        <w:rPr>
          <w:rFonts w:ascii="Calibri" w:hAnsi="Calibri" w:cs="Arial"/>
          <w:sz w:val="12"/>
          <w:szCs w:val="12"/>
        </w:rPr>
      </w:pPr>
    </w:p>
    <w:p w14:paraId="43EE84AA" w14:textId="77777777" w:rsidR="00160004" w:rsidRPr="00160004" w:rsidRDefault="00160004" w:rsidP="00160004">
      <w:pPr>
        <w:pStyle w:val="a9"/>
        <w:numPr>
          <w:ilvl w:val="0"/>
          <w:numId w:val="1"/>
        </w:numPr>
        <w:spacing w:line="360" w:lineRule="auto"/>
        <w:jc w:val="both"/>
        <w:rPr>
          <w:rFonts w:ascii="Calibri" w:hAnsi="Calibri"/>
          <w:rtl/>
        </w:rPr>
      </w:pPr>
      <w:r w:rsidRPr="00160004">
        <w:rPr>
          <w:rFonts w:ascii="Calibri" w:hAnsi="Calibri" w:hint="cs"/>
          <w:rtl/>
        </w:rPr>
        <w:t>המגמה להחמיר בענישה בעבירות נשק באה לידי ביטוי בשורה ארוכה של פסקי דין שניתנו על ידי בית משפט העליון, בין היתר, ב</w:t>
      </w:r>
      <w:hyperlink r:id="rId17" w:history="1">
        <w:r w:rsidR="005F7B34" w:rsidRPr="005F7B34">
          <w:rPr>
            <w:rFonts w:ascii="Calibri" w:hAnsi="Calibri" w:hint="eastAsia"/>
            <w:color w:val="0000FF"/>
            <w:u w:val="single"/>
            <w:rtl/>
          </w:rPr>
          <w:t>ע</w:t>
        </w:r>
        <w:r w:rsidR="005F7B34" w:rsidRPr="005F7B34">
          <w:rPr>
            <w:rFonts w:ascii="Calibri" w:hAnsi="Calibri"/>
            <w:color w:val="0000FF"/>
            <w:u w:val="single"/>
            <w:rtl/>
          </w:rPr>
          <w:t>"</w:t>
        </w:r>
        <w:r w:rsidR="005F7B34" w:rsidRPr="005F7B34">
          <w:rPr>
            <w:rFonts w:ascii="Calibri" w:hAnsi="Calibri" w:hint="eastAsia"/>
            <w:color w:val="0000FF"/>
            <w:u w:val="single"/>
            <w:rtl/>
          </w:rPr>
          <w:t>פ</w:t>
        </w:r>
        <w:r w:rsidR="005F7B34" w:rsidRPr="005F7B34">
          <w:rPr>
            <w:rFonts w:ascii="Calibri" w:hAnsi="Calibri"/>
            <w:color w:val="0000FF"/>
            <w:u w:val="single"/>
            <w:rtl/>
          </w:rPr>
          <w:t xml:space="preserve"> 1323/13</w:t>
        </w:r>
      </w:hyperlink>
      <w:r w:rsidRPr="00160004">
        <w:rPr>
          <w:rFonts w:ascii="Calibri" w:hAnsi="Calibri" w:hint="cs"/>
          <w:rtl/>
        </w:rPr>
        <w:t xml:space="preserve"> </w:t>
      </w:r>
      <w:r w:rsidRPr="00160004">
        <w:rPr>
          <w:rFonts w:ascii="Calibri" w:hAnsi="Calibri" w:hint="cs"/>
          <w:b/>
          <w:bCs/>
          <w:rtl/>
        </w:rPr>
        <w:t>רך חסן  נגד מדינת ישראל</w:t>
      </w:r>
      <w:r w:rsidRPr="00160004">
        <w:rPr>
          <w:rFonts w:ascii="Calibri" w:hAnsi="Calibri" w:hint="cs"/>
          <w:rtl/>
        </w:rPr>
        <w:t xml:space="preserve">  (5.6.13), שם קבעה כבוד השופטת ארבל:</w:t>
      </w:r>
    </w:p>
    <w:p w14:paraId="30644AE5" w14:textId="77777777" w:rsidR="00160004" w:rsidRPr="00160004" w:rsidRDefault="00160004" w:rsidP="00160004">
      <w:pPr>
        <w:spacing w:before="120" w:after="120" w:line="360" w:lineRule="auto"/>
        <w:ind w:left="782"/>
        <w:contextualSpacing/>
        <w:jc w:val="both"/>
        <w:rPr>
          <w:rFonts w:ascii="Calibri" w:hAnsi="Calibri"/>
          <w:sz w:val="12"/>
          <w:szCs w:val="12"/>
          <w:rtl/>
        </w:rPr>
      </w:pPr>
    </w:p>
    <w:p w14:paraId="129A1008" w14:textId="77777777" w:rsidR="00160004" w:rsidRPr="0032115D" w:rsidRDefault="00160004" w:rsidP="00160004">
      <w:pPr>
        <w:spacing w:before="120" w:after="120" w:line="360" w:lineRule="auto"/>
        <w:ind w:left="1134" w:right="567"/>
        <w:contextualSpacing/>
        <w:jc w:val="both"/>
        <w:rPr>
          <w:rFonts w:ascii="David" w:hAnsi="David"/>
          <w:b/>
          <w:bCs/>
          <w:rtl/>
        </w:rPr>
      </w:pPr>
      <w:r w:rsidRPr="0032115D">
        <w:rPr>
          <w:rFonts w:ascii="David" w:hAnsi="David"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3B65B868" w14:textId="77777777" w:rsidR="00160004" w:rsidRPr="003E51E5" w:rsidRDefault="00160004" w:rsidP="00160004">
      <w:pPr>
        <w:spacing w:before="120" w:after="120" w:line="360" w:lineRule="auto"/>
        <w:jc w:val="both"/>
        <w:rPr>
          <w:rFonts w:ascii="Arial" w:hAnsi="Arial"/>
          <w:sz w:val="12"/>
          <w:szCs w:val="12"/>
        </w:rPr>
      </w:pPr>
    </w:p>
    <w:p w14:paraId="48603BC8" w14:textId="77777777" w:rsidR="00160004" w:rsidRPr="002E581F" w:rsidRDefault="00160004" w:rsidP="00160004">
      <w:pPr>
        <w:pStyle w:val="a9"/>
        <w:numPr>
          <w:ilvl w:val="0"/>
          <w:numId w:val="1"/>
        </w:numPr>
        <w:spacing w:line="360" w:lineRule="auto"/>
        <w:jc w:val="both"/>
        <w:rPr>
          <w:rFonts w:ascii="David" w:hAnsi="David"/>
          <w:rtl/>
        </w:rPr>
      </w:pPr>
      <w:r w:rsidRPr="002E581F">
        <w:rPr>
          <w:rFonts w:ascii="David" w:hAnsi="David" w:hint="cs"/>
          <w:rtl/>
        </w:rPr>
        <w:t xml:space="preserve">מדיניות הענישה הנהוגה בעבירות בנשק הינה מגוונת, והיא תלויה </w:t>
      </w:r>
      <w:r w:rsidRPr="002E581F">
        <w:rPr>
          <w:rFonts w:ascii="David" w:hAnsi="David" w:hint="cs"/>
          <w:b/>
          <w:bCs/>
          <w:rtl/>
        </w:rPr>
        <w:t xml:space="preserve">בנסיבותיו </w:t>
      </w:r>
      <w:r w:rsidRPr="002E581F">
        <w:rPr>
          <w:rFonts w:ascii="David" w:hAnsi="David" w:hint="cs"/>
          <w:rtl/>
        </w:rPr>
        <w:t>של כל מקרה ומקרה. כך למשל –</w:t>
      </w:r>
    </w:p>
    <w:p w14:paraId="2EE244DE" w14:textId="77777777" w:rsidR="00160004" w:rsidRPr="002E581F" w:rsidRDefault="00160004" w:rsidP="00160004">
      <w:pPr>
        <w:spacing w:before="120" w:after="120" w:line="360" w:lineRule="auto"/>
        <w:ind w:left="782"/>
        <w:contextualSpacing/>
        <w:jc w:val="both"/>
        <w:rPr>
          <w:rFonts w:ascii="David" w:hAnsi="David"/>
          <w:sz w:val="12"/>
          <w:szCs w:val="12"/>
          <w:rtl/>
        </w:rPr>
      </w:pPr>
    </w:p>
    <w:p w14:paraId="3978D0FD" w14:textId="77777777" w:rsidR="00160004" w:rsidRPr="002E581F" w:rsidRDefault="00160004" w:rsidP="00160004">
      <w:pPr>
        <w:spacing w:before="120" w:after="120" w:line="360" w:lineRule="auto"/>
        <w:ind w:left="782"/>
        <w:contextualSpacing/>
        <w:jc w:val="both"/>
        <w:rPr>
          <w:rFonts w:ascii="David" w:hAnsi="David"/>
          <w:rtl/>
        </w:rPr>
      </w:pPr>
      <w:r w:rsidRPr="002E581F">
        <w:rPr>
          <w:rFonts w:ascii="David" w:hAnsi="David" w:hint="cs"/>
          <w:rtl/>
          <w:lang w:eastAsia="he-IL"/>
        </w:rPr>
        <w:t>ב</w:t>
      </w:r>
      <w:hyperlink r:id="rId18" w:history="1">
        <w:r w:rsidR="005F7B34" w:rsidRPr="005F7B34">
          <w:rPr>
            <w:rFonts w:ascii="David" w:hAnsi="David"/>
            <w:color w:val="0000FF"/>
            <w:u w:val="single"/>
            <w:rtl/>
          </w:rPr>
          <w:t>ע"פ 135/17</w:t>
        </w:r>
      </w:hyperlink>
      <w:r w:rsidRPr="002E581F">
        <w:rPr>
          <w:rFonts w:ascii="David" w:hAnsi="David" w:hint="cs"/>
          <w:rtl/>
        </w:rPr>
        <w:t xml:space="preserve"> </w:t>
      </w:r>
      <w:r w:rsidRPr="002E581F">
        <w:rPr>
          <w:rFonts w:ascii="David" w:hAnsi="David" w:hint="cs"/>
          <w:b/>
          <w:bCs/>
          <w:rtl/>
        </w:rPr>
        <w:t>מדינת ישראל נ' סמי בסל</w:t>
      </w:r>
      <w:r w:rsidRPr="002E581F">
        <w:rPr>
          <w:rFonts w:ascii="David" w:hAnsi="David" w:hint="cs"/>
          <w:rtl/>
        </w:rPr>
        <w:t xml:space="preserve"> (8.3.17) </w:t>
      </w:r>
      <w:r w:rsidRPr="002E581F">
        <w:rPr>
          <w:rFonts w:ascii="David" w:hAnsi="David" w:hint="cs"/>
          <w:rtl/>
          <w:lang w:eastAsia="he-IL"/>
        </w:rPr>
        <w:t xml:space="preserve">קיבל בית המשפט העליון את ערעורה של המדינה  על גזר דינו של בית המשפט המחוזי בחיפה, במסגרתו הושת על הנאשם 12 חודשי מאסר לריצוי בפועל, בגין ביצוע עבירות של החזקה ונשיאת נשק לפי </w:t>
      </w:r>
      <w:r w:rsidRPr="005F7B34">
        <w:rPr>
          <w:rFonts w:ascii="David" w:hAnsi="David" w:hint="cs"/>
          <w:color w:val="000000"/>
          <w:rtl/>
          <w:lang w:eastAsia="he-IL"/>
        </w:rPr>
        <w:t xml:space="preserve">סעיף </w:t>
      </w:r>
      <w:hyperlink r:id="rId19" w:history="1">
        <w:r w:rsidR="00E93928" w:rsidRPr="00E93928">
          <w:rPr>
            <w:rFonts w:ascii="David" w:hAnsi="David"/>
            <w:color w:val="0000FF"/>
            <w:u w:val="single"/>
            <w:rtl/>
            <w:lang w:eastAsia="he-IL"/>
          </w:rPr>
          <w:t>144(א) ו-144(ב)</w:t>
        </w:r>
      </w:hyperlink>
      <w:r w:rsidRPr="002E581F">
        <w:rPr>
          <w:rFonts w:ascii="David" w:hAnsi="David" w:hint="cs"/>
          <w:rtl/>
          <w:lang w:eastAsia="he-IL"/>
        </w:rPr>
        <w:t xml:space="preserve"> ל</w:t>
      </w:r>
      <w:hyperlink r:id="rId20" w:history="1">
        <w:r w:rsidR="005F7B34" w:rsidRPr="005F7B34">
          <w:rPr>
            <w:rFonts w:ascii="David" w:hAnsi="David"/>
            <w:color w:val="0000FF"/>
            <w:u w:val="single"/>
            <w:rtl/>
            <w:lang w:eastAsia="he-IL"/>
          </w:rPr>
          <w:t>חוק העונשין</w:t>
        </w:r>
      </w:hyperlink>
      <w:r w:rsidRPr="002E581F">
        <w:rPr>
          <w:rFonts w:ascii="David" w:hAnsi="David" w:hint="cs"/>
          <w:rtl/>
          <w:lang w:eastAsia="he-IL"/>
        </w:rPr>
        <w:t xml:space="preserve"> וגזר עליו 18 חודשי מאסר. </w:t>
      </w:r>
      <w:r>
        <w:rPr>
          <w:rFonts w:ascii="David" w:hAnsi="David" w:hint="cs"/>
          <w:rtl/>
          <w:lang w:eastAsia="he-IL"/>
        </w:rPr>
        <w:t>במקרה דנן הנאשם היה כבן</w:t>
      </w:r>
      <w:r w:rsidRPr="002E581F">
        <w:rPr>
          <w:rFonts w:ascii="David" w:hAnsi="David" w:hint="cs"/>
          <w:rtl/>
          <w:lang w:eastAsia="he-IL"/>
        </w:rPr>
        <w:t xml:space="preserve"> 20, צבר לחובתו הרשעה אחת בעבירת איומים ושבל"ר, החזיק בתת מקלע ומחסנית והסתירם בשביל קרוב משפחתו, למשך שבוע ימים, שבסופם העבירם לאחר, אשר קנה את הנשק והמחסנית מקרוב משפחתו של הנאשם.</w:t>
      </w:r>
    </w:p>
    <w:p w14:paraId="6AF659AB" w14:textId="77777777" w:rsidR="00160004" w:rsidRPr="002E581F" w:rsidRDefault="00160004" w:rsidP="00160004">
      <w:pPr>
        <w:spacing w:before="120" w:after="120" w:line="360" w:lineRule="auto"/>
        <w:ind w:left="782"/>
        <w:contextualSpacing/>
        <w:jc w:val="both"/>
        <w:rPr>
          <w:rFonts w:ascii="David" w:hAnsi="David"/>
          <w:sz w:val="12"/>
          <w:szCs w:val="12"/>
        </w:rPr>
      </w:pPr>
    </w:p>
    <w:p w14:paraId="07DAD435" w14:textId="77777777" w:rsidR="00160004" w:rsidRPr="002E581F" w:rsidRDefault="00160004" w:rsidP="00160004">
      <w:pPr>
        <w:spacing w:before="120" w:after="120" w:line="360" w:lineRule="auto"/>
        <w:ind w:left="785"/>
        <w:contextualSpacing/>
        <w:jc w:val="both"/>
        <w:rPr>
          <w:rFonts w:ascii="David" w:hAnsi="David"/>
        </w:rPr>
      </w:pPr>
      <w:r w:rsidRPr="002E581F">
        <w:rPr>
          <w:rFonts w:ascii="David" w:hAnsi="David" w:hint="cs"/>
          <w:rtl/>
          <w:lang w:eastAsia="he-IL"/>
        </w:rPr>
        <w:t>ב</w:t>
      </w:r>
      <w:hyperlink r:id="rId21" w:history="1">
        <w:r w:rsidR="005F7B34" w:rsidRPr="005F7B34">
          <w:rPr>
            <w:rFonts w:ascii="David" w:hAnsi="David"/>
            <w:color w:val="0000FF"/>
            <w:u w:val="single"/>
            <w:rtl/>
            <w:lang w:eastAsia="he-IL"/>
          </w:rPr>
          <w:t>ע"פ 7552/14</w:t>
        </w:r>
      </w:hyperlink>
      <w:r w:rsidRPr="002E581F">
        <w:rPr>
          <w:rFonts w:ascii="David" w:hAnsi="David" w:hint="cs"/>
          <w:rtl/>
          <w:lang w:eastAsia="he-IL"/>
        </w:rPr>
        <w:t xml:space="preserve"> </w:t>
      </w:r>
      <w:r w:rsidRPr="002E581F">
        <w:rPr>
          <w:rFonts w:ascii="David" w:hAnsi="David" w:hint="cs"/>
          <w:b/>
          <w:bCs/>
          <w:rtl/>
          <w:lang w:eastAsia="he-IL"/>
        </w:rPr>
        <w:t>יוסף אגבאריה נ' מדינת ישראל</w:t>
      </w:r>
      <w:r w:rsidRPr="002E581F">
        <w:rPr>
          <w:rFonts w:ascii="David" w:hAnsi="David" w:hint="cs"/>
          <w:rtl/>
          <w:lang w:eastAsia="he-IL"/>
        </w:rPr>
        <w:t xml:space="preserve"> (23.6.15) דחה בית המשפט העליון ערעור על גזר דינו של בית המשפט המחוזי בתל אביב, במסגרתו הושת על המערער עונש מאסר בן 32 חודשי מאסר בפועל, בגין </w:t>
      </w:r>
      <w:r w:rsidRPr="002E581F">
        <w:rPr>
          <w:rFonts w:ascii="David" w:hAnsi="David" w:hint="cs"/>
          <w:rtl/>
        </w:rPr>
        <w:t xml:space="preserve">עבירה של סחר בנשק (אקדח) שבוצע בצוותא, </w:t>
      </w:r>
      <w:r>
        <w:rPr>
          <w:rFonts w:ascii="David" w:hAnsi="David" w:hint="cs"/>
          <w:rtl/>
        </w:rPr>
        <w:t xml:space="preserve">וכן </w:t>
      </w:r>
      <w:r w:rsidRPr="002E581F">
        <w:rPr>
          <w:rFonts w:ascii="David" w:hAnsi="David" w:hint="cs"/>
          <w:rtl/>
        </w:rPr>
        <w:t>עבירה של הפרעה לשוטר בעת מילוי תפקידו ועבירת איומים.</w:t>
      </w:r>
    </w:p>
    <w:p w14:paraId="710BBC0F" w14:textId="77777777" w:rsidR="00160004" w:rsidRPr="006325FE" w:rsidRDefault="00160004" w:rsidP="00160004">
      <w:pPr>
        <w:spacing w:before="120" w:after="120" w:line="360" w:lineRule="auto"/>
        <w:contextualSpacing/>
        <w:jc w:val="both"/>
        <w:rPr>
          <w:rFonts w:ascii="David" w:hAnsi="David"/>
          <w:sz w:val="12"/>
          <w:szCs w:val="12"/>
          <w:rtl/>
          <w:lang w:eastAsia="he-IL"/>
        </w:rPr>
      </w:pPr>
    </w:p>
    <w:p w14:paraId="6A3A7E3D" w14:textId="77777777" w:rsidR="00160004" w:rsidRPr="002E581F" w:rsidRDefault="00160004" w:rsidP="00160004">
      <w:pPr>
        <w:spacing w:before="120" w:after="120" w:line="360" w:lineRule="auto"/>
        <w:ind w:left="782"/>
        <w:contextualSpacing/>
        <w:jc w:val="both"/>
        <w:rPr>
          <w:rFonts w:ascii="Calibri" w:hAnsi="Calibri"/>
          <w:sz w:val="12"/>
          <w:szCs w:val="12"/>
          <w:lang w:eastAsia="he-IL"/>
        </w:rPr>
      </w:pPr>
    </w:p>
    <w:p w14:paraId="6109CE7D" w14:textId="77777777" w:rsidR="00160004" w:rsidRPr="002E581F" w:rsidRDefault="00160004" w:rsidP="00160004">
      <w:pPr>
        <w:spacing w:after="160" w:line="360" w:lineRule="auto"/>
        <w:ind w:left="785"/>
        <w:contextualSpacing/>
        <w:jc w:val="both"/>
        <w:rPr>
          <w:rFonts w:ascii="Arial" w:hAnsi="Arial"/>
          <w:rtl/>
        </w:rPr>
      </w:pPr>
      <w:r w:rsidRPr="00160004">
        <w:rPr>
          <w:rFonts w:ascii="Calibri" w:hAnsi="Calibri" w:hint="cs"/>
          <w:rtl/>
        </w:rPr>
        <w:t>ב</w:t>
      </w:r>
      <w:hyperlink r:id="rId22" w:history="1">
        <w:r w:rsidR="005F7B34" w:rsidRPr="005F7B34">
          <w:rPr>
            <w:rFonts w:ascii="Arial" w:hAnsi="Arial"/>
            <w:color w:val="0000FF"/>
            <w:u w:val="single"/>
            <w:rtl/>
          </w:rPr>
          <w:t>ע"פ 2186/13</w:t>
        </w:r>
      </w:hyperlink>
      <w:r w:rsidRPr="002E581F">
        <w:rPr>
          <w:rFonts w:ascii="Arial" w:hAnsi="Arial" w:hint="cs"/>
          <w:rtl/>
        </w:rPr>
        <w:t xml:space="preserve"> </w:t>
      </w:r>
      <w:r w:rsidRPr="002E581F">
        <w:rPr>
          <w:rFonts w:ascii="Arial" w:hAnsi="Arial" w:hint="cs"/>
          <w:b/>
          <w:bCs/>
          <w:rtl/>
        </w:rPr>
        <w:t>עקול נגד מ"י</w:t>
      </w:r>
      <w:r w:rsidRPr="002E581F">
        <w:rPr>
          <w:rFonts w:ascii="Arial" w:hAnsi="Arial" w:hint="cs"/>
          <w:rtl/>
        </w:rPr>
        <w:t xml:space="preserve"> (18.2.14), בית המשפט העליון לא התערב במתחם ענישה של 24 עד 48 חודשי מאסר שנקבע בבית המשפט המחוזי בחיפה, בגין עבירות של נשיאת נשק וסחר בנשק (אקדח, מחסנית וכדורים) לסוכן משטרתי.</w:t>
      </w:r>
    </w:p>
    <w:p w14:paraId="50437391" w14:textId="77777777" w:rsidR="00160004" w:rsidRPr="002E581F" w:rsidRDefault="00160004" w:rsidP="00160004">
      <w:pPr>
        <w:spacing w:before="120" w:after="120" w:line="360" w:lineRule="auto"/>
        <w:contextualSpacing/>
        <w:jc w:val="both"/>
        <w:rPr>
          <w:rFonts w:ascii="Arial" w:hAnsi="Arial"/>
          <w:sz w:val="12"/>
          <w:szCs w:val="12"/>
        </w:rPr>
      </w:pPr>
    </w:p>
    <w:p w14:paraId="46B55991" w14:textId="77777777" w:rsidR="00160004" w:rsidRPr="00160004" w:rsidRDefault="00160004" w:rsidP="00160004">
      <w:pPr>
        <w:snapToGrid w:val="0"/>
        <w:spacing w:before="120" w:after="120" w:line="360" w:lineRule="auto"/>
        <w:ind w:left="782"/>
        <w:jc w:val="both"/>
        <w:rPr>
          <w:rFonts w:ascii="Calibri" w:hAnsi="Calibri"/>
          <w:rtl/>
        </w:rPr>
      </w:pPr>
      <w:r w:rsidRPr="00160004">
        <w:rPr>
          <w:rFonts w:ascii="Calibri" w:hAnsi="Calibri" w:hint="cs"/>
          <w:rtl/>
        </w:rPr>
        <w:t>ב</w:t>
      </w:r>
      <w:hyperlink r:id="rId23" w:history="1">
        <w:r w:rsidR="005F7B34" w:rsidRPr="005F7B34">
          <w:rPr>
            <w:rFonts w:ascii="Calibri" w:hAnsi="Calibri" w:hint="eastAsia"/>
            <w:color w:val="0000FF"/>
            <w:u w:val="single"/>
            <w:rtl/>
          </w:rPr>
          <w:t>ע</w:t>
        </w:r>
        <w:r w:rsidR="005F7B34" w:rsidRPr="005F7B34">
          <w:rPr>
            <w:rFonts w:ascii="Calibri" w:hAnsi="Calibri"/>
            <w:color w:val="0000FF"/>
            <w:u w:val="single"/>
            <w:rtl/>
          </w:rPr>
          <w:t>"</w:t>
        </w:r>
        <w:r w:rsidR="005F7B34" w:rsidRPr="005F7B34">
          <w:rPr>
            <w:rFonts w:ascii="Calibri" w:hAnsi="Calibri" w:hint="eastAsia"/>
            <w:color w:val="0000FF"/>
            <w:u w:val="single"/>
            <w:rtl/>
          </w:rPr>
          <w:t>פ</w:t>
        </w:r>
        <w:r w:rsidR="005F7B34" w:rsidRPr="005F7B34">
          <w:rPr>
            <w:rFonts w:ascii="Calibri" w:hAnsi="Calibri"/>
            <w:color w:val="0000FF"/>
            <w:u w:val="single"/>
            <w:rtl/>
          </w:rPr>
          <w:t xml:space="preserve"> 526/14</w:t>
        </w:r>
      </w:hyperlink>
      <w:r w:rsidRPr="00160004">
        <w:rPr>
          <w:rFonts w:ascii="Calibri" w:hAnsi="Calibri" w:hint="cs"/>
          <w:rtl/>
        </w:rPr>
        <w:t xml:space="preserve"> </w:t>
      </w:r>
      <w:r w:rsidRPr="00160004">
        <w:rPr>
          <w:rFonts w:ascii="Calibri" w:hAnsi="Calibri" w:hint="cs"/>
          <w:b/>
          <w:bCs/>
          <w:rtl/>
        </w:rPr>
        <w:t>פלוני נ' מדינת ישראל</w:t>
      </w:r>
      <w:r w:rsidRPr="00160004">
        <w:rPr>
          <w:rFonts w:ascii="Calibri" w:hAnsi="Calibri" w:hint="cs"/>
          <w:rtl/>
        </w:rPr>
        <w:t xml:space="preserve"> (12.03.14) הנאשם הורשע בעבירות החזקת נשק וסחר בנשק, בבית המשפט המחוזי בבאר שבע (אקדח ומחסנית). הושת עליו 22 חודשי מאסר בפועל. בית המשפט העליון קיבל את ערעור הנאשם על חומרת העונש והפחית את עונשו ל-16 חודשי מאסר בפועל נוכח פוטנציאל שיקומי גבוה במיוחד. </w:t>
      </w:r>
    </w:p>
    <w:p w14:paraId="3639EBFD" w14:textId="77777777" w:rsidR="00160004" w:rsidRPr="00160004" w:rsidRDefault="00160004" w:rsidP="00160004">
      <w:pPr>
        <w:snapToGrid w:val="0"/>
        <w:spacing w:before="120" w:after="120" w:line="360" w:lineRule="auto"/>
        <w:ind w:left="782"/>
        <w:jc w:val="both"/>
        <w:rPr>
          <w:rFonts w:ascii="Calibri" w:hAnsi="Calibri"/>
          <w:sz w:val="2"/>
          <w:szCs w:val="2"/>
          <w:rtl/>
        </w:rPr>
      </w:pPr>
    </w:p>
    <w:p w14:paraId="671F1A5B" w14:textId="77777777" w:rsidR="00160004" w:rsidRPr="002E581F" w:rsidRDefault="00160004" w:rsidP="00160004">
      <w:pPr>
        <w:spacing w:before="120" w:after="120" w:line="360" w:lineRule="auto"/>
        <w:ind w:left="785"/>
        <w:contextualSpacing/>
        <w:jc w:val="both"/>
        <w:rPr>
          <w:rFonts w:ascii="Arial" w:hAnsi="Arial"/>
          <w:rtl/>
        </w:rPr>
      </w:pPr>
      <w:r w:rsidRPr="002E581F">
        <w:rPr>
          <w:rFonts w:ascii="Arial" w:hAnsi="Arial" w:hint="cs"/>
          <w:rtl/>
        </w:rPr>
        <w:t>ב</w:t>
      </w:r>
      <w:hyperlink r:id="rId24" w:history="1">
        <w:r w:rsidR="005F7B34" w:rsidRPr="005F7B34">
          <w:rPr>
            <w:rFonts w:ascii="Arial" w:hAnsi="Arial"/>
            <w:color w:val="0000FF"/>
            <w:u w:val="single"/>
            <w:rtl/>
          </w:rPr>
          <w:t>ע"פ 4945/13</w:t>
        </w:r>
      </w:hyperlink>
      <w:r w:rsidRPr="002E581F">
        <w:rPr>
          <w:rFonts w:ascii="Arial" w:hAnsi="Arial" w:hint="cs"/>
          <w:rtl/>
        </w:rPr>
        <w:t xml:space="preserve"> </w:t>
      </w:r>
      <w:r w:rsidRPr="002E581F">
        <w:rPr>
          <w:rFonts w:ascii="Arial" w:hAnsi="Arial" w:hint="cs"/>
          <w:b/>
          <w:bCs/>
          <w:rtl/>
        </w:rPr>
        <w:t>מדינת ישראל נ' סלימאן</w:t>
      </w:r>
      <w:r w:rsidRPr="002E581F">
        <w:rPr>
          <w:rFonts w:ascii="Arial" w:hAnsi="Arial" w:hint="cs"/>
          <w:rtl/>
        </w:rPr>
        <w:t xml:space="preserve"> (19.1.14) נקבע מדרג חומרה לעבירות הנשק השונות, כאשר עבירת הסחר מצויה ברף העליון. עבירת נשיאת והובלת הנשק נמצאת ברף הבינוני. עבירת רכישת נשק ואביזר נשק, נמצאת ברף התחתון של עבירות הנשק. באותו האירוע נקבע מתחם בשל עבירות של נשיאת והובלת נשק וכן רכישת אביזר של נשק שנע בין 12 ל-36 חודשי מאסר. שם דובר בנשק מסוג קרל גוסטב עם מחסנית וכדורים, וכן הנאשם בדק את תקינות הנשק כאשר ירה כדור בודד. בסופו של יום</w:t>
      </w:r>
      <w:r>
        <w:rPr>
          <w:rFonts w:ascii="Arial" w:hAnsi="Arial" w:hint="cs"/>
          <w:rtl/>
        </w:rPr>
        <w:t>,</w:t>
      </w:r>
      <w:r w:rsidRPr="002E581F">
        <w:rPr>
          <w:rFonts w:ascii="Arial" w:hAnsi="Arial" w:hint="cs"/>
          <w:rtl/>
        </w:rPr>
        <w:t xml:space="preserve"> בית משפט חרג ממתחם העונש ההולם מטעמי שיקום, והטיל שישה חודשי מאסר שירוצו בעבודות שירות, שם דובר בצעיר</w:t>
      </w:r>
      <w:r>
        <w:rPr>
          <w:rFonts w:ascii="Arial" w:hAnsi="Arial" w:hint="cs"/>
          <w:rtl/>
        </w:rPr>
        <w:t xml:space="preserve"> שהיה בן 19 בעת ביצוע העבירות, ו</w:t>
      </w:r>
      <w:r w:rsidRPr="002E581F">
        <w:rPr>
          <w:rFonts w:ascii="Arial" w:hAnsi="Arial" w:hint="cs"/>
          <w:rtl/>
        </w:rPr>
        <w:t>הנסיבות שהובילו לביצוע העבירות היה פחד וחשש לחייו. גם במסגרת פסק דין זה חזר בית המשפט העליון והדגיש, כי כלל בעבירות מסוג זה לא ניתן להסתפק בעונש של מאסר בעבודות שירות, אלא ראוי להטיל עונש של מאסר שירוצה בבית הכלא, מאחורי סורג ובריח.</w:t>
      </w:r>
    </w:p>
    <w:p w14:paraId="2F42FFE8" w14:textId="77777777" w:rsidR="00160004" w:rsidRPr="00160004" w:rsidRDefault="00160004" w:rsidP="00160004">
      <w:pPr>
        <w:pStyle w:val="a9"/>
        <w:numPr>
          <w:ilvl w:val="0"/>
          <w:numId w:val="1"/>
        </w:numPr>
        <w:spacing w:line="360" w:lineRule="auto"/>
        <w:jc w:val="both"/>
        <w:rPr>
          <w:rFonts w:ascii="Calibri" w:hAnsi="Calibri"/>
        </w:rPr>
      </w:pPr>
      <w:r w:rsidRPr="002E581F">
        <w:rPr>
          <w:rFonts w:ascii="David" w:hAnsi="David" w:hint="cs"/>
          <w:rtl/>
        </w:rPr>
        <w:t xml:space="preserve">אשר </w:t>
      </w:r>
      <w:r w:rsidRPr="006325FE">
        <w:rPr>
          <w:rFonts w:ascii="David" w:hAnsi="David" w:hint="cs"/>
          <w:rtl/>
        </w:rPr>
        <w:t>לנסיבות הקשורות בביצוע העבירה (</w:t>
      </w:r>
      <w:r w:rsidRPr="005F7B34">
        <w:rPr>
          <w:rFonts w:ascii="David" w:hAnsi="David" w:hint="cs"/>
          <w:color w:val="000000"/>
          <w:rtl/>
        </w:rPr>
        <w:t xml:space="preserve">סעיף </w:t>
      </w:r>
      <w:hyperlink r:id="rId25" w:history="1">
        <w:r w:rsidR="00E93928" w:rsidRPr="00E93928">
          <w:rPr>
            <w:rFonts w:ascii="David" w:hAnsi="David"/>
            <w:color w:val="0000FF"/>
            <w:u w:val="single"/>
            <w:rtl/>
          </w:rPr>
          <w:t>40 ט'</w:t>
        </w:r>
      </w:hyperlink>
      <w:r>
        <w:rPr>
          <w:rFonts w:ascii="David" w:hAnsi="David" w:hint="cs"/>
          <w:rtl/>
        </w:rPr>
        <w:t xml:space="preserve"> לחוק), </w:t>
      </w:r>
      <w:r w:rsidRPr="002E581F">
        <w:rPr>
          <w:rFonts w:ascii="Franklin Gothic Medium" w:hAnsi="Franklin Gothic Medium" w:hint="cs"/>
          <w:rtl/>
        </w:rPr>
        <w:t>שקלתי</w:t>
      </w:r>
      <w:r>
        <w:rPr>
          <w:rFonts w:ascii="Franklin Gothic Medium" w:hAnsi="Franklin Gothic Medium" w:hint="cs"/>
          <w:rtl/>
        </w:rPr>
        <w:t>,</w:t>
      </w:r>
      <w:r w:rsidRPr="002E581F">
        <w:rPr>
          <w:rFonts w:ascii="Franklin Gothic Medium" w:hAnsi="Franklin Gothic Medium" w:hint="cs"/>
          <w:rtl/>
        </w:rPr>
        <w:t xml:space="preserve"> כי מדובר בעבירה שבוצעה תוך תכנון מוקדם. </w:t>
      </w:r>
      <w:r>
        <w:rPr>
          <w:rFonts w:ascii="Franklin Gothic Medium" w:hAnsi="Franklin Gothic Medium" w:hint="cs"/>
          <w:rtl/>
        </w:rPr>
        <w:t>הנאשם נסע ברכבו עם נשק ומחסניות עם תחמושת מתאימה, הוא יצא עם הנשק מהרכב ולא הסס להציגו לאחרים במקום ציבורי</w:t>
      </w:r>
      <w:r w:rsidRPr="002E581F">
        <w:rPr>
          <w:rFonts w:ascii="Franklin Gothic Medium" w:hAnsi="Franklin Gothic Medium" w:hint="cs"/>
          <w:rtl/>
        </w:rPr>
        <w:t>. עוד התחשבתי בכך שעסקינן בתת מקלע</w:t>
      </w:r>
      <w:r>
        <w:rPr>
          <w:rFonts w:ascii="Franklin Gothic Medium" w:hAnsi="Franklin Gothic Medium" w:hint="cs"/>
          <w:rtl/>
        </w:rPr>
        <w:t xml:space="preserve"> תיקני</w:t>
      </w:r>
      <w:r w:rsidRPr="002E581F">
        <w:rPr>
          <w:rFonts w:ascii="Franklin Gothic Medium" w:hAnsi="Franklin Gothic Medium" w:hint="cs"/>
          <w:rtl/>
        </w:rPr>
        <w:t xml:space="preserve">, </w:t>
      </w:r>
      <w:r w:rsidRPr="002E581F">
        <w:rPr>
          <w:rFonts w:ascii="Calibri" w:hAnsi="Calibri" w:hint="cs"/>
          <w:rtl/>
        </w:rPr>
        <w:t xml:space="preserve">המאפשר ירי לטווח רחוק המיועד לפי טיבו ומהותו </w:t>
      </w:r>
      <w:r>
        <w:rPr>
          <w:rFonts w:ascii="Calibri" w:hAnsi="Calibri" w:hint="cs"/>
          <w:rtl/>
        </w:rPr>
        <w:t>לפגיעה משמעותית באדם,</w:t>
      </w:r>
      <w:r w:rsidRPr="002E581F">
        <w:rPr>
          <w:rFonts w:ascii="Calibri" w:hAnsi="Calibri" w:hint="cs"/>
          <w:rtl/>
        </w:rPr>
        <w:t xml:space="preserve"> </w:t>
      </w:r>
      <w:r w:rsidRPr="002E581F">
        <w:rPr>
          <w:rFonts w:ascii="Arial" w:hAnsi="Arial" w:hint="cs"/>
          <w:rtl/>
        </w:rPr>
        <w:t>והוא בעל פוטנציאל קטילה של ממש. בכך, חמור עני</w:t>
      </w:r>
      <w:r>
        <w:rPr>
          <w:rFonts w:ascii="Arial" w:hAnsi="Arial" w:hint="cs"/>
          <w:rtl/>
        </w:rPr>
        <w:t>י</w:t>
      </w:r>
      <w:r w:rsidRPr="002E581F">
        <w:rPr>
          <w:rFonts w:ascii="Arial" w:hAnsi="Arial" w:hint="cs"/>
          <w:rtl/>
        </w:rPr>
        <w:t>נו של הנאשם ממקרה של נ</w:t>
      </w:r>
      <w:r>
        <w:rPr>
          <w:rFonts w:ascii="Arial" w:hAnsi="Arial" w:hint="cs"/>
          <w:rtl/>
        </w:rPr>
        <w:t>שיאת נשק בעל קנה קצר, מסוג אקדח</w:t>
      </w:r>
      <w:r w:rsidRPr="002E581F">
        <w:rPr>
          <w:rFonts w:ascii="Arial" w:hAnsi="Arial" w:hint="cs"/>
          <w:rtl/>
        </w:rPr>
        <w:t>.</w:t>
      </w:r>
      <w:r w:rsidRPr="002E581F">
        <w:rPr>
          <w:rFonts w:ascii="Calibri" w:hAnsi="Calibri" w:hint="cs"/>
          <w:rtl/>
        </w:rPr>
        <w:t xml:space="preserve"> הנאשם </w:t>
      </w:r>
      <w:r>
        <w:rPr>
          <w:rFonts w:ascii="Calibri" w:hAnsi="Calibri" w:hint="cs"/>
          <w:rtl/>
        </w:rPr>
        <w:t>החזיק בתחמושת זמינה לשימוש בסמוך לנשק ויש בכך חומרה נוספת. מנגד,</w:t>
      </w:r>
      <w:r w:rsidRPr="002E581F">
        <w:rPr>
          <w:rFonts w:ascii="Calibri" w:hAnsi="Calibri" w:hint="cs"/>
          <w:rtl/>
        </w:rPr>
        <w:t xml:space="preserve"> לא נגרם נזק ממשי בגין העבירה בה הורשע הנאשם</w:t>
      </w:r>
      <w:r>
        <w:rPr>
          <w:rFonts w:ascii="Calibri" w:hAnsi="Calibri" w:hint="cs"/>
          <w:rtl/>
        </w:rPr>
        <w:t xml:space="preserve"> וכן הנאשם לא עשה שימוש בנשק,</w:t>
      </w:r>
      <w:r w:rsidRPr="002E581F">
        <w:rPr>
          <w:rFonts w:ascii="Calibri" w:hAnsi="Calibri" w:hint="cs"/>
          <w:rtl/>
        </w:rPr>
        <w:t xml:space="preserve"> </w:t>
      </w:r>
      <w:r w:rsidRPr="002E581F">
        <w:rPr>
          <w:rFonts w:ascii="David" w:hAnsi="David" w:hint="cs"/>
          <w:rtl/>
        </w:rPr>
        <w:t>כך שמידת הפגיעה בערך המוגן היתה בעוצמה בינונית.</w:t>
      </w:r>
      <w:r w:rsidRPr="00160004">
        <w:rPr>
          <w:rFonts w:ascii="Calibri" w:hAnsi="Calibri" w:hint="cs"/>
          <w:rtl/>
        </w:rPr>
        <w:t xml:space="preserve"> בהקשר זה יוער, כי לא נתתי משקל לאמור בתסקיר שירות המבחן באשר לנסיבות ביצוע העבירה, ומתחם העונש ההולם מתבסס על עובדות כתב האישום בלבד.</w:t>
      </w:r>
    </w:p>
    <w:p w14:paraId="386041DF" w14:textId="77777777" w:rsidR="00160004" w:rsidRPr="00160004" w:rsidRDefault="00160004" w:rsidP="00160004">
      <w:pPr>
        <w:pStyle w:val="a9"/>
        <w:spacing w:line="360" w:lineRule="auto"/>
        <w:jc w:val="both"/>
        <w:rPr>
          <w:rFonts w:ascii="Calibri" w:hAnsi="Calibri"/>
          <w:sz w:val="12"/>
          <w:szCs w:val="12"/>
        </w:rPr>
      </w:pPr>
    </w:p>
    <w:p w14:paraId="5FCBD2A4" w14:textId="77777777" w:rsidR="00160004" w:rsidRPr="00160004" w:rsidRDefault="00160004" w:rsidP="00160004">
      <w:pPr>
        <w:pStyle w:val="a9"/>
        <w:numPr>
          <w:ilvl w:val="0"/>
          <w:numId w:val="1"/>
        </w:numPr>
        <w:spacing w:line="360" w:lineRule="auto"/>
        <w:jc w:val="both"/>
        <w:rPr>
          <w:rFonts w:ascii="Calibri" w:hAnsi="Calibri"/>
        </w:rPr>
      </w:pPr>
      <w:r w:rsidRPr="00160004">
        <w:rPr>
          <w:rFonts w:ascii="Calibri" w:hAnsi="Calibri" w:hint="cs"/>
          <w:rtl/>
        </w:rPr>
        <w:t xml:space="preserve">לאחר שבחנתי את הערך החברתי שנפגע כתוצאה מביצוע העבירות שלפניי, את נסיבות ביצוע העבירות ואת מדיניות הענישה הנהוגה, הגעתי לכלל מסקנה כי מתחם העונש ההולם את העבירות שלפני, נע בין עונש של מאסר לתקופה של 18 חודשי מאסר בפועל לבין עונש של  36 חודשי מאסר בפועל, זאת לצד רכיבי ענישה נלווים. </w:t>
      </w:r>
    </w:p>
    <w:p w14:paraId="295CB41F" w14:textId="77777777" w:rsidR="00160004" w:rsidRPr="00160004" w:rsidRDefault="00160004" w:rsidP="00160004">
      <w:pPr>
        <w:pStyle w:val="a9"/>
        <w:spacing w:line="360" w:lineRule="auto"/>
        <w:jc w:val="both"/>
        <w:rPr>
          <w:rFonts w:ascii="Calibri" w:hAnsi="Calibri"/>
        </w:rPr>
      </w:pPr>
    </w:p>
    <w:p w14:paraId="6476DB3B" w14:textId="77777777" w:rsidR="00160004" w:rsidRPr="00A85E15" w:rsidRDefault="00160004" w:rsidP="00160004">
      <w:pPr>
        <w:spacing w:line="360" w:lineRule="auto"/>
        <w:ind w:firstLine="360"/>
        <w:jc w:val="both"/>
        <w:rPr>
          <w:b/>
          <w:bCs/>
          <w:u w:val="single"/>
        </w:rPr>
      </w:pPr>
      <w:r w:rsidRPr="00A85E15">
        <w:rPr>
          <w:rFonts w:hint="cs"/>
          <w:b/>
          <w:bCs/>
          <w:u w:val="single"/>
          <w:rtl/>
        </w:rPr>
        <w:t>סוגיית הסטייה מן מהמתחם</w:t>
      </w:r>
    </w:p>
    <w:p w14:paraId="3EC55BB2" w14:textId="77777777" w:rsidR="00160004" w:rsidRPr="00160004" w:rsidRDefault="00160004" w:rsidP="00160004">
      <w:pPr>
        <w:pStyle w:val="a9"/>
        <w:numPr>
          <w:ilvl w:val="0"/>
          <w:numId w:val="1"/>
        </w:numPr>
        <w:spacing w:line="360" w:lineRule="auto"/>
        <w:jc w:val="both"/>
        <w:rPr>
          <w:rFonts w:ascii="Calibri" w:hAnsi="Calibri"/>
        </w:rPr>
      </w:pPr>
      <w:r w:rsidRPr="003C7682">
        <w:rPr>
          <w:rFonts w:ascii="David" w:hAnsi="David" w:hint="cs"/>
          <w:rtl/>
        </w:rPr>
        <w:t xml:space="preserve">במקרה דנן, לא קיימים שיקולים אשר מצדיקים סטייה מהמתחם, לחומרה או לקולא. שיקול ההגנה על שלום הציבור אינו מצדיק החמרה בעונשו של הנאשם ואין המלצה שיקומית בעניינו, </w:t>
      </w:r>
      <w:r>
        <w:rPr>
          <w:rFonts w:ascii="David" w:hAnsi="David" w:hint="cs"/>
          <w:rtl/>
        </w:rPr>
        <w:t xml:space="preserve">כך </w:t>
      </w:r>
      <w:r w:rsidRPr="003C7682">
        <w:rPr>
          <w:rFonts w:ascii="David" w:hAnsi="David" w:hint="cs"/>
          <w:rtl/>
        </w:rPr>
        <w:t>שהשיקול השיקומי אינו מצדיק הקלה בעונשו.</w:t>
      </w:r>
    </w:p>
    <w:p w14:paraId="345B9FC5" w14:textId="77777777" w:rsidR="00160004" w:rsidRPr="003C7682" w:rsidRDefault="00160004" w:rsidP="00160004">
      <w:pPr>
        <w:spacing w:line="360" w:lineRule="auto"/>
        <w:jc w:val="both"/>
        <w:rPr>
          <w:rFonts w:ascii="David" w:hAnsi="David"/>
        </w:rPr>
      </w:pPr>
    </w:p>
    <w:p w14:paraId="3A0D15D1" w14:textId="77777777" w:rsidR="00160004" w:rsidRPr="00A85E15" w:rsidRDefault="00160004" w:rsidP="00160004">
      <w:pPr>
        <w:spacing w:line="360" w:lineRule="auto"/>
        <w:ind w:firstLine="360"/>
        <w:jc w:val="both"/>
        <w:rPr>
          <w:b/>
          <w:bCs/>
          <w:u w:val="single"/>
        </w:rPr>
      </w:pPr>
      <w:r w:rsidRPr="00A85E15">
        <w:rPr>
          <w:rFonts w:hint="cs"/>
          <w:b/>
          <w:bCs/>
          <w:u w:val="single"/>
          <w:rtl/>
        </w:rPr>
        <w:t xml:space="preserve">העונש המתאים </w:t>
      </w:r>
    </w:p>
    <w:p w14:paraId="230AD72F" w14:textId="77777777" w:rsidR="00160004" w:rsidRPr="003C7682" w:rsidRDefault="00160004" w:rsidP="00160004">
      <w:pPr>
        <w:pStyle w:val="a9"/>
        <w:numPr>
          <w:ilvl w:val="0"/>
          <w:numId w:val="1"/>
        </w:numPr>
        <w:spacing w:line="360" w:lineRule="auto"/>
        <w:jc w:val="both"/>
        <w:rPr>
          <w:rFonts w:ascii="David" w:hAnsi="David"/>
        </w:rPr>
      </w:pPr>
      <w:r w:rsidRPr="002E581F">
        <w:rPr>
          <w:rFonts w:ascii="David" w:hAnsi="David" w:hint="cs"/>
          <w:rtl/>
        </w:rPr>
        <w:t xml:space="preserve">בגזירת העונש המתאים לנאשם, בגדרי מתחם העונש ההולם, יש להתחשב </w:t>
      </w:r>
      <w:r w:rsidRPr="003C7682">
        <w:rPr>
          <w:rFonts w:ascii="David" w:hAnsi="David" w:hint="cs"/>
          <w:rtl/>
        </w:rPr>
        <w:t>בנסיבות שאינן קשורות בביצוע העבירה (</w:t>
      </w:r>
      <w:r w:rsidRPr="005F7B34">
        <w:rPr>
          <w:rFonts w:ascii="David" w:hAnsi="David" w:hint="cs"/>
          <w:color w:val="000000"/>
          <w:rtl/>
        </w:rPr>
        <w:t xml:space="preserve">סעיף </w:t>
      </w:r>
      <w:hyperlink r:id="rId26" w:history="1">
        <w:r w:rsidR="00E93928" w:rsidRPr="00E93928">
          <w:rPr>
            <w:rFonts w:ascii="David" w:hAnsi="David"/>
            <w:color w:val="0000FF"/>
            <w:u w:val="single"/>
            <w:rtl/>
          </w:rPr>
          <w:t>40 יא'</w:t>
        </w:r>
      </w:hyperlink>
      <w:r w:rsidRPr="003C7682">
        <w:rPr>
          <w:rFonts w:ascii="David" w:hAnsi="David" w:hint="cs"/>
          <w:rtl/>
        </w:rPr>
        <w:t xml:space="preserve">). במסגרת זו </w:t>
      </w:r>
      <w:r w:rsidRPr="003C7682">
        <w:rPr>
          <w:rFonts w:hint="cs"/>
          <w:rtl/>
        </w:rPr>
        <w:t>מן הראוי לתת את הדעת לנסיבות הבאות:</w:t>
      </w:r>
    </w:p>
    <w:p w14:paraId="71EDDAE5" w14:textId="77777777" w:rsidR="00160004" w:rsidRPr="003C7682" w:rsidRDefault="00160004" w:rsidP="00160004">
      <w:pPr>
        <w:pStyle w:val="a9"/>
        <w:spacing w:line="360" w:lineRule="auto"/>
        <w:jc w:val="both"/>
        <w:rPr>
          <w:rFonts w:ascii="David" w:hAnsi="David"/>
          <w:sz w:val="12"/>
          <w:szCs w:val="12"/>
        </w:rPr>
      </w:pPr>
    </w:p>
    <w:p w14:paraId="4CF38591" w14:textId="77777777" w:rsidR="00160004" w:rsidRPr="003C7682" w:rsidRDefault="00160004" w:rsidP="00160004">
      <w:pPr>
        <w:pStyle w:val="a9"/>
        <w:numPr>
          <w:ilvl w:val="1"/>
          <w:numId w:val="2"/>
        </w:numPr>
        <w:spacing w:line="360" w:lineRule="auto"/>
        <w:jc w:val="both"/>
        <w:rPr>
          <w:rFonts w:ascii="David" w:hAnsi="David"/>
        </w:rPr>
      </w:pPr>
      <w:r w:rsidRPr="003C7682">
        <w:rPr>
          <w:rFonts w:hint="cs"/>
          <w:rtl/>
        </w:rPr>
        <w:t>הפגיעה של העונש בנאשם, לרבות בשל גילו;  הנאשם בן 25, בן למשפחה נורמטיבית, מנהל אורח חיים נורמטיבי, רווק שעבד לפרנסתו טרם מעצרו. אחיו של הנאשם סובלים מבעיות רפואיות וכך גם אביו, ומשפחתו מסתייעת בו לצורכי פרנסתה. הנאשם שהה במעצר במשך למעלה משישה חודשים, וידוע כי תנאי מעצר קשים מתנאי מאסר.</w:t>
      </w:r>
    </w:p>
    <w:p w14:paraId="3557E79D" w14:textId="77777777" w:rsidR="00160004" w:rsidRPr="003C7682" w:rsidRDefault="00160004" w:rsidP="00160004">
      <w:pPr>
        <w:pStyle w:val="a9"/>
        <w:spacing w:line="360" w:lineRule="auto"/>
        <w:ind w:left="1080"/>
        <w:jc w:val="both"/>
        <w:rPr>
          <w:rFonts w:ascii="David" w:hAnsi="David"/>
          <w:sz w:val="12"/>
          <w:szCs w:val="12"/>
        </w:rPr>
      </w:pPr>
    </w:p>
    <w:p w14:paraId="085D4702" w14:textId="77777777" w:rsidR="00160004" w:rsidRPr="003C7682" w:rsidRDefault="00160004" w:rsidP="00160004">
      <w:pPr>
        <w:pStyle w:val="a9"/>
        <w:numPr>
          <w:ilvl w:val="1"/>
          <w:numId w:val="2"/>
        </w:numPr>
        <w:spacing w:line="360" w:lineRule="auto"/>
        <w:jc w:val="both"/>
        <w:rPr>
          <w:sz w:val="12"/>
          <w:szCs w:val="12"/>
        </w:rPr>
      </w:pPr>
      <w:r w:rsidRPr="003C7682">
        <w:rPr>
          <w:rFonts w:hint="cs"/>
          <w:rtl/>
        </w:rPr>
        <w:t>נטילת האחריות של הנאשם על מעשיו; הנאשם לקח אחריות למעשיו בהזדמנות ראשונה ועל כן חסך זמן שיפוטי משמעותי. לדברי הנאשם הוא עובר טיפול במסגרת מעצרו. מנגד, הנאשם לא הפנים את חומרת מעשיו ואת השלכותיהם, אין המלצה שיקומית בעניינינו ושירות המבחן סבר שהוא בעל דפוסים אלימים.</w:t>
      </w:r>
    </w:p>
    <w:p w14:paraId="7D79CA73" w14:textId="77777777" w:rsidR="00160004" w:rsidRPr="003C7682" w:rsidRDefault="00160004" w:rsidP="00160004">
      <w:pPr>
        <w:pStyle w:val="a9"/>
        <w:spacing w:line="360" w:lineRule="auto"/>
        <w:ind w:left="1080"/>
        <w:jc w:val="both"/>
        <w:rPr>
          <w:sz w:val="12"/>
          <w:szCs w:val="12"/>
        </w:rPr>
      </w:pPr>
    </w:p>
    <w:p w14:paraId="44589CDB" w14:textId="77777777" w:rsidR="00160004" w:rsidRPr="003C7682" w:rsidRDefault="00160004" w:rsidP="00160004">
      <w:pPr>
        <w:pStyle w:val="a9"/>
        <w:numPr>
          <w:ilvl w:val="1"/>
          <w:numId w:val="2"/>
        </w:numPr>
        <w:spacing w:line="360" w:lineRule="auto"/>
        <w:jc w:val="both"/>
      </w:pPr>
      <w:r w:rsidRPr="003C7682">
        <w:rPr>
          <w:rFonts w:hint="cs"/>
          <w:rtl/>
        </w:rPr>
        <w:t>עברו הפלילי של הנאשם או העדרו; הנאשם צבר לחובתו שתי הרשעות קודמות כנער (בשנת 2011) בעבירות אלימות ובטחון, ש</w:t>
      </w:r>
      <w:r>
        <w:rPr>
          <w:rFonts w:hint="cs"/>
          <w:rtl/>
        </w:rPr>
        <w:t>ב</w:t>
      </w:r>
      <w:r w:rsidRPr="003C7682">
        <w:rPr>
          <w:rFonts w:hint="cs"/>
          <w:rtl/>
        </w:rPr>
        <w:t>גינן ריצה עונשי מאסר קצרים.</w:t>
      </w:r>
    </w:p>
    <w:p w14:paraId="168659CC" w14:textId="77777777" w:rsidR="00160004" w:rsidRPr="002E581F" w:rsidRDefault="00160004" w:rsidP="00160004">
      <w:pPr>
        <w:pStyle w:val="a9"/>
        <w:spacing w:line="360" w:lineRule="auto"/>
        <w:ind w:left="1080"/>
        <w:jc w:val="both"/>
        <w:rPr>
          <w:sz w:val="12"/>
          <w:szCs w:val="12"/>
        </w:rPr>
      </w:pPr>
    </w:p>
    <w:p w14:paraId="3B2FB197" w14:textId="77777777" w:rsidR="00160004" w:rsidRPr="002E581F" w:rsidRDefault="00160004" w:rsidP="00160004">
      <w:pPr>
        <w:pStyle w:val="a9"/>
        <w:numPr>
          <w:ilvl w:val="0"/>
          <w:numId w:val="1"/>
        </w:numPr>
        <w:spacing w:line="360" w:lineRule="auto"/>
        <w:jc w:val="both"/>
        <w:rPr>
          <w:sz w:val="12"/>
          <w:szCs w:val="12"/>
          <w:rtl/>
        </w:rPr>
      </w:pPr>
      <w:r w:rsidRPr="002E581F">
        <w:rPr>
          <w:rFonts w:hint="cs"/>
          <w:rtl/>
        </w:rPr>
        <w:t>עוד יש לתת דגש לשיקולי הרתעת הרבים, כפי שהדגיש כב' השופט שוהם ב</w:t>
      </w:r>
      <w:hyperlink r:id="rId27" w:history="1">
        <w:r w:rsidR="005F7B34" w:rsidRPr="005F7B34">
          <w:rPr>
            <w:color w:val="0000FF"/>
            <w:u w:val="single"/>
            <w:rtl/>
          </w:rPr>
          <w:t>ע"פ 7502/12</w:t>
        </w:r>
      </w:hyperlink>
      <w:r w:rsidRPr="002E581F">
        <w:rPr>
          <w:rFonts w:hint="cs"/>
          <w:rtl/>
        </w:rPr>
        <w:t xml:space="preserve"> עת חזר על ההלכה שנקבעה ב</w:t>
      </w:r>
      <w:hyperlink r:id="rId28" w:history="1">
        <w:r w:rsidR="005F7B34" w:rsidRPr="005F7B34">
          <w:rPr>
            <w:color w:val="0000FF"/>
            <w:u w:val="single"/>
            <w:rtl/>
          </w:rPr>
          <w:t>רע"פ 2718/04</w:t>
        </w:r>
      </w:hyperlink>
      <w:r w:rsidRPr="002E581F">
        <w:rPr>
          <w:rFonts w:hint="cs"/>
          <w:rtl/>
        </w:rPr>
        <w:t xml:space="preserve"> </w:t>
      </w:r>
      <w:r w:rsidRPr="002E581F">
        <w:rPr>
          <w:rFonts w:hint="cs"/>
          <w:b/>
          <w:bCs/>
          <w:rtl/>
        </w:rPr>
        <w:t>אבו דאחל</w:t>
      </w:r>
      <w:r w:rsidRPr="002E581F">
        <w:rPr>
          <w:rFonts w:hint="cs"/>
          <w:rtl/>
        </w:rPr>
        <w:t xml:space="preserve"> נ' </w:t>
      </w:r>
      <w:r w:rsidRPr="002E581F">
        <w:rPr>
          <w:rFonts w:hint="cs"/>
          <w:b/>
          <w:bCs/>
          <w:rtl/>
        </w:rPr>
        <w:t>מדינת ישראל</w:t>
      </w:r>
      <w:r w:rsidRPr="002E581F">
        <w:rPr>
          <w:rFonts w:hint="cs"/>
          <w:rtl/>
        </w:rPr>
        <w:t xml:space="preserve"> :</w:t>
      </w:r>
    </w:p>
    <w:p w14:paraId="2FBCB676" w14:textId="77777777" w:rsidR="00160004" w:rsidRPr="002E581F" w:rsidRDefault="00160004" w:rsidP="00160004">
      <w:pPr>
        <w:spacing w:line="360" w:lineRule="auto"/>
        <w:jc w:val="both"/>
        <w:rPr>
          <w:sz w:val="12"/>
          <w:szCs w:val="12"/>
        </w:rPr>
      </w:pPr>
    </w:p>
    <w:p w14:paraId="75B0A714" w14:textId="77777777" w:rsidR="00160004" w:rsidRPr="00160004" w:rsidRDefault="00160004" w:rsidP="00160004">
      <w:pPr>
        <w:pStyle w:val="a9"/>
        <w:tabs>
          <w:tab w:val="left" w:pos="7938"/>
        </w:tabs>
        <w:spacing w:line="360" w:lineRule="auto"/>
        <w:ind w:left="1134" w:right="567"/>
        <w:jc w:val="both"/>
        <w:rPr>
          <w:rFonts w:ascii="Calibri" w:hAnsi="Calibri"/>
          <w:b/>
          <w:bCs/>
        </w:rPr>
      </w:pPr>
      <w:r w:rsidRPr="00160004">
        <w:rPr>
          <w:rFonts w:ascii="Calibri" w:hAnsi="Calibri" w:hint="cs"/>
          <w:b/>
          <w:bCs/>
          <w:rtl/>
        </w:rPr>
        <w:t xml:space="preserve">"הסכנה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 (וראו גם, </w:t>
      </w:r>
      <w:hyperlink r:id="rId29" w:history="1">
        <w:r w:rsidR="005F7B34" w:rsidRPr="005F7B34">
          <w:rPr>
            <w:rFonts w:ascii="Calibri" w:hAnsi="Calibri" w:hint="eastAsia"/>
            <w:color w:val="0000FF"/>
            <w:u w:val="single"/>
            <w:rtl/>
          </w:rPr>
          <w:t>ע</w:t>
        </w:r>
        <w:r w:rsidR="005F7B34" w:rsidRPr="005F7B34">
          <w:rPr>
            <w:rFonts w:ascii="Calibri" w:hAnsi="Calibri"/>
            <w:color w:val="0000FF"/>
            <w:u w:val="single"/>
            <w:rtl/>
          </w:rPr>
          <w:t>"</w:t>
        </w:r>
        <w:r w:rsidR="005F7B34" w:rsidRPr="005F7B34">
          <w:rPr>
            <w:rFonts w:ascii="Calibri" w:hAnsi="Calibri" w:hint="eastAsia"/>
            <w:color w:val="0000FF"/>
            <w:u w:val="single"/>
            <w:rtl/>
          </w:rPr>
          <w:t>פ</w:t>
        </w:r>
        <w:r w:rsidR="005F7B34" w:rsidRPr="005F7B34">
          <w:rPr>
            <w:rFonts w:ascii="Calibri" w:hAnsi="Calibri"/>
            <w:color w:val="0000FF"/>
            <w:u w:val="single"/>
            <w:rtl/>
          </w:rPr>
          <w:t xml:space="preserve"> 6583/06</w:t>
        </w:r>
      </w:hyperlink>
      <w:r w:rsidRPr="00160004">
        <w:rPr>
          <w:rFonts w:ascii="Calibri" w:hAnsi="Calibri" w:hint="cs"/>
          <w:b/>
          <w:bCs/>
          <w:rtl/>
        </w:rPr>
        <w:t xml:space="preserve"> אדהאם נ' מדינת ישראל (5.12.2006); </w:t>
      </w:r>
      <w:hyperlink r:id="rId30" w:history="1">
        <w:r w:rsidR="005F7B34" w:rsidRPr="005F7B34">
          <w:rPr>
            <w:rFonts w:ascii="Calibri" w:hAnsi="Calibri" w:hint="eastAsia"/>
            <w:color w:val="0000FF"/>
            <w:u w:val="single"/>
            <w:rtl/>
          </w:rPr>
          <w:t>ע</w:t>
        </w:r>
        <w:r w:rsidR="005F7B34" w:rsidRPr="005F7B34">
          <w:rPr>
            <w:rFonts w:ascii="Calibri" w:hAnsi="Calibri"/>
            <w:color w:val="0000FF"/>
            <w:u w:val="single"/>
            <w:rtl/>
          </w:rPr>
          <w:t>"</w:t>
        </w:r>
        <w:r w:rsidR="005F7B34" w:rsidRPr="005F7B34">
          <w:rPr>
            <w:rFonts w:ascii="Calibri" w:hAnsi="Calibri" w:hint="eastAsia"/>
            <w:color w:val="0000FF"/>
            <w:u w:val="single"/>
            <w:rtl/>
          </w:rPr>
          <w:t>פ</w:t>
        </w:r>
        <w:r w:rsidR="005F7B34" w:rsidRPr="005F7B34">
          <w:rPr>
            <w:rFonts w:ascii="Calibri" w:hAnsi="Calibri"/>
            <w:color w:val="0000FF"/>
            <w:u w:val="single"/>
            <w:rtl/>
          </w:rPr>
          <w:t xml:space="preserve"> 2839/05</w:t>
        </w:r>
      </w:hyperlink>
      <w:r w:rsidRPr="00160004">
        <w:rPr>
          <w:rFonts w:ascii="Calibri" w:hAnsi="Calibri" w:hint="cs"/>
          <w:b/>
          <w:bCs/>
          <w:rtl/>
        </w:rPr>
        <w:t xml:space="preserve"> אל קאדר נ' מדינת ישראל (17.11.2005))."</w:t>
      </w:r>
    </w:p>
    <w:p w14:paraId="15069EC8" w14:textId="77777777" w:rsidR="00160004" w:rsidRPr="002E581F" w:rsidRDefault="00160004" w:rsidP="00160004">
      <w:pPr>
        <w:pStyle w:val="a9"/>
        <w:spacing w:line="360" w:lineRule="auto"/>
        <w:ind w:left="1134" w:right="1134"/>
        <w:jc w:val="both"/>
        <w:rPr>
          <w:b/>
          <w:bCs/>
          <w:sz w:val="12"/>
          <w:szCs w:val="12"/>
          <w:rtl/>
        </w:rPr>
      </w:pPr>
    </w:p>
    <w:p w14:paraId="3A062384" w14:textId="77777777" w:rsidR="00160004" w:rsidRPr="002E581F" w:rsidRDefault="00160004" w:rsidP="00160004">
      <w:pPr>
        <w:pStyle w:val="a9"/>
        <w:numPr>
          <w:ilvl w:val="0"/>
          <w:numId w:val="1"/>
        </w:numPr>
        <w:spacing w:line="360" w:lineRule="auto"/>
        <w:jc w:val="both"/>
        <w:rPr>
          <w:rtl/>
        </w:rPr>
      </w:pPr>
      <w:r>
        <w:rPr>
          <w:rFonts w:hint="cs"/>
          <w:rtl/>
        </w:rPr>
        <w:t>באיזון בין השיקולים השונים</w:t>
      </w:r>
      <w:r w:rsidRPr="002E581F">
        <w:rPr>
          <w:rFonts w:hint="cs"/>
          <w:rtl/>
        </w:rPr>
        <w:t xml:space="preserve"> סבורני</w:t>
      </w:r>
      <w:r>
        <w:rPr>
          <w:rFonts w:hint="cs"/>
          <w:rtl/>
        </w:rPr>
        <w:t>,</w:t>
      </w:r>
      <w:r w:rsidRPr="002E581F">
        <w:rPr>
          <w:rFonts w:hint="cs"/>
          <w:rtl/>
        </w:rPr>
        <w:t xml:space="preserve"> כי יש לגזור על הנאשם עונש מאסר </w:t>
      </w:r>
      <w:r>
        <w:rPr>
          <w:rFonts w:hint="cs"/>
          <w:rtl/>
        </w:rPr>
        <w:t>בחלק התחתון</w:t>
      </w:r>
      <w:r w:rsidRPr="002E581F">
        <w:rPr>
          <w:rFonts w:hint="cs"/>
          <w:rtl/>
        </w:rPr>
        <w:t xml:space="preserve"> של המתחם</w:t>
      </w:r>
      <w:r>
        <w:rPr>
          <w:rFonts w:hint="cs"/>
          <w:rtl/>
        </w:rPr>
        <w:t>, בהתחשב בכך שהוא אדם צעיר, הרשעתו האחרונה היא מלפני 7 שנים ומאז הוא מנהל אורח חיים נורמטיבי ומסייע בפרנסת בני משפחתו. אולם לא מצאתי להטיל עונש ברף הנמוך, וזאת בהתחשב בהמלצת שירות המבחן,</w:t>
      </w:r>
      <w:r w:rsidRPr="00D65CB3">
        <w:rPr>
          <w:rFonts w:hint="cs"/>
          <w:rtl/>
        </w:rPr>
        <w:t xml:space="preserve"> </w:t>
      </w:r>
      <w:r>
        <w:rPr>
          <w:rFonts w:hint="cs"/>
          <w:rtl/>
        </w:rPr>
        <w:t>כי יש מקום לנקוט בענישה הרתעתית ומוחשית בדמות מאסר בפועל, שתבהיר לנאשם את חומרת מעשיו, ובהתחשב בכך שמדובר במי שצבר לחובתו שתי הרשעות קודמות, עבר הליך שיקומי בעבר, ולמרות זאת חזר לבצע עבירה, וזה יהיה לו מאסרו השלישי</w:t>
      </w:r>
      <w:r w:rsidRPr="002E581F">
        <w:rPr>
          <w:rFonts w:hint="cs"/>
          <w:rtl/>
        </w:rPr>
        <w:t xml:space="preserve">.  </w:t>
      </w:r>
    </w:p>
    <w:p w14:paraId="188D5606" w14:textId="77777777" w:rsidR="00160004" w:rsidRPr="00160004" w:rsidRDefault="00160004" w:rsidP="00160004">
      <w:pPr>
        <w:pStyle w:val="a9"/>
        <w:spacing w:line="360" w:lineRule="auto"/>
        <w:ind w:left="785"/>
        <w:jc w:val="both"/>
        <w:rPr>
          <w:rFonts w:ascii="Calibri" w:hAnsi="Calibri"/>
          <w:sz w:val="12"/>
          <w:szCs w:val="12"/>
        </w:rPr>
      </w:pPr>
    </w:p>
    <w:p w14:paraId="0129DA35" w14:textId="77777777" w:rsidR="00160004" w:rsidRPr="002E581F" w:rsidRDefault="00160004" w:rsidP="00160004">
      <w:pPr>
        <w:pStyle w:val="a9"/>
        <w:spacing w:line="360" w:lineRule="auto"/>
        <w:jc w:val="both"/>
        <w:rPr>
          <w:sz w:val="14"/>
          <w:szCs w:val="14"/>
          <w:rtl/>
        </w:rPr>
      </w:pPr>
    </w:p>
    <w:p w14:paraId="3DA4D54E" w14:textId="77777777" w:rsidR="00160004" w:rsidRPr="002E581F" w:rsidRDefault="00160004" w:rsidP="00160004">
      <w:pPr>
        <w:pStyle w:val="a9"/>
        <w:numPr>
          <w:ilvl w:val="0"/>
          <w:numId w:val="1"/>
        </w:numPr>
        <w:spacing w:line="360" w:lineRule="auto"/>
        <w:jc w:val="both"/>
        <w:rPr>
          <w:rtl/>
        </w:rPr>
      </w:pPr>
      <w:r w:rsidRPr="002E581F">
        <w:rPr>
          <w:rFonts w:ascii="David" w:hAnsi="David" w:hint="cs"/>
          <w:rtl/>
        </w:rPr>
        <w:t>לאור כל האמור לעיל</w:t>
      </w:r>
      <w:r>
        <w:rPr>
          <w:rFonts w:ascii="David" w:hAnsi="David" w:hint="cs"/>
          <w:rtl/>
        </w:rPr>
        <w:t>,</w:t>
      </w:r>
      <w:r w:rsidRPr="002E581F">
        <w:rPr>
          <w:rFonts w:ascii="David" w:hAnsi="David" w:hint="cs"/>
          <w:rtl/>
        </w:rPr>
        <w:t xml:space="preserve"> החלטתי להטיל על הנאשם את העונשים כדלהלן: </w:t>
      </w:r>
    </w:p>
    <w:p w14:paraId="7797F810" w14:textId="77777777" w:rsidR="00160004" w:rsidRPr="002E581F" w:rsidRDefault="00160004" w:rsidP="00160004">
      <w:pPr>
        <w:pStyle w:val="a9"/>
        <w:spacing w:line="360" w:lineRule="auto"/>
        <w:jc w:val="both"/>
        <w:rPr>
          <w:sz w:val="14"/>
          <w:szCs w:val="14"/>
        </w:rPr>
      </w:pPr>
    </w:p>
    <w:p w14:paraId="1C14643E" w14:textId="77777777" w:rsidR="00160004" w:rsidRPr="00701915" w:rsidRDefault="00160004" w:rsidP="00160004">
      <w:pPr>
        <w:pStyle w:val="a9"/>
        <w:numPr>
          <w:ilvl w:val="1"/>
          <w:numId w:val="3"/>
        </w:numPr>
        <w:spacing w:line="360" w:lineRule="auto"/>
        <w:jc w:val="both"/>
      </w:pPr>
      <w:r>
        <w:rPr>
          <w:rFonts w:hint="cs"/>
          <w:rtl/>
        </w:rPr>
        <w:t>22 חודשי מאסר, שירוצו מיום מעצרו 26.3.18.</w:t>
      </w:r>
    </w:p>
    <w:p w14:paraId="55565DB0" w14:textId="77777777" w:rsidR="00160004" w:rsidRPr="00701915" w:rsidRDefault="00160004" w:rsidP="00160004">
      <w:pPr>
        <w:pStyle w:val="a9"/>
        <w:spacing w:line="360" w:lineRule="auto"/>
        <w:ind w:left="1980"/>
        <w:jc w:val="both"/>
        <w:rPr>
          <w:sz w:val="12"/>
          <w:szCs w:val="12"/>
        </w:rPr>
      </w:pPr>
    </w:p>
    <w:p w14:paraId="6D55077F" w14:textId="77777777" w:rsidR="00160004" w:rsidRPr="002E581F" w:rsidRDefault="00160004" w:rsidP="00160004">
      <w:pPr>
        <w:pStyle w:val="a9"/>
        <w:numPr>
          <w:ilvl w:val="1"/>
          <w:numId w:val="3"/>
        </w:numPr>
        <w:spacing w:line="360" w:lineRule="auto"/>
        <w:jc w:val="both"/>
      </w:pPr>
      <w:r>
        <w:rPr>
          <w:rFonts w:hint="cs"/>
          <w:rtl/>
        </w:rPr>
        <w:t>10</w:t>
      </w:r>
      <w:r w:rsidRPr="002E581F">
        <w:rPr>
          <w:rFonts w:hint="cs"/>
          <w:rtl/>
        </w:rPr>
        <w:t xml:space="preserve"> חודשי מאסר. הנאשם לא ירצה עונש זה אלא אם יעבור בתוך שנתיים מיום שחרורו על עבירות בנשק מסוג פשע.</w:t>
      </w:r>
    </w:p>
    <w:p w14:paraId="720D75D1" w14:textId="77777777" w:rsidR="00160004" w:rsidRPr="002E581F" w:rsidRDefault="00160004" w:rsidP="00160004">
      <w:pPr>
        <w:pStyle w:val="a9"/>
        <w:spacing w:line="360" w:lineRule="auto"/>
        <w:ind w:left="1980"/>
        <w:jc w:val="both"/>
        <w:rPr>
          <w:sz w:val="12"/>
          <w:szCs w:val="12"/>
        </w:rPr>
      </w:pPr>
    </w:p>
    <w:p w14:paraId="096DB54F" w14:textId="77777777" w:rsidR="00160004" w:rsidRDefault="00160004" w:rsidP="00160004">
      <w:pPr>
        <w:pStyle w:val="a9"/>
        <w:numPr>
          <w:ilvl w:val="1"/>
          <w:numId w:val="3"/>
        </w:numPr>
        <w:spacing w:line="360" w:lineRule="auto"/>
        <w:jc w:val="both"/>
      </w:pPr>
      <w:r>
        <w:rPr>
          <w:rFonts w:hint="cs"/>
          <w:rtl/>
        </w:rPr>
        <w:t>5</w:t>
      </w:r>
      <w:r w:rsidRPr="002E581F">
        <w:rPr>
          <w:rFonts w:hint="cs"/>
          <w:rtl/>
        </w:rPr>
        <w:t xml:space="preserve"> חודשי מאסר. הנאשם לא ירצה עונש זה אלא אם יעבור בתוך שנתיים מיום שחרורו על עבירות בנשק מסוג עוון.</w:t>
      </w:r>
    </w:p>
    <w:p w14:paraId="50D15E35" w14:textId="77777777" w:rsidR="00160004" w:rsidRPr="00CA4540" w:rsidRDefault="00160004" w:rsidP="00160004">
      <w:pPr>
        <w:pStyle w:val="a9"/>
        <w:spacing w:line="360" w:lineRule="auto"/>
        <w:ind w:left="1980"/>
        <w:jc w:val="both"/>
        <w:rPr>
          <w:sz w:val="12"/>
          <w:szCs w:val="12"/>
        </w:rPr>
      </w:pPr>
    </w:p>
    <w:p w14:paraId="0B17EE2D" w14:textId="77777777" w:rsidR="00160004" w:rsidRDefault="00160004" w:rsidP="00160004">
      <w:pPr>
        <w:pStyle w:val="a9"/>
        <w:numPr>
          <w:ilvl w:val="1"/>
          <w:numId w:val="3"/>
        </w:numPr>
        <w:spacing w:line="360" w:lineRule="auto"/>
        <w:jc w:val="both"/>
      </w:pPr>
      <w:r>
        <w:rPr>
          <w:rFonts w:hint="cs"/>
          <w:rtl/>
        </w:rPr>
        <w:t>לנוכח תקופת המאסר ואופייה של העבירה לא מצאתי שיש מקום להטיל קנס.</w:t>
      </w:r>
    </w:p>
    <w:p w14:paraId="3018DC70" w14:textId="77777777" w:rsidR="00160004" w:rsidRPr="00CA4540" w:rsidRDefault="00160004" w:rsidP="00160004">
      <w:pPr>
        <w:pStyle w:val="a9"/>
        <w:spacing w:line="360" w:lineRule="auto"/>
        <w:ind w:left="1980"/>
        <w:jc w:val="both"/>
        <w:rPr>
          <w:sz w:val="12"/>
          <w:szCs w:val="12"/>
        </w:rPr>
      </w:pPr>
    </w:p>
    <w:p w14:paraId="44CD6EFB" w14:textId="77777777" w:rsidR="00160004" w:rsidRPr="002E581F" w:rsidRDefault="00160004" w:rsidP="00160004">
      <w:pPr>
        <w:pStyle w:val="a9"/>
        <w:numPr>
          <w:ilvl w:val="1"/>
          <w:numId w:val="3"/>
        </w:numPr>
        <w:spacing w:line="360" w:lineRule="auto"/>
        <w:jc w:val="both"/>
      </w:pPr>
      <w:r>
        <w:rPr>
          <w:rFonts w:hint="cs"/>
          <w:rtl/>
        </w:rPr>
        <w:t>הנשק יושמד או יחולט בהתאם להחלטת הרשם.</w:t>
      </w:r>
    </w:p>
    <w:p w14:paraId="1827792A" w14:textId="77777777" w:rsidR="00160004" w:rsidRDefault="00160004" w:rsidP="00160004">
      <w:pPr>
        <w:spacing w:line="360" w:lineRule="auto"/>
        <w:rPr>
          <w:rtl/>
        </w:rPr>
      </w:pPr>
    </w:p>
    <w:p w14:paraId="3D5FFBE7" w14:textId="77777777" w:rsidR="00160004" w:rsidRDefault="00160004" w:rsidP="00160004">
      <w:pPr>
        <w:spacing w:line="360" w:lineRule="auto"/>
        <w:rPr>
          <w:rtl/>
        </w:rPr>
      </w:pPr>
      <w:r>
        <w:rPr>
          <w:rFonts w:hint="cs"/>
          <w:rtl/>
        </w:rPr>
        <w:t>המזכירות תשלח את העתק גזר הדין לשירות המבחן.</w:t>
      </w:r>
    </w:p>
    <w:p w14:paraId="264F96E0" w14:textId="77777777" w:rsidR="00160004" w:rsidRPr="00242805" w:rsidRDefault="00160004" w:rsidP="00160004">
      <w:pPr>
        <w:spacing w:line="360" w:lineRule="auto"/>
        <w:rPr>
          <w:sz w:val="12"/>
          <w:szCs w:val="12"/>
        </w:rPr>
      </w:pPr>
    </w:p>
    <w:p w14:paraId="565BCD90" w14:textId="77777777" w:rsidR="00160004" w:rsidRDefault="00160004" w:rsidP="00160004">
      <w:pPr>
        <w:rPr>
          <w:b/>
          <w:bCs/>
          <w:rtl/>
        </w:rPr>
      </w:pPr>
      <w:r w:rsidRPr="002D6D19">
        <w:rPr>
          <w:rFonts w:hint="cs"/>
          <w:b/>
          <w:bCs/>
          <w:rtl/>
        </w:rPr>
        <w:t>זכות ערעור לבית המשפט העליון בתוך 45 יום מהיום.</w:t>
      </w:r>
    </w:p>
    <w:p w14:paraId="1AEA0460" w14:textId="77777777" w:rsidR="00160004" w:rsidRPr="00B05847" w:rsidRDefault="00160004" w:rsidP="00160004">
      <w:pPr>
        <w:rPr>
          <w:rtl/>
        </w:rPr>
      </w:pPr>
    </w:p>
    <w:p w14:paraId="1EB6A268" w14:textId="77777777" w:rsidR="00160004" w:rsidRDefault="005F7B34" w:rsidP="00160004">
      <w:pPr>
        <w:rPr>
          <w:rFonts w:cs="FrankRuehl"/>
          <w:sz w:val="28"/>
          <w:szCs w:val="28"/>
          <w:rtl/>
        </w:rPr>
      </w:pPr>
      <w:r w:rsidRPr="005F7B34">
        <w:rPr>
          <w:rFonts w:ascii="Arial" w:hAnsi="Arial"/>
          <w:color w:val="FFFFFF"/>
          <w:sz w:val="2"/>
          <w:szCs w:val="2"/>
          <w:rtl/>
        </w:rPr>
        <w:t>5129371</w:t>
      </w:r>
      <w:r>
        <w:rPr>
          <w:rFonts w:ascii="Arial" w:hAnsi="Arial"/>
          <w:rtl/>
        </w:rPr>
        <w:t xml:space="preserve">ניתן היום,  ו' חשוון תשע"ט, 15 אוקטובר 2018, במעמד ב"כ הצדדים והנאשם. </w:t>
      </w:r>
    </w:p>
    <w:p w14:paraId="5F8126DA" w14:textId="77777777" w:rsidR="00160004" w:rsidRPr="005F7B34" w:rsidRDefault="005F7B34" w:rsidP="00160004">
      <w:pPr>
        <w:jc w:val="center"/>
        <w:rPr>
          <w:color w:val="FFFFFF"/>
          <w:sz w:val="2"/>
          <w:szCs w:val="2"/>
        </w:rPr>
      </w:pPr>
      <w:r w:rsidRPr="005F7B34">
        <w:rPr>
          <w:color w:val="FFFFFF"/>
          <w:sz w:val="2"/>
          <w:szCs w:val="2"/>
          <w:rtl/>
        </w:rPr>
        <w:t>54678313</w:t>
      </w:r>
      <w:r w:rsidR="00160004" w:rsidRPr="005F7B34">
        <w:rPr>
          <w:rFonts w:hint="cs"/>
          <w:color w:val="FFFFFF"/>
          <w:sz w:val="2"/>
          <w:szCs w:val="2"/>
          <w:rtl/>
        </w:rPr>
        <w:t xml:space="preserve">   </w:t>
      </w:r>
      <w:r w:rsidR="00160004" w:rsidRPr="005F7B34">
        <w:rPr>
          <w:rFonts w:hint="cs"/>
          <w:color w:val="FFFFFF"/>
          <w:sz w:val="2"/>
          <w:szCs w:val="2"/>
          <w:rtl/>
        </w:rPr>
        <w:tab/>
      </w:r>
      <w:r w:rsidR="00160004" w:rsidRPr="005F7B34">
        <w:rPr>
          <w:rFonts w:hint="cs"/>
          <w:color w:val="FFFFFF"/>
          <w:sz w:val="2"/>
          <w:szCs w:val="2"/>
          <w:rtl/>
        </w:rPr>
        <w:tab/>
      </w:r>
      <w:r w:rsidR="00160004" w:rsidRPr="005F7B34">
        <w:rPr>
          <w:rFonts w:hint="cs"/>
          <w:color w:val="FFFFFF"/>
          <w:sz w:val="2"/>
          <w:szCs w:val="2"/>
          <w:rtl/>
        </w:rPr>
        <w:tab/>
      </w:r>
      <w:r w:rsidR="00160004" w:rsidRPr="005F7B34">
        <w:rPr>
          <w:rFonts w:hint="cs"/>
          <w:color w:val="FFFFFF"/>
          <w:sz w:val="2"/>
          <w:szCs w:val="2"/>
          <w:rtl/>
        </w:rPr>
        <w:tab/>
      </w:r>
      <w:r w:rsidR="00160004" w:rsidRPr="005F7B34">
        <w:rPr>
          <w:rFonts w:hint="cs"/>
          <w:color w:val="FFFFFF"/>
          <w:sz w:val="2"/>
          <w:szCs w:val="2"/>
          <w:rtl/>
        </w:rPr>
        <w:tab/>
      </w:r>
      <w:r w:rsidR="00160004" w:rsidRPr="005F7B34">
        <w:rPr>
          <w:color w:val="FFFFFF"/>
          <w:sz w:val="2"/>
          <w:szCs w:val="2"/>
          <w:rtl/>
        </w:rPr>
        <w:t xml:space="preserve">     </w:t>
      </w:r>
    </w:p>
    <w:p w14:paraId="78BC6670" w14:textId="77777777" w:rsidR="00160004" w:rsidRDefault="00160004" w:rsidP="00160004">
      <w:pPr>
        <w:jc w:val="center"/>
        <w:rPr>
          <w:rFonts w:ascii="Arial" w:hAnsi="Arial" w:cs="FrankRuehl"/>
          <w:sz w:val="28"/>
          <w:szCs w:val="28"/>
          <w:rtl/>
        </w:rPr>
      </w:pPr>
    </w:p>
    <w:p w14:paraId="6EB2D072" w14:textId="77777777" w:rsidR="00160004" w:rsidRDefault="00160004" w:rsidP="00160004">
      <w:pPr>
        <w:rPr>
          <w:rFonts w:cs="FrankRuehl"/>
          <w:sz w:val="28"/>
          <w:szCs w:val="28"/>
          <w:rtl/>
        </w:rPr>
      </w:pPr>
    </w:p>
    <w:p w14:paraId="5CF385B2" w14:textId="77777777" w:rsidR="00160004" w:rsidRDefault="00160004" w:rsidP="00160004">
      <w:pPr>
        <w:rPr>
          <w:rFonts w:cs="FrankRuehl"/>
          <w:sz w:val="28"/>
          <w:szCs w:val="28"/>
          <w:rtl/>
        </w:rPr>
      </w:pPr>
    </w:p>
    <w:p w14:paraId="055CE73E" w14:textId="77777777" w:rsidR="00160004" w:rsidRPr="00E93928" w:rsidRDefault="00E93928" w:rsidP="00160004">
      <w:pPr>
        <w:rPr>
          <w:rFonts w:cs="FrankRuehl"/>
          <w:color w:val="FFFFFF"/>
          <w:sz w:val="2"/>
          <w:szCs w:val="2"/>
          <w:rtl/>
        </w:rPr>
      </w:pPr>
      <w:r w:rsidRPr="00E93928">
        <w:rPr>
          <w:rFonts w:cs="FrankRuehl"/>
          <w:color w:val="FFFFFF"/>
          <w:sz w:val="2"/>
          <w:szCs w:val="2"/>
          <w:rtl/>
        </w:rPr>
        <w:t>5129371</w:t>
      </w:r>
    </w:p>
    <w:p w14:paraId="581FE660" w14:textId="77777777" w:rsidR="00C71B89" w:rsidRPr="00E93928" w:rsidRDefault="00E93928" w:rsidP="005F7B34">
      <w:pPr>
        <w:keepNext/>
        <w:rPr>
          <w:rFonts w:ascii="David" w:hAnsi="David"/>
          <w:color w:val="FFFFFF"/>
          <w:sz w:val="2"/>
          <w:szCs w:val="2"/>
          <w:rtl/>
        </w:rPr>
      </w:pPr>
      <w:r w:rsidRPr="00E93928">
        <w:rPr>
          <w:rFonts w:ascii="David" w:hAnsi="David"/>
          <w:color w:val="FFFFFF"/>
          <w:sz w:val="2"/>
          <w:szCs w:val="2"/>
          <w:rtl/>
        </w:rPr>
        <w:t>54678313</w:t>
      </w:r>
    </w:p>
    <w:p w14:paraId="5AD5DB32" w14:textId="77777777" w:rsidR="005F7B34" w:rsidRPr="005F7B34" w:rsidRDefault="005F7B34" w:rsidP="005F7B34">
      <w:pPr>
        <w:keepNext/>
        <w:rPr>
          <w:rFonts w:ascii="David" w:hAnsi="David"/>
          <w:color w:val="000000"/>
          <w:sz w:val="22"/>
          <w:szCs w:val="22"/>
          <w:rtl/>
        </w:rPr>
      </w:pPr>
      <w:r w:rsidRPr="005F7B34">
        <w:rPr>
          <w:rFonts w:ascii="David" w:hAnsi="David"/>
          <w:color w:val="000000"/>
          <w:sz w:val="22"/>
          <w:szCs w:val="22"/>
          <w:rtl/>
        </w:rPr>
        <w:t>חנה מרים לומפ 54678313</w:t>
      </w:r>
    </w:p>
    <w:p w14:paraId="594703B3" w14:textId="77777777" w:rsidR="005F7B34" w:rsidRDefault="005F7B34" w:rsidP="005F7B34">
      <w:r w:rsidRPr="005F7B34">
        <w:rPr>
          <w:color w:val="000000"/>
          <w:rtl/>
        </w:rPr>
        <w:t>נוסח מסמך זה כפוף לשינויי ניסוח ועריכה</w:t>
      </w:r>
    </w:p>
    <w:p w14:paraId="1465D182" w14:textId="77777777" w:rsidR="005F7B34" w:rsidRDefault="005F7B34" w:rsidP="005F7B34">
      <w:pPr>
        <w:rPr>
          <w:rtl/>
        </w:rPr>
      </w:pPr>
    </w:p>
    <w:p w14:paraId="212315C9" w14:textId="77777777" w:rsidR="005F7B34" w:rsidRPr="005F7B34" w:rsidRDefault="005F7B34" w:rsidP="00E93928">
      <w:pPr>
        <w:rPr>
          <w:rFonts w:hint="cs"/>
          <w:color w:val="0000FF"/>
          <w:u w:val="single"/>
        </w:rPr>
      </w:pPr>
      <w:r>
        <w:rPr>
          <w:color w:val="0000FF"/>
          <w:u w:val="single"/>
          <w:rtl/>
        </w:rPr>
        <w:t>בעניין עריכה ושינויים במסמכי פסיקה, חקיקה ועוד באתר נבו – הקש כאן</w:t>
      </w:r>
    </w:p>
    <w:sectPr w:rsidR="005F7B34" w:rsidRPr="005F7B34" w:rsidSect="00E93928">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61A83" w14:textId="77777777" w:rsidR="00A21FF9" w:rsidRDefault="00A21FF9" w:rsidP="00602425">
      <w:r>
        <w:separator/>
      </w:r>
    </w:p>
  </w:endnote>
  <w:endnote w:type="continuationSeparator" w:id="0">
    <w:p w14:paraId="5408FDF8" w14:textId="77777777" w:rsidR="00A21FF9" w:rsidRDefault="00A21FF9" w:rsidP="00602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81E30" w14:textId="77777777" w:rsidR="00E93928" w:rsidRDefault="00E93928" w:rsidP="00E939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4ACB37" w14:textId="77777777" w:rsidR="00444AB8" w:rsidRPr="00E93928" w:rsidRDefault="00E93928" w:rsidP="00E93928">
    <w:pPr>
      <w:pStyle w:val="a5"/>
      <w:pBdr>
        <w:top w:val="single" w:sz="4" w:space="1" w:color="auto"/>
        <w:between w:val="single" w:sz="4" w:space="0" w:color="auto"/>
      </w:pBdr>
      <w:spacing w:after="60"/>
      <w:jc w:val="center"/>
      <w:rPr>
        <w:rFonts w:ascii="FrankRuehl" w:hAnsi="FrankRuehl" w:cs="FrankRuehl"/>
        <w:color w:val="000000"/>
      </w:rPr>
    </w:pPr>
    <w:r w:rsidRPr="00E9392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4829" w14:textId="77777777" w:rsidR="00E93928" w:rsidRDefault="00E93928" w:rsidP="00E939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F5C36">
      <w:rPr>
        <w:rFonts w:ascii="FrankRuehl" w:hAnsi="FrankRuehl" w:cs="FrankRuehl"/>
        <w:noProof/>
        <w:rtl/>
      </w:rPr>
      <w:t>1</w:t>
    </w:r>
    <w:r>
      <w:rPr>
        <w:rFonts w:ascii="FrankRuehl" w:hAnsi="FrankRuehl" w:cs="FrankRuehl"/>
        <w:rtl/>
      </w:rPr>
      <w:fldChar w:fldCharType="end"/>
    </w:r>
  </w:p>
  <w:p w14:paraId="5C3942FB" w14:textId="77777777" w:rsidR="00444AB8" w:rsidRPr="00E93928" w:rsidRDefault="00E93928" w:rsidP="00E93928">
    <w:pPr>
      <w:pStyle w:val="a5"/>
      <w:pBdr>
        <w:top w:val="single" w:sz="4" w:space="1" w:color="auto"/>
        <w:between w:val="single" w:sz="4" w:space="0" w:color="auto"/>
      </w:pBdr>
      <w:spacing w:after="60"/>
      <w:jc w:val="center"/>
      <w:rPr>
        <w:rFonts w:ascii="FrankRuehl" w:hAnsi="FrankRuehl" w:cs="FrankRuehl"/>
        <w:color w:val="000000"/>
      </w:rPr>
    </w:pPr>
    <w:r w:rsidRPr="00E93928">
      <w:rPr>
        <w:rFonts w:ascii="FrankRuehl" w:hAnsi="FrankRuehl" w:cs="FrankRuehl"/>
        <w:color w:val="000000"/>
      </w:rPr>
      <w:pict w14:anchorId="61E3F9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A83D6" w14:textId="77777777" w:rsidR="00A21FF9" w:rsidRDefault="00A21FF9" w:rsidP="00602425">
      <w:r>
        <w:separator/>
      </w:r>
    </w:p>
  </w:footnote>
  <w:footnote w:type="continuationSeparator" w:id="0">
    <w:p w14:paraId="7300E293" w14:textId="77777777" w:rsidR="00A21FF9" w:rsidRDefault="00A21FF9" w:rsidP="00602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AC34" w14:textId="77777777" w:rsidR="005F7B34" w:rsidRPr="00E93928" w:rsidRDefault="00E93928" w:rsidP="00E939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3295-04-18</w:t>
    </w:r>
    <w:r>
      <w:rPr>
        <w:rFonts w:ascii="David" w:hAnsi="David"/>
        <w:color w:val="000000"/>
        <w:sz w:val="22"/>
        <w:szCs w:val="22"/>
        <w:rtl/>
      </w:rPr>
      <w:tab/>
      <w:t xml:space="preserve"> מדינת ישראל נ' נעים רמדאן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F5EC6" w14:textId="77777777" w:rsidR="005F7B34" w:rsidRPr="00E93928" w:rsidRDefault="00E93928" w:rsidP="00E939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3295-04-18</w:t>
    </w:r>
    <w:r>
      <w:rPr>
        <w:rFonts w:ascii="David" w:hAnsi="David"/>
        <w:color w:val="000000"/>
        <w:sz w:val="22"/>
        <w:szCs w:val="22"/>
        <w:rtl/>
      </w:rPr>
      <w:tab/>
      <w:t xml:space="preserve"> מדינת ישראל נ' נעים רמדאן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07E36"/>
    <w:multiLevelType w:val="multilevel"/>
    <w:tmpl w:val="100C23C6"/>
    <w:lvl w:ilvl="0">
      <w:start w:val="1"/>
      <w:numFmt w:val="decimal"/>
      <w:lvlText w:val="%1."/>
      <w:lvlJc w:val="left"/>
      <w:pPr>
        <w:ind w:left="720" w:hanging="360"/>
      </w:pPr>
      <w:rPr>
        <w:rFonts w:cs="David"/>
        <w:b w:val="0"/>
        <w:bCs w:val="0"/>
      </w:rPr>
    </w:lvl>
    <w:lvl w:ilvl="1">
      <w:start w:val="1"/>
      <w:numFmt w:val="hebrew1"/>
      <w:lvlText w:val="%2."/>
      <w:lvlJc w:val="center"/>
      <w:pPr>
        <w:ind w:left="1080" w:hanging="360"/>
      </w:pPr>
      <w:rPr>
        <w:b/>
        <w:strike w:val="0"/>
        <w:dstrike w:val="0"/>
        <w:sz w:val="24"/>
        <w:szCs w:val="24"/>
        <w:u w:val="none"/>
        <w:effect w:val="none"/>
      </w:rPr>
    </w:lvl>
    <w:lvl w:ilvl="2">
      <w:start w:val="1"/>
      <w:numFmt w:val="decimal"/>
      <w:isLgl/>
      <w:lvlText w:val="%1.%2.%3"/>
      <w:lvlJc w:val="left"/>
      <w:pPr>
        <w:ind w:left="1800" w:hanging="720"/>
      </w:pPr>
      <w:rPr>
        <w:rFonts w:cs="Times New Roman"/>
        <w:b/>
        <w:u w:val="single"/>
      </w:rPr>
    </w:lvl>
    <w:lvl w:ilvl="3">
      <w:start w:val="1"/>
      <w:numFmt w:val="decimal"/>
      <w:isLgl/>
      <w:lvlText w:val="%1.%2.%3.%4"/>
      <w:lvlJc w:val="left"/>
      <w:pPr>
        <w:ind w:left="2160" w:hanging="720"/>
      </w:pPr>
      <w:rPr>
        <w:rFonts w:cs="Times New Roman"/>
        <w:b/>
        <w:u w:val="single"/>
      </w:rPr>
    </w:lvl>
    <w:lvl w:ilvl="4">
      <w:start w:val="1"/>
      <w:numFmt w:val="decimal"/>
      <w:isLgl/>
      <w:lvlText w:val="%1.%2.%3.%4.%5"/>
      <w:lvlJc w:val="left"/>
      <w:pPr>
        <w:ind w:left="2880" w:hanging="1080"/>
      </w:pPr>
      <w:rPr>
        <w:rFonts w:cs="Times New Roman"/>
        <w:b/>
        <w:u w:val="single"/>
      </w:rPr>
    </w:lvl>
    <w:lvl w:ilvl="5">
      <w:start w:val="1"/>
      <w:numFmt w:val="decimal"/>
      <w:isLgl/>
      <w:lvlText w:val="%1.%2.%3.%4.%5.%6"/>
      <w:lvlJc w:val="left"/>
      <w:pPr>
        <w:ind w:left="3240" w:hanging="1080"/>
      </w:pPr>
      <w:rPr>
        <w:rFonts w:cs="Times New Roman"/>
        <w:b/>
        <w:u w:val="single"/>
      </w:rPr>
    </w:lvl>
    <w:lvl w:ilvl="6">
      <w:start w:val="1"/>
      <w:numFmt w:val="decimal"/>
      <w:isLgl/>
      <w:lvlText w:val="%1.%2.%3.%4.%5.%6.%7"/>
      <w:lvlJc w:val="left"/>
      <w:pPr>
        <w:ind w:left="3600" w:hanging="1080"/>
      </w:pPr>
      <w:rPr>
        <w:rFonts w:cs="Times New Roman"/>
        <w:b/>
        <w:u w:val="single"/>
      </w:rPr>
    </w:lvl>
    <w:lvl w:ilvl="7">
      <w:start w:val="1"/>
      <w:numFmt w:val="decimal"/>
      <w:isLgl/>
      <w:lvlText w:val="%1.%2.%3.%4.%5.%6.%7.%8"/>
      <w:lvlJc w:val="left"/>
      <w:pPr>
        <w:ind w:left="4320" w:hanging="1440"/>
      </w:pPr>
      <w:rPr>
        <w:rFonts w:cs="Times New Roman"/>
        <w:b/>
        <w:u w:val="single"/>
      </w:rPr>
    </w:lvl>
    <w:lvl w:ilvl="8">
      <w:start w:val="1"/>
      <w:numFmt w:val="decimal"/>
      <w:isLgl/>
      <w:lvlText w:val="%1.%2.%3.%4.%5.%6.%7.%8.%9"/>
      <w:lvlJc w:val="left"/>
      <w:pPr>
        <w:ind w:left="4680" w:hanging="1440"/>
      </w:pPr>
      <w:rPr>
        <w:rFonts w:cs="Times New Roman"/>
        <w:b/>
        <w:u w:val="single"/>
      </w:rPr>
    </w:lvl>
  </w:abstractNum>
  <w:abstractNum w:abstractNumId="1" w15:restartNumberingAfterBreak="0">
    <w:nsid w:val="4E863A28"/>
    <w:multiLevelType w:val="hybridMultilevel"/>
    <w:tmpl w:val="A0F66C96"/>
    <w:lvl w:ilvl="0" w:tplc="0C06A44E">
      <w:start w:val="1"/>
      <w:numFmt w:val="hebrew1"/>
      <w:lvlText w:val="%1."/>
      <w:lvlJc w:val="center"/>
      <w:pPr>
        <w:tabs>
          <w:tab w:val="num" w:pos="1080"/>
        </w:tabs>
        <w:ind w:left="1080" w:hanging="720"/>
      </w:pPr>
      <w:rPr>
        <w:rFonts w:ascii="A028 Extrabold" w:hAnsi="A028 Extrabold" w:cs="David" w:hint="default"/>
      </w:rPr>
    </w:lvl>
    <w:lvl w:ilvl="1" w:tplc="0C06A44E">
      <w:start w:val="1"/>
      <w:numFmt w:val="hebrew1"/>
      <w:lvlText w:val="%2."/>
      <w:lvlJc w:val="center"/>
      <w:pPr>
        <w:tabs>
          <w:tab w:val="num" w:pos="1980"/>
        </w:tabs>
        <w:ind w:left="1980" w:hanging="360"/>
      </w:pPr>
      <w:rPr>
        <w:rFonts w:ascii="A028 Extrabold" w:hAnsi="A028 Extrabold" w:cs="David" w:hint="default"/>
      </w:rPr>
    </w:lvl>
    <w:lvl w:ilvl="2" w:tplc="C3B0CB38">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64707B34"/>
    <w:multiLevelType w:val="hybridMultilevel"/>
    <w:tmpl w:val="8C947564"/>
    <w:lvl w:ilvl="0" w:tplc="F8046636">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031403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73397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20242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0004"/>
    <w:rsid w:val="00160004"/>
    <w:rsid w:val="00252DA1"/>
    <w:rsid w:val="00306756"/>
    <w:rsid w:val="00403551"/>
    <w:rsid w:val="0044208B"/>
    <w:rsid w:val="00444AB8"/>
    <w:rsid w:val="004D4FB3"/>
    <w:rsid w:val="005F7B34"/>
    <w:rsid w:val="00602425"/>
    <w:rsid w:val="008F5C36"/>
    <w:rsid w:val="00A21FF9"/>
    <w:rsid w:val="00C71B89"/>
    <w:rsid w:val="00E939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51768C7"/>
  <w15:chartTrackingRefBased/>
  <w15:docId w15:val="{64837232-B752-45EE-82BE-368AA3764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000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0004"/>
    <w:pPr>
      <w:tabs>
        <w:tab w:val="center" w:pos="4153"/>
        <w:tab w:val="right" w:pos="8306"/>
      </w:tabs>
    </w:pPr>
  </w:style>
  <w:style w:type="character" w:customStyle="1" w:styleId="a4">
    <w:name w:val="כותרת עליונה תו"/>
    <w:link w:val="a3"/>
    <w:rsid w:val="00160004"/>
    <w:rPr>
      <w:rFonts w:ascii="Times New Roman" w:eastAsia="Times New Roman" w:hAnsi="Times New Roman" w:cs="David"/>
      <w:sz w:val="24"/>
      <w:szCs w:val="24"/>
    </w:rPr>
  </w:style>
  <w:style w:type="paragraph" w:styleId="a5">
    <w:name w:val="footer"/>
    <w:basedOn w:val="a"/>
    <w:link w:val="a6"/>
    <w:rsid w:val="00160004"/>
    <w:pPr>
      <w:tabs>
        <w:tab w:val="center" w:pos="4153"/>
        <w:tab w:val="right" w:pos="8306"/>
      </w:tabs>
    </w:pPr>
  </w:style>
  <w:style w:type="character" w:customStyle="1" w:styleId="a6">
    <w:name w:val="כותרת תחתונה תו"/>
    <w:link w:val="a5"/>
    <w:rsid w:val="00160004"/>
    <w:rPr>
      <w:rFonts w:ascii="Times New Roman" w:eastAsia="Times New Roman" w:hAnsi="Times New Roman" w:cs="David"/>
      <w:sz w:val="24"/>
      <w:szCs w:val="24"/>
    </w:rPr>
  </w:style>
  <w:style w:type="table" w:styleId="a7">
    <w:name w:val="Table Grid"/>
    <w:basedOn w:val="a1"/>
    <w:rsid w:val="0016000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0004"/>
  </w:style>
  <w:style w:type="character" w:styleId="Hyperlink">
    <w:name w:val="Hyperlink"/>
    <w:rsid w:val="00160004"/>
    <w:rPr>
      <w:color w:val="0000FF"/>
      <w:u w:val="single"/>
    </w:rPr>
  </w:style>
  <w:style w:type="paragraph" w:styleId="a9">
    <w:name w:val="List Paragraph"/>
    <w:basedOn w:val="a"/>
    <w:qFormat/>
    <w:rsid w:val="00160004"/>
    <w:pPr>
      <w:ind w:left="720"/>
      <w:contextualSpacing/>
    </w:pPr>
  </w:style>
  <w:style w:type="paragraph" w:customStyle="1" w:styleId="Ruller4">
    <w:name w:val="Ruller4"/>
    <w:basedOn w:val="a"/>
    <w:link w:val="Ruller40"/>
    <w:rsid w:val="00160004"/>
    <w:pPr>
      <w:tabs>
        <w:tab w:val="left" w:pos="800"/>
      </w:tabs>
      <w:overflowPunct w:val="0"/>
      <w:autoSpaceDE w:val="0"/>
      <w:autoSpaceDN w:val="0"/>
      <w:adjustRightInd w:val="0"/>
      <w:spacing w:line="360" w:lineRule="auto"/>
      <w:jc w:val="both"/>
      <w:textAlignment w:val="baseline"/>
    </w:pPr>
    <w:rPr>
      <w:rFonts w:ascii="Arial TUR" w:hAnsi="Arial TUR" w:cs="FrankRuehl"/>
      <w:spacing w:val="10"/>
      <w:sz w:val="22"/>
      <w:szCs w:val="28"/>
    </w:rPr>
  </w:style>
  <w:style w:type="character" w:customStyle="1" w:styleId="Ruller40">
    <w:name w:val="Ruller4 תו"/>
    <w:link w:val="Ruller4"/>
    <w:locked/>
    <w:rsid w:val="00160004"/>
    <w:rPr>
      <w:rFonts w:ascii="Arial TUR" w:eastAsia="Times New Roman" w:hAnsi="Arial TUR" w:cs="FrankRuehl"/>
      <w:spacing w:val="10"/>
      <w:szCs w:val="28"/>
    </w:rPr>
  </w:style>
  <w:style w:type="paragraph" w:styleId="aa">
    <w:name w:val="Balloon Text"/>
    <w:basedOn w:val="a"/>
    <w:link w:val="ab"/>
    <w:rsid w:val="00160004"/>
    <w:rPr>
      <w:rFonts w:ascii="Tahoma" w:hAnsi="Tahoma" w:cs="Tahoma"/>
      <w:sz w:val="16"/>
      <w:szCs w:val="16"/>
    </w:rPr>
  </w:style>
  <w:style w:type="character" w:customStyle="1" w:styleId="ab">
    <w:name w:val="טקסט בלונים תו"/>
    <w:link w:val="aa"/>
    <w:rsid w:val="0016000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2006503" TargetMode="External"/><Relationship Id="rId26" Type="http://schemas.openxmlformats.org/officeDocument/2006/relationships/hyperlink" Target="http://www.nevo.co.il/law/70301/40ja" TargetMode="External"/><Relationship Id="rId3" Type="http://schemas.openxmlformats.org/officeDocument/2006/relationships/settings" Target="settings.xml"/><Relationship Id="rId21" Type="http://schemas.openxmlformats.org/officeDocument/2006/relationships/hyperlink" Target="http://www.nevo.co.il/case/18653720"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hyperlink" Target="http://www.nevo.co.il/case/6473037" TargetMode="External"/><Relationship Id="rId25" Type="http://schemas.openxmlformats.org/officeDocument/2006/relationships/hyperlink" Target="http://www.nevo.co.il/law/70301/40i"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17954235"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60729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7791493"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1472788" TargetMode="External"/><Relationship Id="rId23" Type="http://schemas.openxmlformats.org/officeDocument/2006/relationships/hyperlink" Target="http://www.nevo.co.il/case/11269745" TargetMode="External"/><Relationship Id="rId28" Type="http://schemas.openxmlformats.org/officeDocument/2006/relationships/hyperlink" Target="http://www.nevo.co.il/case/5852404" TargetMode="External"/><Relationship Id="rId36"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law/70301/144.a.;144.b"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3750625" TargetMode="External"/><Relationship Id="rId22" Type="http://schemas.openxmlformats.org/officeDocument/2006/relationships/hyperlink" Target="http://www.nevo.co.il/case/11309005" TargetMode="External"/><Relationship Id="rId27" Type="http://schemas.openxmlformats.org/officeDocument/2006/relationships/hyperlink" Target="http://www.nevo.co.il/case/5601503" TargetMode="External"/><Relationship Id="rId30" Type="http://schemas.openxmlformats.org/officeDocument/2006/relationships/hyperlink" Target="http://www.nevo.co.il/case/5859902" TargetMode="External"/><Relationship Id="rId35" Type="http://schemas.openxmlformats.org/officeDocument/2006/relationships/fontTable" Target="fontTable.xml"/><Relationship Id="rId8"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2658</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15920</CharactersWithSpaces>
  <SharedDoc>false</SharedDoc>
  <HLinks>
    <vt:vector size="144" baseType="variant">
      <vt:variant>
        <vt:i4>3866741</vt:i4>
      </vt:variant>
      <vt:variant>
        <vt:i4>69</vt:i4>
      </vt:variant>
      <vt:variant>
        <vt:i4>0</vt:i4>
      </vt:variant>
      <vt:variant>
        <vt:i4>5</vt:i4>
      </vt:variant>
      <vt:variant>
        <vt:lpwstr>http://www.nevo.co.il/case/5859902</vt:lpwstr>
      </vt:variant>
      <vt:variant>
        <vt:lpwstr/>
      </vt:variant>
      <vt:variant>
        <vt:i4>3997810</vt:i4>
      </vt:variant>
      <vt:variant>
        <vt:i4>66</vt:i4>
      </vt:variant>
      <vt:variant>
        <vt:i4>0</vt:i4>
      </vt:variant>
      <vt:variant>
        <vt:i4>5</vt:i4>
      </vt:variant>
      <vt:variant>
        <vt:lpwstr>http://www.nevo.co.il/case/6072945</vt:lpwstr>
      </vt:variant>
      <vt:variant>
        <vt:lpwstr/>
      </vt:variant>
      <vt:variant>
        <vt:i4>3145854</vt:i4>
      </vt:variant>
      <vt:variant>
        <vt:i4>63</vt:i4>
      </vt:variant>
      <vt:variant>
        <vt:i4>0</vt:i4>
      </vt:variant>
      <vt:variant>
        <vt:i4>5</vt:i4>
      </vt:variant>
      <vt:variant>
        <vt:lpwstr>http://www.nevo.co.il/case/5852404</vt:lpwstr>
      </vt:variant>
      <vt:variant>
        <vt:lpwstr/>
      </vt:variant>
      <vt:variant>
        <vt:i4>3342451</vt:i4>
      </vt:variant>
      <vt:variant>
        <vt:i4>60</vt:i4>
      </vt:variant>
      <vt:variant>
        <vt:i4>0</vt:i4>
      </vt:variant>
      <vt:variant>
        <vt:i4>5</vt:i4>
      </vt:variant>
      <vt:variant>
        <vt:lpwstr>http://www.nevo.co.il/case/5601503</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6619233</vt:i4>
      </vt:variant>
      <vt:variant>
        <vt:i4>54</vt:i4>
      </vt:variant>
      <vt:variant>
        <vt:i4>0</vt:i4>
      </vt:variant>
      <vt:variant>
        <vt:i4>5</vt:i4>
      </vt:variant>
      <vt:variant>
        <vt:lpwstr>http://www.nevo.co.il/law/70301/40i</vt:lpwstr>
      </vt:variant>
      <vt:variant>
        <vt:lpwstr/>
      </vt:variant>
      <vt:variant>
        <vt:i4>3735675</vt:i4>
      </vt:variant>
      <vt:variant>
        <vt:i4>51</vt:i4>
      </vt:variant>
      <vt:variant>
        <vt:i4>0</vt:i4>
      </vt:variant>
      <vt:variant>
        <vt:i4>5</vt:i4>
      </vt:variant>
      <vt:variant>
        <vt:lpwstr>http://www.nevo.co.il/case/7791493</vt:lpwstr>
      </vt:variant>
      <vt:variant>
        <vt:lpwstr/>
      </vt:variant>
      <vt:variant>
        <vt:i4>4063348</vt:i4>
      </vt:variant>
      <vt:variant>
        <vt:i4>48</vt:i4>
      </vt:variant>
      <vt:variant>
        <vt:i4>0</vt:i4>
      </vt:variant>
      <vt:variant>
        <vt:i4>5</vt:i4>
      </vt:variant>
      <vt:variant>
        <vt:lpwstr>http://www.nevo.co.il/case/11269745</vt:lpwstr>
      </vt:variant>
      <vt:variant>
        <vt:lpwstr/>
      </vt:variant>
      <vt:variant>
        <vt:i4>3866741</vt:i4>
      </vt:variant>
      <vt:variant>
        <vt:i4>45</vt:i4>
      </vt:variant>
      <vt:variant>
        <vt:i4>0</vt:i4>
      </vt:variant>
      <vt:variant>
        <vt:i4>5</vt:i4>
      </vt:variant>
      <vt:variant>
        <vt:lpwstr>http://www.nevo.co.il/case/11309005</vt:lpwstr>
      </vt:variant>
      <vt:variant>
        <vt:lpwstr/>
      </vt:variant>
      <vt:variant>
        <vt:i4>3539070</vt:i4>
      </vt:variant>
      <vt:variant>
        <vt:i4>42</vt:i4>
      </vt:variant>
      <vt:variant>
        <vt:i4>0</vt:i4>
      </vt:variant>
      <vt:variant>
        <vt:i4>5</vt:i4>
      </vt:variant>
      <vt:variant>
        <vt:lpwstr>http://www.nevo.co.il/case/18653720</vt:lpwstr>
      </vt:variant>
      <vt:variant>
        <vt:lpwstr/>
      </vt:variant>
      <vt:variant>
        <vt:i4>7995492</vt:i4>
      </vt:variant>
      <vt:variant>
        <vt:i4>39</vt:i4>
      </vt:variant>
      <vt:variant>
        <vt:i4>0</vt:i4>
      </vt:variant>
      <vt:variant>
        <vt:i4>5</vt:i4>
      </vt:variant>
      <vt:variant>
        <vt:lpwstr>http://www.nevo.co.il/law/70301</vt:lpwstr>
      </vt:variant>
      <vt:variant>
        <vt:lpwstr/>
      </vt:variant>
      <vt:variant>
        <vt:i4>393232</vt:i4>
      </vt:variant>
      <vt:variant>
        <vt:i4>36</vt:i4>
      </vt:variant>
      <vt:variant>
        <vt:i4>0</vt:i4>
      </vt:variant>
      <vt:variant>
        <vt:i4>5</vt:i4>
      </vt:variant>
      <vt:variant>
        <vt:lpwstr>http://www.nevo.co.il/law/70301/144.a.;144.b</vt:lpwstr>
      </vt:variant>
      <vt:variant>
        <vt:lpwstr/>
      </vt:variant>
      <vt:variant>
        <vt:i4>3407987</vt:i4>
      </vt:variant>
      <vt:variant>
        <vt:i4>33</vt:i4>
      </vt:variant>
      <vt:variant>
        <vt:i4>0</vt:i4>
      </vt:variant>
      <vt:variant>
        <vt:i4>5</vt:i4>
      </vt:variant>
      <vt:variant>
        <vt:lpwstr>http://www.nevo.co.il/case/22006503</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4128884</vt:i4>
      </vt:variant>
      <vt:variant>
        <vt:i4>27</vt:i4>
      </vt:variant>
      <vt:variant>
        <vt:i4>0</vt:i4>
      </vt:variant>
      <vt:variant>
        <vt:i4>5</vt:i4>
      </vt:variant>
      <vt:variant>
        <vt:lpwstr>http://www.nevo.co.il/case/17954235</vt:lpwstr>
      </vt:variant>
      <vt:variant>
        <vt:lpwstr/>
      </vt:variant>
      <vt:variant>
        <vt:i4>3932277</vt:i4>
      </vt:variant>
      <vt:variant>
        <vt:i4>24</vt:i4>
      </vt:variant>
      <vt:variant>
        <vt:i4>0</vt:i4>
      </vt:variant>
      <vt:variant>
        <vt:i4>5</vt:i4>
      </vt:variant>
      <vt:variant>
        <vt:lpwstr>http://www.nevo.co.il/case/21472788</vt:lpwstr>
      </vt:variant>
      <vt:variant>
        <vt:lpwstr/>
      </vt:variant>
      <vt:variant>
        <vt:i4>3604596</vt:i4>
      </vt:variant>
      <vt:variant>
        <vt:i4>21</vt:i4>
      </vt:variant>
      <vt:variant>
        <vt:i4>0</vt:i4>
      </vt:variant>
      <vt:variant>
        <vt:i4>5</vt:i4>
      </vt:variant>
      <vt:variant>
        <vt:lpwstr>http://www.nevo.co.il/case/23750625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2023-12-07T11:48:00Z</dcterms:created>
  <dcterms:modified xsi:type="dcterms:W3CDTF">2023-12-07T11:48:00Z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3295</vt:lpwstr>
  </property>
  <property fmtid="{D5CDD505-2E9C-101B-9397-08002B2CF9AE}" pid="6" name="NEWPARTB">
    <vt:lpwstr>04</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נעים רמדאן</vt:lpwstr>
  </property>
  <property fmtid="{D5CDD505-2E9C-101B-9397-08002B2CF9AE}" pid="10" name="LAWYER">
    <vt:lpwstr>אביעד דוויק;מוחמד מחמוד</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20181015</vt:lpwstr>
  </property>
  <property fmtid="{D5CDD505-2E9C-101B-9397-08002B2CF9AE}" pid="14" name="TYPE_N_DATE">
    <vt:lpwstr>39020181015</vt:lpwstr>
  </property>
  <property fmtid="{D5CDD505-2E9C-101B-9397-08002B2CF9AE}" pid="15" name="CASESLISTTMP1">
    <vt:lpwstr>23750625;21472788;17954235;6473037;22006503;18653720;11309005;11269745;7791493;5601503;5852404;6072945;5859902</vt:lpwstr>
  </property>
  <property fmtid="{D5CDD505-2E9C-101B-9397-08002B2CF9AE}" pid="16" name="WORDNUMPAGES">
    <vt:lpwstr>8</vt:lpwstr>
  </property>
  <property fmtid="{D5CDD505-2E9C-101B-9397-08002B2CF9AE}" pid="17" name="TYPE_ABS_DATE">
    <vt:lpwstr>390020181015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70301/144.b:2;144.a;040i;40ja</vt:lpwstr>
  </property>
</Properties>
</file>