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523"/>
        <w:gridCol w:w="2982"/>
      </w:tblGrid>
      <w:tr w:rsidR="00F53463" w:rsidRPr="004916CE" w14:paraId="0C27AAB0" w14:textId="77777777" w:rsidTr="007F6842">
        <w:trPr>
          <w:trHeight w:hRule="exact" w:val="418"/>
          <w:jc w:val="center"/>
        </w:trPr>
        <w:tc>
          <w:tcPr>
            <w:tcW w:w="8505" w:type="dxa"/>
            <w:gridSpan w:val="2"/>
          </w:tcPr>
          <w:p w14:paraId="47CFDB94" w14:textId="77777777" w:rsidR="00F53463" w:rsidRPr="004916CE" w:rsidRDefault="00F53463" w:rsidP="007F6842">
            <w:pPr>
              <w:pStyle w:val="a3"/>
              <w:jc w:val="center"/>
              <w:rPr>
                <w:rFonts w:ascii="Tahoma" w:hAnsi="Tahoma" w:cs="Tahoma"/>
                <w:color w:val="000080"/>
                <w:rtl/>
              </w:rPr>
            </w:pPr>
            <w:bookmarkStart w:id="0" w:name="LastJudge"/>
            <w:r w:rsidRPr="004916CE">
              <w:rPr>
                <w:rFonts w:ascii="Tahoma" w:hAnsi="Tahoma" w:cs="Tahoma"/>
                <w:b/>
                <w:bCs/>
                <w:color w:val="000080"/>
                <w:rtl/>
              </w:rPr>
              <w:t>בית המשפט המחוזי בחיפה</w:t>
            </w:r>
          </w:p>
        </w:tc>
      </w:tr>
      <w:tr w:rsidR="00F53463" w:rsidRPr="004916CE" w14:paraId="13801722" w14:textId="77777777" w:rsidTr="007F6842">
        <w:trPr>
          <w:trHeight w:val="337"/>
          <w:jc w:val="center"/>
        </w:trPr>
        <w:tc>
          <w:tcPr>
            <w:tcW w:w="5523" w:type="dxa"/>
          </w:tcPr>
          <w:p w14:paraId="68CBE752" w14:textId="77777777" w:rsidR="00F53463" w:rsidRPr="004916CE" w:rsidRDefault="00F53463" w:rsidP="007F6842">
            <w:pPr>
              <w:rPr>
                <w:b/>
                <w:bCs/>
                <w:sz w:val="26"/>
                <w:szCs w:val="26"/>
                <w:rtl/>
              </w:rPr>
            </w:pPr>
            <w:r w:rsidRPr="004916CE">
              <w:rPr>
                <w:b/>
                <w:bCs/>
                <w:sz w:val="26"/>
                <w:szCs w:val="26"/>
                <w:rtl/>
              </w:rPr>
              <w:t>ת"פ</w:t>
            </w:r>
            <w:r w:rsidRPr="004916CE">
              <w:rPr>
                <w:rFonts w:hint="cs"/>
                <w:b/>
                <w:bCs/>
                <w:sz w:val="26"/>
                <w:szCs w:val="26"/>
                <w:rtl/>
              </w:rPr>
              <w:t xml:space="preserve"> </w:t>
            </w:r>
            <w:r w:rsidRPr="004916CE">
              <w:rPr>
                <w:b/>
                <w:bCs/>
                <w:sz w:val="26"/>
                <w:szCs w:val="26"/>
                <w:rtl/>
              </w:rPr>
              <w:t>34413-09-17</w:t>
            </w:r>
            <w:r w:rsidRPr="004916CE">
              <w:rPr>
                <w:rFonts w:hint="cs"/>
                <w:b/>
                <w:bCs/>
                <w:sz w:val="26"/>
                <w:szCs w:val="26"/>
                <w:rtl/>
              </w:rPr>
              <w:t xml:space="preserve"> </w:t>
            </w:r>
            <w:r w:rsidRPr="004916CE">
              <w:rPr>
                <w:b/>
                <w:bCs/>
                <w:sz w:val="26"/>
                <w:szCs w:val="26"/>
                <w:rtl/>
              </w:rPr>
              <w:t>מדינת ישראל נ' בן שלום(עציר)</w:t>
            </w:r>
          </w:p>
          <w:p w14:paraId="71761645" w14:textId="77777777" w:rsidR="00F53463" w:rsidRPr="004916CE" w:rsidRDefault="00F53463" w:rsidP="007F6842">
            <w:pPr>
              <w:pStyle w:val="a3"/>
              <w:rPr>
                <w:b/>
                <w:bCs/>
                <w:sz w:val="26"/>
                <w:szCs w:val="26"/>
                <w:rtl/>
              </w:rPr>
            </w:pPr>
          </w:p>
        </w:tc>
        <w:tc>
          <w:tcPr>
            <w:tcW w:w="2982" w:type="dxa"/>
          </w:tcPr>
          <w:p w14:paraId="5A413AF8" w14:textId="77777777" w:rsidR="00F53463" w:rsidRPr="004916CE" w:rsidRDefault="00F53463" w:rsidP="007F6842">
            <w:pPr>
              <w:pStyle w:val="a3"/>
              <w:jc w:val="right"/>
              <w:rPr>
                <w:b/>
                <w:bCs/>
                <w:sz w:val="26"/>
                <w:szCs w:val="26"/>
                <w:rtl/>
              </w:rPr>
            </w:pPr>
          </w:p>
        </w:tc>
      </w:tr>
    </w:tbl>
    <w:p w14:paraId="3404416E" w14:textId="77777777" w:rsidR="00F53463" w:rsidRPr="004916CE" w:rsidRDefault="00F53463" w:rsidP="00F53463">
      <w:pPr>
        <w:pStyle w:val="a3"/>
        <w:rPr>
          <w:rtl/>
        </w:rPr>
      </w:pPr>
      <w:r w:rsidRPr="004916CE">
        <w:rPr>
          <w:rFonts w:hint="cs"/>
          <w:rtl/>
        </w:rPr>
        <w:t xml:space="preserve"> </w:t>
      </w:r>
    </w:p>
    <w:p w14:paraId="224ED6C7" w14:textId="77777777" w:rsidR="00F53463" w:rsidRPr="004916CE" w:rsidRDefault="00F53463" w:rsidP="00F53463">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7F6842" w:rsidRPr="004916CE" w14:paraId="1C26D5BA" w14:textId="77777777" w:rsidTr="00F53463">
        <w:trPr>
          <w:gridAfter w:val="1"/>
          <w:wAfter w:w="56" w:type="dxa"/>
        </w:trPr>
        <w:tc>
          <w:tcPr>
            <w:tcW w:w="8718" w:type="dxa"/>
            <w:gridSpan w:val="2"/>
            <w:shd w:val="clear" w:color="auto" w:fill="auto"/>
          </w:tcPr>
          <w:p w14:paraId="45926483" w14:textId="77777777" w:rsidR="00F53463" w:rsidRPr="004916CE" w:rsidRDefault="00F53463" w:rsidP="007F6842">
            <w:pPr>
              <w:rPr>
                <w:b/>
                <w:bCs/>
                <w:sz w:val="26"/>
                <w:szCs w:val="26"/>
                <w:rtl/>
              </w:rPr>
            </w:pPr>
            <w:r w:rsidRPr="004916CE">
              <w:rPr>
                <w:rFonts w:hint="cs"/>
                <w:b/>
                <w:bCs/>
                <w:sz w:val="26"/>
                <w:szCs w:val="26"/>
                <w:rtl/>
              </w:rPr>
              <w:t>לפני כבוד השופט אמיר טובי</w:t>
            </w:r>
            <w:r w:rsidRPr="004916CE">
              <w:rPr>
                <w:rStyle w:val="TimesNewRomanTimesNewRoman"/>
                <w:rFonts w:hint="cs"/>
                <w:rtl/>
              </w:rPr>
              <w:t xml:space="preserve"> </w:t>
            </w:r>
          </w:p>
        </w:tc>
      </w:tr>
      <w:tr w:rsidR="007F6842" w:rsidRPr="004916CE" w14:paraId="431BB6F6" w14:textId="77777777" w:rsidTr="00F53463">
        <w:trPr>
          <w:cantSplit/>
          <w:trHeight w:val="724"/>
        </w:trPr>
        <w:tc>
          <w:tcPr>
            <w:tcW w:w="2880" w:type="dxa"/>
            <w:shd w:val="clear" w:color="auto" w:fill="auto"/>
          </w:tcPr>
          <w:p w14:paraId="18E1F5C6" w14:textId="77777777" w:rsidR="00F53463" w:rsidRPr="004916CE" w:rsidRDefault="00F53463" w:rsidP="00F53463">
            <w:pPr>
              <w:ind w:left="26"/>
              <w:rPr>
                <w:b/>
                <w:bCs/>
                <w:sz w:val="26"/>
                <w:szCs w:val="26"/>
                <w:rtl/>
              </w:rPr>
            </w:pPr>
            <w:bookmarkStart w:id="1" w:name="FirstAppellant"/>
          </w:p>
          <w:p w14:paraId="2F9E5F0F" w14:textId="77777777" w:rsidR="00F53463" w:rsidRPr="004916CE" w:rsidRDefault="00F53463" w:rsidP="00F53463">
            <w:pPr>
              <w:ind w:left="26"/>
              <w:rPr>
                <w:b/>
                <w:bCs/>
                <w:sz w:val="26"/>
                <w:szCs w:val="26"/>
                <w:rtl/>
              </w:rPr>
            </w:pPr>
            <w:r w:rsidRPr="004916CE">
              <w:rPr>
                <w:rFonts w:hint="cs"/>
                <w:b/>
                <w:bCs/>
                <w:sz w:val="26"/>
                <w:szCs w:val="26"/>
                <w:rtl/>
              </w:rPr>
              <w:t>המאשימה</w:t>
            </w:r>
          </w:p>
        </w:tc>
        <w:tc>
          <w:tcPr>
            <w:tcW w:w="5922" w:type="dxa"/>
            <w:gridSpan w:val="2"/>
            <w:shd w:val="clear" w:color="auto" w:fill="auto"/>
          </w:tcPr>
          <w:p w14:paraId="69B189C7" w14:textId="77777777" w:rsidR="00F53463" w:rsidRPr="004916CE" w:rsidRDefault="00F53463" w:rsidP="007F6842">
            <w:pPr>
              <w:rPr>
                <w:rtl/>
              </w:rPr>
            </w:pPr>
          </w:p>
          <w:p w14:paraId="5AFF947F" w14:textId="77777777" w:rsidR="00F53463" w:rsidRPr="004916CE" w:rsidRDefault="00F53463" w:rsidP="007F6842">
            <w:pPr>
              <w:rPr>
                <w:b/>
                <w:bCs/>
                <w:sz w:val="26"/>
                <w:szCs w:val="26"/>
                <w:rtl/>
              </w:rPr>
            </w:pPr>
            <w:r w:rsidRPr="004916CE">
              <w:rPr>
                <w:rtl/>
              </w:rPr>
              <w:t xml:space="preserve"> </w:t>
            </w:r>
            <w:r w:rsidRPr="004916CE">
              <w:rPr>
                <w:rFonts w:hint="cs"/>
                <w:b/>
                <w:bCs/>
                <w:sz w:val="26"/>
                <w:szCs w:val="26"/>
                <w:rtl/>
              </w:rPr>
              <w:t>מדינת ישראל</w:t>
            </w:r>
          </w:p>
          <w:p w14:paraId="19F0B9FC" w14:textId="77777777" w:rsidR="00F53463" w:rsidRPr="004916CE" w:rsidRDefault="00F53463" w:rsidP="007F6842">
            <w:pPr>
              <w:rPr>
                <w:b/>
                <w:bCs/>
                <w:sz w:val="26"/>
                <w:szCs w:val="26"/>
                <w:rtl/>
              </w:rPr>
            </w:pPr>
          </w:p>
        </w:tc>
      </w:tr>
      <w:bookmarkEnd w:id="1"/>
      <w:tr w:rsidR="007F6842" w:rsidRPr="004916CE" w14:paraId="679CFD78" w14:textId="77777777" w:rsidTr="00F53463">
        <w:tc>
          <w:tcPr>
            <w:tcW w:w="8802" w:type="dxa"/>
            <w:gridSpan w:val="3"/>
            <w:shd w:val="clear" w:color="auto" w:fill="auto"/>
            <w:vAlign w:val="center"/>
          </w:tcPr>
          <w:p w14:paraId="1946E0F9" w14:textId="77777777" w:rsidR="00F53463" w:rsidRPr="004916CE" w:rsidRDefault="00F53463" w:rsidP="00F53463">
            <w:pPr>
              <w:jc w:val="center"/>
              <w:rPr>
                <w:rFonts w:ascii="Arial" w:hAnsi="Arial"/>
                <w:b/>
                <w:bCs/>
                <w:sz w:val="26"/>
                <w:szCs w:val="26"/>
                <w:rtl/>
              </w:rPr>
            </w:pPr>
          </w:p>
          <w:p w14:paraId="4F316F9F" w14:textId="77777777" w:rsidR="00F53463" w:rsidRPr="004916CE" w:rsidRDefault="00F53463" w:rsidP="00F53463">
            <w:pPr>
              <w:jc w:val="center"/>
              <w:rPr>
                <w:rFonts w:ascii="Arial" w:hAnsi="Arial"/>
                <w:b/>
                <w:bCs/>
                <w:sz w:val="26"/>
                <w:szCs w:val="26"/>
                <w:rtl/>
              </w:rPr>
            </w:pPr>
            <w:r w:rsidRPr="004916CE">
              <w:rPr>
                <w:rFonts w:ascii="Arial" w:hAnsi="Arial" w:hint="cs"/>
                <w:b/>
                <w:bCs/>
                <w:sz w:val="26"/>
                <w:szCs w:val="26"/>
                <w:rtl/>
              </w:rPr>
              <w:t>נגד</w:t>
            </w:r>
          </w:p>
          <w:p w14:paraId="36940552" w14:textId="77777777" w:rsidR="00F53463" w:rsidRPr="004916CE" w:rsidRDefault="00F53463" w:rsidP="007F6842">
            <w:pPr>
              <w:rPr>
                <w:rFonts w:ascii="Arial" w:hAnsi="Arial"/>
                <w:b/>
                <w:bCs/>
                <w:sz w:val="26"/>
                <w:szCs w:val="26"/>
                <w:rtl/>
              </w:rPr>
            </w:pPr>
          </w:p>
        </w:tc>
      </w:tr>
      <w:tr w:rsidR="007F6842" w:rsidRPr="004916CE" w14:paraId="2D3BC2AC" w14:textId="77777777" w:rsidTr="00F53463">
        <w:tc>
          <w:tcPr>
            <w:tcW w:w="2880" w:type="dxa"/>
            <w:shd w:val="clear" w:color="auto" w:fill="auto"/>
          </w:tcPr>
          <w:p w14:paraId="0CB4C6E7" w14:textId="77777777" w:rsidR="00F53463" w:rsidRPr="004916CE" w:rsidRDefault="00F53463" w:rsidP="00F53463">
            <w:pPr>
              <w:ind w:left="26"/>
              <w:rPr>
                <w:b/>
                <w:bCs/>
                <w:sz w:val="26"/>
                <w:szCs w:val="26"/>
              </w:rPr>
            </w:pPr>
            <w:r w:rsidRPr="004916CE">
              <w:rPr>
                <w:rFonts w:hint="cs"/>
                <w:b/>
                <w:bCs/>
                <w:sz w:val="26"/>
                <w:szCs w:val="26"/>
                <w:rtl/>
              </w:rPr>
              <w:t>הנאשם</w:t>
            </w:r>
          </w:p>
        </w:tc>
        <w:tc>
          <w:tcPr>
            <w:tcW w:w="5922" w:type="dxa"/>
            <w:gridSpan w:val="2"/>
            <w:shd w:val="clear" w:color="auto" w:fill="auto"/>
          </w:tcPr>
          <w:p w14:paraId="0E3F4B63" w14:textId="77777777" w:rsidR="00F53463" w:rsidRPr="004916CE" w:rsidRDefault="00F53463" w:rsidP="007F6842">
            <w:pPr>
              <w:rPr>
                <w:b/>
                <w:bCs/>
                <w:sz w:val="26"/>
                <w:szCs w:val="26"/>
                <w:rtl/>
              </w:rPr>
            </w:pPr>
            <w:r w:rsidRPr="004916CE">
              <w:rPr>
                <w:rtl/>
              </w:rPr>
              <w:t xml:space="preserve"> </w:t>
            </w:r>
            <w:r w:rsidRPr="004916CE">
              <w:rPr>
                <w:rFonts w:hint="cs"/>
                <w:b/>
                <w:bCs/>
                <w:sz w:val="26"/>
                <w:szCs w:val="26"/>
                <w:rtl/>
              </w:rPr>
              <w:t>אליושה בן שלום (עציר)</w:t>
            </w:r>
            <w:r w:rsidRPr="004916CE">
              <w:rPr>
                <w:rtl/>
              </w:rPr>
              <w:t xml:space="preserve"> </w:t>
            </w:r>
            <w:r w:rsidRPr="004916CE">
              <w:rPr>
                <w:rFonts w:hint="cs"/>
                <w:b/>
                <w:bCs/>
                <w:sz w:val="26"/>
                <w:szCs w:val="26"/>
                <w:rtl/>
              </w:rPr>
              <w:t xml:space="preserve">ת.ז.  </w:t>
            </w:r>
            <w:r w:rsidR="004916CE">
              <w:rPr>
                <w:b/>
                <w:bCs/>
                <w:sz w:val="26"/>
                <w:szCs w:val="26"/>
              </w:rPr>
              <w:t>xxxxxxxxxx</w:t>
            </w:r>
          </w:p>
        </w:tc>
      </w:tr>
    </w:tbl>
    <w:p w14:paraId="68A812AE" w14:textId="77777777" w:rsidR="00F53463" w:rsidRPr="004916CE" w:rsidRDefault="00F53463" w:rsidP="00F53463">
      <w:pPr>
        <w:spacing w:line="360" w:lineRule="auto"/>
        <w:jc w:val="both"/>
        <w:rPr>
          <w:rFonts w:ascii="David" w:hAnsi="David"/>
          <w:sz w:val="6"/>
          <w:szCs w:val="6"/>
          <w:rtl/>
        </w:rPr>
      </w:pPr>
      <w:r w:rsidRPr="004916CE">
        <w:rPr>
          <w:rFonts w:hint="cs"/>
          <w:sz w:val="6"/>
          <w:szCs w:val="6"/>
          <w:rtl/>
        </w:rPr>
        <w:t>&lt;#1#&gt;</w:t>
      </w:r>
    </w:p>
    <w:p w14:paraId="12E18105" w14:textId="77777777" w:rsidR="00F53463" w:rsidRPr="004916CE" w:rsidRDefault="00F53463" w:rsidP="00F53463">
      <w:pPr>
        <w:pStyle w:val="12"/>
        <w:rPr>
          <w:b w:val="0"/>
          <w:bCs w:val="0"/>
          <w:u w:val="none"/>
          <w:rtl/>
        </w:rPr>
      </w:pPr>
    </w:p>
    <w:p w14:paraId="701F4E31" w14:textId="77777777" w:rsidR="00F53463" w:rsidRPr="004916CE" w:rsidRDefault="00F53463" w:rsidP="00F53463">
      <w:pPr>
        <w:pStyle w:val="12"/>
        <w:rPr>
          <w:u w:val="none"/>
          <w:rtl/>
        </w:rPr>
      </w:pPr>
      <w:r w:rsidRPr="004916CE">
        <w:rPr>
          <w:rFonts w:hint="cs"/>
          <w:u w:val="none"/>
          <w:rtl/>
        </w:rPr>
        <w:t>נוכחים:</w:t>
      </w:r>
    </w:p>
    <w:p w14:paraId="7C07A289" w14:textId="77777777" w:rsidR="00F53463" w:rsidRPr="004916CE" w:rsidRDefault="00F53463" w:rsidP="00F53463">
      <w:pPr>
        <w:pStyle w:val="12"/>
        <w:rPr>
          <w:b w:val="0"/>
          <w:bCs w:val="0"/>
          <w:u w:val="none"/>
          <w:rtl/>
        </w:rPr>
      </w:pPr>
      <w:bookmarkStart w:id="2" w:name="FirstLawyer"/>
      <w:r w:rsidRPr="004916CE">
        <w:rPr>
          <w:rFonts w:hint="cs"/>
          <w:b w:val="0"/>
          <w:bCs w:val="0"/>
          <w:u w:val="none"/>
          <w:rtl/>
        </w:rPr>
        <w:t>ב"כ</w:t>
      </w:r>
      <w:bookmarkEnd w:id="2"/>
      <w:r w:rsidRPr="004916CE">
        <w:rPr>
          <w:rFonts w:hint="cs"/>
          <w:b w:val="0"/>
          <w:bCs w:val="0"/>
          <w:u w:val="none"/>
          <w:rtl/>
        </w:rPr>
        <w:t xml:space="preserve"> המאשימה: עו"ד גב' נועה בורג  </w:t>
      </w:r>
    </w:p>
    <w:p w14:paraId="4BF361F9" w14:textId="77777777" w:rsidR="00F53463" w:rsidRPr="004916CE" w:rsidRDefault="00F53463" w:rsidP="00F53463">
      <w:pPr>
        <w:pStyle w:val="12"/>
        <w:rPr>
          <w:b w:val="0"/>
          <w:bCs w:val="0"/>
          <w:u w:val="none"/>
          <w:rtl/>
        </w:rPr>
      </w:pPr>
      <w:r w:rsidRPr="004916CE">
        <w:rPr>
          <w:rFonts w:hint="cs"/>
          <w:b w:val="0"/>
          <w:bCs w:val="0"/>
          <w:u w:val="none"/>
          <w:rtl/>
        </w:rPr>
        <w:t>ב"כ הנאשם: עו"ד יוני דדון בהעברה מעו"ד יהלי שפרלינג</w:t>
      </w:r>
    </w:p>
    <w:p w14:paraId="53025F34" w14:textId="77777777" w:rsidR="00F53463" w:rsidRPr="004916CE" w:rsidRDefault="00F53463" w:rsidP="00F53463">
      <w:pPr>
        <w:pStyle w:val="12"/>
        <w:rPr>
          <w:b w:val="0"/>
          <w:bCs w:val="0"/>
          <w:u w:val="none"/>
          <w:rtl/>
        </w:rPr>
      </w:pPr>
      <w:r w:rsidRPr="004916CE">
        <w:rPr>
          <w:rFonts w:hint="cs"/>
          <w:b w:val="0"/>
          <w:bCs w:val="0"/>
          <w:u w:val="none"/>
          <w:rtl/>
        </w:rPr>
        <w:t xml:space="preserve">הנאשם באמצעות הליווי </w:t>
      </w:r>
    </w:p>
    <w:p w14:paraId="1D0B2E40" w14:textId="77777777" w:rsidR="00D16F78" w:rsidRDefault="00D16F78" w:rsidP="00F53463">
      <w:pPr>
        <w:rPr>
          <w:rtl/>
        </w:rPr>
      </w:pPr>
      <w:bookmarkStart w:id="3" w:name="LawTable"/>
      <w:bookmarkEnd w:id="3"/>
    </w:p>
    <w:p w14:paraId="50FA175A" w14:textId="77777777" w:rsidR="00D16F78" w:rsidRPr="00D16F78" w:rsidRDefault="00D16F78" w:rsidP="00D16F78">
      <w:pPr>
        <w:spacing w:after="120" w:line="240" w:lineRule="exact"/>
        <w:ind w:left="283" w:hanging="283"/>
        <w:jc w:val="both"/>
        <w:rPr>
          <w:rFonts w:ascii="FrankRuehl" w:hAnsi="FrankRuehl" w:cs="FrankRuehl"/>
          <w:rtl/>
        </w:rPr>
      </w:pPr>
    </w:p>
    <w:p w14:paraId="255ECA30" w14:textId="77777777" w:rsidR="00D16F78" w:rsidRPr="00D16F78" w:rsidRDefault="00D16F78" w:rsidP="00D16F78">
      <w:pPr>
        <w:spacing w:after="120" w:line="240" w:lineRule="exact"/>
        <w:ind w:left="283" w:hanging="283"/>
        <w:jc w:val="both"/>
        <w:rPr>
          <w:rFonts w:ascii="FrankRuehl" w:hAnsi="FrankRuehl" w:cs="FrankRuehl"/>
          <w:rtl/>
        </w:rPr>
      </w:pPr>
      <w:r w:rsidRPr="00D16F78">
        <w:rPr>
          <w:rFonts w:ascii="FrankRuehl" w:hAnsi="FrankRuehl" w:cs="FrankRuehl"/>
          <w:rtl/>
        </w:rPr>
        <w:t xml:space="preserve">חקיקה שאוזכרה: </w:t>
      </w:r>
    </w:p>
    <w:p w14:paraId="407F5BE5" w14:textId="77777777" w:rsidR="00D16F78" w:rsidRPr="00D16F78" w:rsidRDefault="00D16F78" w:rsidP="00D16F78">
      <w:pPr>
        <w:spacing w:after="120" w:line="240" w:lineRule="exact"/>
        <w:ind w:left="283" w:hanging="283"/>
        <w:jc w:val="both"/>
        <w:rPr>
          <w:rFonts w:ascii="FrankRuehl" w:hAnsi="FrankRuehl" w:cs="FrankRuehl"/>
          <w:rtl/>
        </w:rPr>
      </w:pPr>
      <w:hyperlink r:id="rId6" w:history="1">
        <w:r w:rsidRPr="00D16F78">
          <w:rPr>
            <w:rFonts w:ascii="FrankRuehl" w:hAnsi="FrankRuehl" w:cs="FrankRuehl"/>
            <w:color w:val="0000FF"/>
            <w:u w:val="single"/>
            <w:rtl/>
          </w:rPr>
          <w:t>חוק העונשין, תשל"ז-1977</w:t>
        </w:r>
      </w:hyperlink>
      <w:r w:rsidRPr="00D16F78">
        <w:rPr>
          <w:rFonts w:ascii="FrankRuehl" w:hAnsi="FrankRuehl" w:cs="FrankRuehl"/>
          <w:rtl/>
        </w:rPr>
        <w:t xml:space="preserve">: סע'  </w:t>
      </w:r>
      <w:hyperlink r:id="rId7" w:history="1">
        <w:r w:rsidRPr="00D16F78">
          <w:rPr>
            <w:rFonts w:ascii="FrankRuehl" w:hAnsi="FrankRuehl" w:cs="FrankRuehl"/>
            <w:color w:val="0000FF"/>
            <w:u w:val="single"/>
            <w:rtl/>
          </w:rPr>
          <w:t>29</w:t>
        </w:r>
      </w:hyperlink>
      <w:r w:rsidRPr="00D16F78">
        <w:rPr>
          <w:rFonts w:ascii="FrankRuehl" w:hAnsi="FrankRuehl" w:cs="FrankRuehl"/>
          <w:rtl/>
        </w:rPr>
        <w:t xml:space="preserve">, </w:t>
      </w:r>
      <w:hyperlink r:id="rId8" w:history="1">
        <w:r w:rsidRPr="00D16F78">
          <w:rPr>
            <w:rFonts w:ascii="FrankRuehl" w:hAnsi="FrankRuehl" w:cs="FrankRuehl"/>
            <w:color w:val="0000FF"/>
            <w:u w:val="single"/>
            <w:rtl/>
          </w:rPr>
          <w:t>144(ב)</w:t>
        </w:r>
      </w:hyperlink>
      <w:r w:rsidRPr="00D16F78">
        <w:rPr>
          <w:rFonts w:ascii="FrankRuehl" w:hAnsi="FrankRuehl" w:cs="FrankRuehl"/>
          <w:rtl/>
        </w:rPr>
        <w:t xml:space="preserve">, </w:t>
      </w:r>
      <w:hyperlink r:id="rId9" w:history="1">
        <w:r w:rsidRPr="00D16F78">
          <w:rPr>
            <w:rFonts w:ascii="FrankRuehl" w:hAnsi="FrankRuehl" w:cs="FrankRuehl"/>
            <w:color w:val="0000FF"/>
            <w:u w:val="single"/>
            <w:rtl/>
          </w:rPr>
          <w:t>144(ג)(3)</w:t>
        </w:r>
      </w:hyperlink>
      <w:r w:rsidRPr="00D16F78">
        <w:rPr>
          <w:rFonts w:ascii="FrankRuehl" w:hAnsi="FrankRuehl" w:cs="FrankRuehl"/>
          <w:rtl/>
        </w:rPr>
        <w:t xml:space="preserve">, </w:t>
      </w:r>
      <w:hyperlink r:id="rId10" w:history="1">
        <w:r w:rsidRPr="00D16F78">
          <w:rPr>
            <w:rFonts w:ascii="FrankRuehl" w:hAnsi="FrankRuehl" w:cs="FrankRuehl"/>
            <w:color w:val="0000FF"/>
            <w:u w:val="single"/>
            <w:rtl/>
          </w:rPr>
          <w:t>499(א)(1)</w:t>
        </w:r>
      </w:hyperlink>
    </w:p>
    <w:p w14:paraId="70F52C77" w14:textId="77777777" w:rsidR="004916CE" w:rsidRPr="004916CE" w:rsidRDefault="004916CE" w:rsidP="00F53463">
      <w:pPr>
        <w:rPr>
          <w:rFonts w:ascii="Arial" w:hAnsi="Arial"/>
          <w:rtl/>
        </w:rPr>
      </w:pPr>
    </w:p>
    <w:p w14:paraId="08B7CDFD" w14:textId="77777777" w:rsidR="00F53463" w:rsidRPr="004916CE" w:rsidRDefault="00F53463" w:rsidP="00F53463">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F6842" w14:paraId="46700B55" w14:textId="77777777" w:rsidTr="00F53463">
        <w:trPr>
          <w:trHeight w:val="355"/>
          <w:jc w:val="center"/>
        </w:trPr>
        <w:tc>
          <w:tcPr>
            <w:tcW w:w="8820" w:type="dxa"/>
            <w:tcBorders>
              <w:top w:val="nil"/>
              <w:left w:val="nil"/>
              <w:bottom w:val="nil"/>
              <w:right w:val="nil"/>
            </w:tcBorders>
            <w:shd w:val="clear" w:color="auto" w:fill="auto"/>
          </w:tcPr>
          <w:p w14:paraId="0E662706" w14:textId="77777777" w:rsidR="004916CE" w:rsidRPr="004916CE" w:rsidRDefault="004916CE" w:rsidP="004916CE">
            <w:pPr>
              <w:jc w:val="center"/>
              <w:rPr>
                <w:rFonts w:ascii="Arial" w:hAnsi="Arial" w:cs="FrankRuehl"/>
                <w:b/>
                <w:bCs/>
                <w:sz w:val="32"/>
                <w:szCs w:val="32"/>
                <w:u w:val="single"/>
                <w:rtl/>
              </w:rPr>
            </w:pPr>
            <w:bookmarkStart w:id="4" w:name="PsakDin" w:colFirst="0" w:colLast="0"/>
            <w:bookmarkEnd w:id="0"/>
            <w:r w:rsidRPr="004916CE">
              <w:rPr>
                <w:rFonts w:ascii="Arial" w:hAnsi="Arial" w:cs="FrankRuehl"/>
                <w:b/>
                <w:bCs/>
                <w:sz w:val="32"/>
                <w:szCs w:val="32"/>
                <w:u w:val="single"/>
                <w:rtl/>
              </w:rPr>
              <w:t>גזר דין</w:t>
            </w:r>
          </w:p>
          <w:p w14:paraId="7FF3C8EC" w14:textId="77777777" w:rsidR="00F53463" w:rsidRPr="004916CE" w:rsidRDefault="00F53463" w:rsidP="004916CE">
            <w:pPr>
              <w:jc w:val="center"/>
              <w:rPr>
                <w:rFonts w:ascii="Arial" w:hAnsi="Arial" w:cs="FrankRuehl"/>
                <w:bCs/>
                <w:sz w:val="32"/>
                <w:szCs w:val="32"/>
                <w:u w:val="single"/>
                <w:rtl/>
              </w:rPr>
            </w:pPr>
          </w:p>
        </w:tc>
      </w:tr>
      <w:bookmarkEnd w:id="4"/>
    </w:tbl>
    <w:p w14:paraId="536F909F" w14:textId="77777777" w:rsidR="00F53463" w:rsidRPr="00B05847" w:rsidRDefault="00F53463" w:rsidP="00F53463">
      <w:pPr>
        <w:rPr>
          <w:rFonts w:ascii="Arial" w:hAnsi="Arial"/>
          <w:rtl/>
        </w:rPr>
      </w:pPr>
    </w:p>
    <w:p w14:paraId="7A0C0E4E" w14:textId="77777777" w:rsidR="00F53463" w:rsidRPr="00B05847" w:rsidRDefault="00F53463" w:rsidP="00F53463">
      <w:pPr>
        <w:rPr>
          <w:rFonts w:ascii="Arial" w:hAnsi="Arial"/>
          <w:rtl/>
        </w:rPr>
      </w:pPr>
    </w:p>
    <w:p w14:paraId="3B8DD1C7" w14:textId="77777777" w:rsidR="00F53463" w:rsidRDefault="00F53463" w:rsidP="00F53463">
      <w:pPr>
        <w:spacing w:line="360" w:lineRule="auto"/>
        <w:ind w:left="720" w:hanging="720"/>
        <w:jc w:val="both"/>
        <w:rPr>
          <w:rtl/>
        </w:rPr>
      </w:pPr>
      <w:r>
        <w:rPr>
          <w:rFonts w:hint="cs"/>
          <w:rtl/>
        </w:rPr>
        <w:t>1.</w:t>
      </w:r>
      <w:r>
        <w:rPr>
          <w:rtl/>
        </w:rPr>
        <w:tab/>
      </w:r>
      <w:bookmarkStart w:id="5" w:name="ABSTRACT_START"/>
      <w:bookmarkEnd w:id="5"/>
      <w:r>
        <w:rPr>
          <w:rFonts w:hint="cs"/>
          <w:rtl/>
        </w:rPr>
        <w:t>הנאשם הורשע, על סמך הודאתו, בעבירות שיוחסו לו בכתב אישום אשר תוקן במסגרת הסדר טיעון אליו הגיעו הצדדים.  הסדר הטיעון כלל הסכמה עונשית ולפיה יעתרו הצדדים במשותף להטיל על הנאשם עונש של 27 חודשי מאסר בפועל בגין תיק זה, וכן יבקשו להפעיל עונש מאסר בן 18 חודשים, שהושת על הנאשם בתיק אחר, באופן שמחציתו תופעל בחופף לעונש שיוטל בגין תיק זה ומחציתו במצטבר. הוסכם כי הצדדים יעתרו שהנאשם ירצה בסך הכל 36 חודשי מאסר בפועל ובנוסף יטיל עליו בית המשפט מאסר מותנה לפי שיקול דעתו.</w:t>
      </w:r>
    </w:p>
    <w:p w14:paraId="4AB59A7B" w14:textId="77777777" w:rsidR="00F53463" w:rsidRDefault="00F53463" w:rsidP="00F53463">
      <w:pPr>
        <w:spacing w:line="360" w:lineRule="auto"/>
        <w:ind w:left="720" w:hanging="720"/>
        <w:jc w:val="both"/>
        <w:rPr>
          <w:rtl/>
        </w:rPr>
      </w:pPr>
      <w:bookmarkStart w:id="6" w:name="ABSTRACT_END"/>
      <w:bookmarkEnd w:id="6"/>
    </w:p>
    <w:p w14:paraId="33F43CB2" w14:textId="77777777" w:rsidR="00F53463" w:rsidRDefault="00F53463" w:rsidP="00F53463">
      <w:pPr>
        <w:spacing w:line="360" w:lineRule="auto"/>
        <w:ind w:left="720" w:hanging="720"/>
        <w:jc w:val="both"/>
        <w:rPr>
          <w:rtl/>
        </w:rPr>
      </w:pPr>
      <w:r>
        <w:rPr>
          <w:rFonts w:hint="cs"/>
          <w:rtl/>
        </w:rPr>
        <w:t>2.</w:t>
      </w:r>
      <w:r>
        <w:rPr>
          <w:rFonts w:hint="cs"/>
          <w:rtl/>
        </w:rPr>
        <w:tab/>
        <w:t xml:space="preserve">העבירות בהן הורשע הנאשם, בהתאם להודייתו, הן עבירות בנשק (נשיאה והובלה) לפי </w:t>
      </w:r>
      <w:hyperlink r:id="rId11" w:history="1">
        <w:r w:rsidR="00D16F78" w:rsidRPr="00D16F78">
          <w:rPr>
            <w:color w:val="0000FF"/>
            <w:u w:val="single"/>
            <w:rtl/>
          </w:rPr>
          <w:t>סעיף 144(ב)</w:t>
        </w:r>
      </w:hyperlink>
      <w:r>
        <w:rPr>
          <w:rFonts w:hint="cs"/>
          <w:rtl/>
        </w:rPr>
        <w:t xml:space="preserve"> + </w:t>
      </w:r>
      <w:hyperlink r:id="rId12" w:history="1">
        <w:r w:rsidR="00D16F78" w:rsidRPr="00D16F78">
          <w:rPr>
            <w:color w:val="0000FF"/>
            <w:u w:val="single"/>
            <w:rtl/>
          </w:rPr>
          <w:t>144(ג)(3)</w:t>
        </w:r>
      </w:hyperlink>
      <w:r>
        <w:rPr>
          <w:rFonts w:hint="cs"/>
          <w:rtl/>
        </w:rPr>
        <w:t xml:space="preserve"> + </w:t>
      </w:r>
      <w:hyperlink r:id="rId13" w:history="1">
        <w:r w:rsidR="00D16F78" w:rsidRPr="00D16F78">
          <w:rPr>
            <w:color w:val="0000FF"/>
            <w:u w:val="single"/>
            <w:rtl/>
          </w:rPr>
          <w:t>29</w:t>
        </w:r>
      </w:hyperlink>
      <w:r>
        <w:rPr>
          <w:rFonts w:hint="cs"/>
          <w:rtl/>
        </w:rPr>
        <w:t xml:space="preserve"> ל</w:t>
      </w:r>
      <w:hyperlink r:id="rId14" w:history="1">
        <w:r w:rsidR="004916CE" w:rsidRPr="004916CE">
          <w:rPr>
            <w:color w:val="0000FF"/>
            <w:u w:val="single"/>
            <w:rtl/>
          </w:rPr>
          <w:t>חוק העונשין</w:t>
        </w:r>
      </w:hyperlink>
      <w:r>
        <w:rPr>
          <w:rFonts w:hint="cs"/>
          <w:rtl/>
        </w:rPr>
        <w:t xml:space="preserve">, התשל"ז-1977 (להלן: "חוק העונשין") וקשירת קשר, עבירה לפי </w:t>
      </w:r>
      <w:hyperlink r:id="rId15" w:history="1">
        <w:r w:rsidR="00D16F78" w:rsidRPr="00D16F78">
          <w:rPr>
            <w:color w:val="0000FF"/>
            <w:u w:val="single"/>
            <w:rtl/>
          </w:rPr>
          <w:t>סעיף 499(א)(1)</w:t>
        </w:r>
      </w:hyperlink>
      <w:r>
        <w:rPr>
          <w:rFonts w:hint="cs"/>
          <w:rtl/>
        </w:rPr>
        <w:t xml:space="preserve"> לחוק העונשין.</w:t>
      </w:r>
    </w:p>
    <w:p w14:paraId="3BC9549A" w14:textId="77777777" w:rsidR="00F53463" w:rsidRDefault="00F53463" w:rsidP="00F53463">
      <w:pPr>
        <w:spacing w:line="360" w:lineRule="auto"/>
        <w:ind w:left="720" w:hanging="720"/>
        <w:jc w:val="both"/>
        <w:rPr>
          <w:rtl/>
        </w:rPr>
      </w:pPr>
    </w:p>
    <w:p w14:paraId="35BF6CEA" w14:textId="77777777" w:rsidR="00F53463" w:rsidRDefault="00F53463" w:rsidP="00F53463">
      <w:pPr>
        <w:spacing w:line="360" w:lineRule="auto"/>
        <w:ind w:left="720" w:hanging="720"/>
        <w:jc w:val="both"/>
        <w:rPr>
          <w:rtl/>
        </w:rPr>
      </w:pPr>
      <w:r>
        <w:rPr>
          <w:rFonts w:hint="cs"/>
          <w:rtl/>
        </w:rPr>
        <w:t>3.</w:t>
      </w:r>
      <w:r>
        <w:rPr>
          <w:rFonts w:hint="cs"/>
          <w:rtl/>
        </w:rPr>
        <w:tab/>
        <w:t xml:space="preserve">בעובדות כתב האישום נאמר כי במועד שאינו ידוע במדויק למאשימה, עובר ליום 18.8.17, קשר הנאשם קשר עם אחר או עם אחרים שזהותם אינה ידועה למאשימה, להניח מטען </w:t>
      </w:r>
      <w:r>
        <w:rPr>
          <w:rFonts w:hint="cs"/>
          <w:rtl/>
        </w:rPr>
        <w:lastRenderedPageBreak/>
        <w:t xml:space="preserve">חבלה צמוד לעסק צ'יינג' "הדר פיננסים והשקעות" אשר בחיפה, וזאת בכוונה להרוס או לפגוע בצ'יינג' (להלן: "הקשר"). הצ'יינג' ממוקם סמוך לבית קפה. </w:t>
      </w:r>
    </w:p>
    <w:p w14:paraId="0BC2261A" w14:textId="77777777" w:rsidR="00F53463" w:rsidRDefault="00F53463" w:rsidP="00F53463">
      <w:pPr>
        <w:spacing w:line="360" w:lineRule="auto"/>
        <w:ind w:left="720" w:hanging="720"/>
        <w:jc w:val="both"/>
        <w:rPr>
          <w:rtl/>
        </w:rPr>
      </w:pPr>
    </w:p>
    <w:p w14:paraId="323C65CC" w14:textId="77777777" w:rsidR="00F53463" w:rsidRDefault="00F53463" w:rsidP="00F53463">
      <w:pPr>
        <w:spacing w:line="360" w:lineRule="auto"/>
        <w:ind w:left="720" w:hanging="720"/>
        <w:jc w:val="both"/>
        <w:rPr>
          <w:rtl/>
        </w:rPr>
      </w:pPr>
      <w:r>
        <w:rPr>
          <w:rtl/>
        </w:rPr>
        <w:tab/>
      </w:r>
      <w:r>
        <w:rPr>
          <w:rFonts w:hint="cs"/>
          <w:rtl/>
        </w:rPr>
        <w:t>ביום 18.8.17, בין השעה 00:30 לשעה 07:30,  נגנב קטנוע שחור קימקו בקרית ביאליק (להלן: "הקטנוע").</w:t>
      </w:r>
    </w:p>
    <w:p w14:paraId="521A1F58" w14:textId="77777777" w:rsidR="00F53463" w:rsidRDefault="00F53463" w:rsidP="00F53463">
      <w:pPr>
        <w:spacing w:line="360" w:lineRule="auto"/>
        <w:ind w:left="720" w:hanging="720"/>
        <w:jc w:val="both"/>
        <w:rPr>
          <w:rtl/>
        </w:rPr>
      </w:pPr>
    </w:p>
    <w:p w14:paraId="4F3163CF" w14:textId="77777777" w:rsidR="00F53463" w:rsidRDefault="00F53463" w:rsidP="00F53463">
      <w:pPr>
        <w:spacing w:line="360" w:lineRule="auto"/>
        <w:ind w:left="720" w:hanging="720"/>
        <w:jc w:val="both"/>
        <w:rPr>
          <w:rtl/>
        </w:rPr>
      </w:pPr>
    </w:p>
    <w:p w14:paraId="34CEEB2B" w14:textId="77777777" w:rsidR="00F53463" w:rsidRDefault="00F53463" w:rsidP="00F53463">
      <w:pPr>
        <w:spacing w:line="360" w:lineRule="auto"/>
        <w:ind w:left="720" w:hanging="720"/>
        <w:jc w:val="both"/>
        <w:rPr>
          <w:rtl/>
        </w:rPr>
      </w:pPr>
    </w:p>
    <w:p w14:paraId="0120AAD7" w14:textId="77777777" w:rsidR="00F53463" w:rsidRDefault="00F53463" w:rsidP="00F53463">
      <w:pPr>
        <w:spacing w:line="360" w:lineRule="auto"/>
        <w:ind w:left="720" w:hanging="720"/>
        <w:jc w:val="both"/>
        <w:rPr>
          <w:rtl/>
        </w:rPr>
      </w:pPr>
      <w:r>
        <w:rPr>
          <w:rtl/>
        </w:rPr>
        <w:tab/>
      </w:r>
      <w:r>
        <w:rPr>
          <w:rFonts w:hint="cs"/>
          <w:rtl/>
        </w:rPr>
        <w:t>ביום 18.8.17 בסביבות השעה 15:00 לערך רכב אדם, שזהותו אינה ידועה למאשימה, על הקטנוע והחנה אותו בקומת העמודים שבין בניין 29 - 27 ברח' הנציב בקרית שמואל (להלן: "הבניין"). בהמשך אותו יום, בסמוך לשעה 17:50, נהג הנאשם ברכב מסוג רנו (להלן: "הרכב") המצוי בבעלותו, כשלצידו יושב אדם נוסף שזהותו אינה ידועה למאשימה. השניים נסעו לבניין כשהם נושאים ומובילים ברכב חומר נפץ (להלן: "מטען החבלה") בלא רשות על פי דין לנשיאתו והובלתו. בהגיעם לבניין, ירדו הנאשם והאדם הנוסף מהרכב, הטמינו את מטען החבלה בארגז הקטנוע ועזבו את המקום ברכב. בשעה 18:19 לערך ניגש אל הקטנוע אדם שזהותו אינה ידועה למאשימה, עלה עליו ורכב לכיוון הצ'יינג'. בשעה 18:25 לערך, עצר אותו אחר ליד הצ'יינג' והעמיד את הקטנוע, כשבתוכו מטען החבלה, בצמוד לכניסה לצ'יינג', וזאת בכוונה להרוס ולפגוע בצ'יינג' באמצעות מטען החבלה. לאחר מכן עזב את המקום בריצה. באותה עת הצ'יינג' היה סגור. בשעה 18:36 לערך התפוצץ מטען החבלה, וכתוצאה מכך נשבר חלון בית העסק, נשברו חלונות בבתי עסק נוספים ונגרם נזק לרכב שחנה בסמוך.</w:t>
      </w:r>
    </w:p>
    <w:p w14:paraId="5D46A1E4" w14:textId="77777777" w:rsidR="00F53463" w:rsidRDefault="00F53463" w:rsidP="00F53463">
      <w:pPr>
        <w:spacing w:line="360" w:lineRule="auto"/>
        <w:ind w:left="720" w:hanging="720"/>
        <w:jc w:val="both"/>
        <w:rPr>
          <w:rtl/>
        </w:rPr>
      </w:pPr>
    </w:p>
    <w:p w14:paraId="79BD92F9" w14:textId="77777777" w:rsidR="00F53463" w:rsidRDefault="00F53463" w:rsidP="00F53463">
      <w:pPr>
        <w:spacing w:line="360" w:lineRule="auto"/>
        <w:ind w:left="720" w:hanging="720"/>
        <w:jc w:val="both"/>
        <w:rPr>
          <w:rtl/>
        </w:rPr>
      </w:pPr>
      <w:r>
        <w:rPr>
          <w:rFonts w:hint="cs"/>
          <w:rtl/>
        </w:rPr>
        <w:t>4.</w:t>
      </w:r>
      <w:r>
        <w:rPr>
          <w:rFonts w:hint="cs"/>
          <w:rtl/>
        </w:rPr>
        <w:tab/>
        <w:t>בטיעוניה לעונש ציינה המאשימה כי אמנם מדובר בעבירות חמורות אך יחד עם זאת, כתב האישום תוקן משמעותית לאחר שבתיק נתגלו קשיים ראייתיים משמעותיים. נטען כי באיזון שבין חומרת המעשים לקשיים הראייתיים, הענישה המוסכמת הינה סבירה וראויה.</w:t>
      </w:r>
    </w:p>
    <w:p w14:paraId="78BC5C61" w14:textId="77777777" w:rsidR="00F53463" w:rsidRDefault="00F53463" w:rsidP="00F53463">
      <w:pPr>
        <w:spacing w:line="360" w:lineRule="auto"/>
        <w:ind w:left="720" w:hanging="720"/>
        <w:jc w:val="both"/>
        <w:rPr>
          <w:rtl/>
        </w:rPr>
      </w:pPr>
    </w:p>
    <w:p w14:paraId="6D30F43D" w14:textId="77777777" w:rsidR="00F53463" w:rsidRDefault="00F53463" w:rsidP="00F53463">
      <w:pPr>
        <w:spacing w:line="360" w:lineRule="auto"/>
        <w:ind w:left="720" w:hanging="720"/>
        <w:jc w:val="both"/>
        <w:rPr>
          <w:rtl/>
        </w:rPr>
      </w:pPr>
      <w:r>
        <w:rPr>
          <w:rtl/>
        </w:rPr>
        <w:tab/>
      </w:r>
      <w:r>
        <w:rPr>
          <w:rFonts w:hint="cs"/>
          <w:rtl/>
        </w:rPr>
        <w:t>עוד ציינה המאשימה כי מדובר בנאשם צעיר יחסית, אשר בעברו שתי הרשעות קודמות. הרשעתו האחרונה היא מינואר 2016, במסגרתה השית עליו בית המשפט מאסר מותנה אותו מבקשת המאשימה להפעיל, מחציתו בחופף ומחציתו במצטבר.</w:t>
      </w:r>
    </w:p>
    <w:p w14:paraId="0A16C3DF" w14:textId="77777777" w:rsidR="00F53463" w:rsidRDefault="00F53463" w:rsidP="00F53463">
      <w:pPr>
        <w:spacing w:line="360" w:lineRule="auto"/>
        <w:ind w:left="720" w:hanging="720"/>
        <w:jc w:val="both"/>
        <w:rPr>
          <w:rtl/>
        </w:rPr>
      </w:pPr>
    </w:p>
    <w:p w14:paraId="2664F14B" w14:textId="77777777" w:rsidR="00F53463" w:rsidRDefault="00F53463" w:rsidP="00F53463">
      <w:pPr>
        <w:spacing w:line="360" w:lineRule="auto"/>
        <w:ind w:left="720" w:hanging="720"/>
        <w:jc w:val="both"/>
        <w:rPr>
          <w:rtl/>
        </w:rPr>
      </w:pPr>
      <w:r>
        <w:rPr>
          <w:rtl/>
        </w:rPr>
        <w:tab/>
      </w:r>
      <w:r>
        <w:rPr>
          <w:rFonts w:hint="cs"/>
          <w:rtl/>
        </w:rPr>
        <w:t>ב"כ המאשימה הפנתה בנוסף להודאתו של הנאשם ולנטילת האחריות מצידו על מעשיו. נטען כי הודיה זו, אשר הביאה לחיסכון בזמן שיפוטי יקר, צריכה להילקח בחשבון בעת גזירת דינו של הנאשם. לסיכום, טענה המאשימה כי במכלול השיקולים, ובראשם הקשיים הראייתיים שניצבו בתיק זה, הרי שעונש המאסר המוסכם מאוזן, הולם וראוי.</w:t>
      </w:r>
    </w:p>
    <w:p w14:paraId="09899554" w14:textId="77777777" w:rsidR="00F53463" w:rsidRDefault="00F53463" w:rsidP="00F53463">
      <w:pPr>
        <w:spacing w:line="360" w:lineRule="auto"/>
        <w:ind w:left="720" w:hanging="720"/>
        <w:jc w:val="both"/>
        <w:rPr>
          <w:rtl/>
        </w:rPr>
      </w:pPr>
    </w:p>
    <w:p w14:paraId="7E326B23" w14:textId="77777777" w:rsidR="00F53463" w:rsidRDefault="00F53463" w:rsidP="00F53463">
      <w:pPr>
        <w:spacing w:line="360" w:lineRule="auto"/>
        <w:ind w:left="720" w:hanging="720"/>
        <w:jc w:val="both"/>
        <w:rPr>
          <w:rtl/>
        </w:rPr>
      </w:pPr>
      <w:r>
        <w:rPr>
          <w:rFonts w:hint="cs"/>
          <w:rtl/>
        </w:rPr>
        <w:lastRenderedPageBreak/>
        <w:t>5.</w:t>
      </w:r>
      <w:r>
        <w:rPr>
          <w:rFonts w:hint="cs"/>
          <w:rtl/>
        </w:rPr>
        <w:tab/>
        <w:t xml:space="preserve">ב"כ הנאשם הפנה אף הוא לקשיים הראייתיים המשמעותיים הקיימים בתיק, תוך שציין כי אילו היה התיק נשמע לא ברור כיצד היה מסתיים ההליך והסבירות, לשיטתו, כי היה מסתיים לטובת הנאשם. נאמר כי על אף זאת, ועל מנת לאזן בין הסיכונים לסיכויים, החליט הנאשם להגיע להסדר הטיעון שהוצג. </w:t>
      </w:r>
    </w:p>
    <w:p w14:paraId="6F4523AF" w14:textId="77777777" w:rsidR="00F53463" w:rsidRDefault="00F53463" w:rsidP="00F53463">
      <w:pPr>
        <w:spacing w:line="360" w:lineRule="auto"/>
        <w:ind w:left="720" w:hanging="720"/>
        <w:jc w:val="both"/>
        <w:rPr>
          <w:rtl/>
        </w:rPr>
      </w:pPr>
    </w:p>
    <w:p w14:paraId="4A76E816" w14:textId="77777777" w:rsidR="00F53463" w:rsidRDefault="00F53463" w:rsidP="00F53463">
      <w:pPr>
        <w:spacing w:line="360" w:lineRule="auto"/>
        <w:ind w:left="720" w:hanging="720"/>
        <w:jc w:val="both"/>
        <w:rPr>
          <w:rtl/>
        </w:rPr>
      </w:pPr>
      <w:r>
        <w:rPr>
          <w:rtl/>
        </w:rPr>
        <w:tab/>
      </w:r>
      <w:r>
        <w:rPr>
          <w:rFonts w:hint="cs"/>
          <w:rtl/>
        </w:rPr>
        <w:t>הסנגור הפנה לכך שמדובר בנאשם צעיר שאמנם זהו מאסרו השני, אך לא מדובר באדם שעברו מכביד. לבד מהרשעתו הקודמת יש לחובת הנאשם רישום ללא הרשעה מבית משפט השלום לנוער.</w:t>
      </w:r>
    </w:p>
    <w:p w14:paraId="4EB2630A" w14:textId="77777777" w:rsidR="00F53463" w:rsidRDefault="00F53463" w:rsidP="00F53463">
      <w:pPr>
        <w:spacing w:line="360" w:lineRule="auto"/>
        <w:ind w:left="720" w:hanging="720"/>
        <w:jc w:val="both"/>
        <w:rPr>
          <w:rtl/>
        </w:rPr>
      </w:pPr>
      <w:r>
        <w:rPr>
          <w:rtl/>
        </w:rPr>
        <w:tab/>
      </w:r>
      <w:r>
        <w:rPr>
          <w:rFonts w:hint="cs"/>
          <w:rtl/>
        </w:rPr>
        <w:t>ב"כ הנאשם הוסיף כי מעבר לכך, הנאשם הודה בהזדמנות הראשונה והוא מתחרט על מעשיו מעומק ליבו ולכן ביקש לקיים את הסדר הטיעון שהושג בין הצדדים. נאמר כי לפני יומיים נישא הנאשם בין כותלי בית הסוהר ללא נוכחות המשפחה המורחבת וחברים. על אף שמדובר בשמחה, הרי בנסיבות העניין האירוע היה עצוב. לדברי הסנגור, לאחר נישואיו, מבקש הנאשם לפתוח דף חדש ולשנות את אורחות חייו.</w:t>
      </w:r>
    </w:p>
    <w:p w14:paraId="2C8E68AD" w14:textId="77777777" w:rsidR="00F53463" w:rsidRDefault="00F53463" w:rsidP="00F53463">
      <w:pPr>
        <w:spacing w:line="360" w:lineRule="auto"/>
        <w:ind w:left="720" w:hanging="720"/>
        <w:jc w:val="both"/>
        <w:rPr>
          <w:rtl/>
        </w:rPr>
      </w:pPr>
    </w:p>
    <w:p w14:paraId="6E5279DB" w14:textId="77777777" w:rsidR="00F53463" w:rsidRDefault="00F53463" w:rsidP="00F53463">
      <w:pPr>
        <w:spacing w:line="360" w:lineRule="auto"/>
        <w:ind w:left="720" w:hanging="720"/>
        <w:jc w:val="both"/>
        <w:rPr>
          <w:rtl/>
        </w:rPr>
      </w:pPr>
      <w:r>
        <w:rPr>
          <w:rFonts w:hint="cs"/>
          <w:rtl/>
        </w:rPr>
        <w:t>6.</w:t>
      </w:r>
      <w:r>
        <w:rPr>
          <w:rFonts w:hint="cs"/>
          <w:rtl/>
        </w:rPr>
        <w:tab/>
        <w:t xml:space="preserve"> בדברו האחרון, הביע הנאשם  צער על מעשיו והבטיח לא להסתבך יותר בפלילים. </w:t>
      </w:r>
    </w:p>
    <w:p w14:paraId="6D19AB8F" w14:textId="77777777" w:rsidR="00F53463" w:rsidRDefault="00F53463" w:rsidP="00F53463">
      <w:pPr>
        <w:spacing w:line="360" w:lineRule="auto"/>
        <w:ind w:left="720" w:hanging="720"/>
        <w:jc w:val="both"/>
        <w:rPr>
          <w:rtl/>
        </w:rPr>
      </w:pPr>
    </w:p>
    <w:p w14:paraId="0CD78776" w14:textId="77777777" w:rsidR="00F53463" w:rsidRDefault="00F53463" w:rsidP="00F53463">
      <w:pPr>
        <w:spacing w:line="360" w:lineRule="auto"/>
        <w:ind w:left="720" w:hanging="720"/>
        <w:jc w:val="both"/>
        <w:rPr>
          <w:rtl/>
        </w:rPr>
      </w:pPr>
      <w:r>
        <w:rPr>
          <w:rFonts w:hint="cs"/>
          <w:rtl/>
        </w:rPr>
        <w:t>7.</w:t>
      </w:r>
      <w:r>
        <w:rPr>
          <w:rFonts w:hint="cs"/>
          <w:rtl/>
        </w:rPr>
        <w:tab/>
        <w:t>ההלכה הפסוקה מורה כי קיומו של הסדר טיעון אינו מבטל את תחולתו של תיקון 113 ל</w:t>
      </w:r>
      <w:hyperlink r:id="rId16" w:history="1">
        <w:r w:rsidR="004916CE" w:rsidRPr="004916CE">
          <w:rPr>
            <w:color w:val="0000FF"/>
            <w:u w:val="single"/>
            <w:rtl/>
          </w:rPr>
          <w:t>חוק העונשין</w:t>
        </w:r>
      </w:hyperlink>
      <w:r>
        <w:rPr>
          <w:rFonts w:hint="cs"/>
          <w:rtl/>
        </w:rPr>
        <w:t xml:space="preserve">, ועל בית המשפט לבחון את הסדר הטיעון, על פי אמות המידה המקובלות ובהתאם לנסיבות המקרה ונסיבותיו האישיות של הנאשם (ראו </w:t>
      </w:r>
      <w:hyperlink r:id="rId17" w:history="1">
        <w:r w:rsidR="004916CE" w:rsidRPr="004916CE">
          <w:rPr>
            <w:color w:val="0000FF"/>
            <w:u w:val="single"/>
            <w:rtl/>
          </w:rPr>
          <w:t>ע"פ 512/13</w:t>
        </w:r>
      </w:hyperlink>
      <w:r>
        <w:rPr>
          <w:rFonts w:hint="cs"/>
          <w:rtl/>
        </w:rPr>
        <w:t xml:space="preserve"> </w:t>
      </w:r>
      <w:r>
        <w:rPr>
          <w:rFonts w:hint="cs"/>
          <w:b/>
          <w:bCs/>
          <w:rtl/>
        </w:rPr>
        <w:t>פלוני נ' מדינת ישראל</w:t>
      </w:r>
      <w:r>
        <w:rPr>
          <w:rFonts w:hint="cs"/>
          <w:rtl/>
        </w:rPr>
        <w:t xml:space="preserve"> (4.12.2013)).</w:t>
      </w:r>
    </w:p>
    <w:p w14:paraId="43746CBE" w14:textId="77777777" w:rsidR="00F53463" w:rsidRDefault="00F53463" w:rsidP="00F53463">
      <w:pPr>
        <w:spacing w:line="360" w:lineRule="auto"/>
        <w:ind w:left="720" w:hanging="720"/>
        <w:jc w:val="both"/>
        <w:rPr>
          <w:rtl/>
        </w:rPr>
      </w:pPr>
    </w:p>
    <w:p w14:paraId="647C9BAC" w14:textId="77777777" w:rsidR="00F53463" w:rsidRDefault="00F53463" w:rsidP="00F53463">
      <w:pPr>
        <w:spacing w:line="360" w:lineRule="auto"/>
        <w:ind w:left="720" w:hanging="720"/>
        <w:jc w:val="both"/>
        <w:rPr>
          <w:rtl/>
        </w:rPr>
      </w:pPr>
      <w:r>
        <w:rPr>
          <w:rFonts w:hint="cs"/>
          <w:rtl/>
        </w:rPr>
        <w:t>8.</w:t>
      </w:r>
      <w:r>
        <w:rPr>
          <w:rFonts w:hint="cs"/>
          <w:rtl/>
        </w:rPr>
        <w:tab/>
        <w:t>אין צורך להרבות מילים על אודות חומרת מעשיו של הנאשם אשר נשא והוביל ברכבו מטען חבלה, שהונח בהמשך על ידי האחר בפתח הצ'יינג' והתפוצץ תוך שהוא גורם לנזקי רכוש, הן לצ'יינג' והן לבתי עסק נוספים סמוכים ואף לרכב שחנה בסמוך. ניתן לשער כי רק בדרך נס לא נגרמו פגיעות בנפש בקרב דיירי הבתים הסמוכים או עוברי אורח תמימים שנקרו לזירת האירוע.</w:t>
      </w:r>
    </w:p>
    <w:p w14:paraId="1B6D0FD8" w14:textId="77777777" w:rsidR="00F53463" w:rsidRDefault="00F53463" w:rsidP="00F53463">
      <w:pPr>
        <w:spacing w:line="360" w:lineRule="auto"/>
        <w:ind w:left="720" w:hanging="720"/>
        <w:jc w:val="both"/>
        <w:rPr>
          <w:rtl/>
        </w:rPr>
      </w:pPr>
    </w:p>
    <w:p w14:paraId="42059CB2" w14:textId="77777777" w:rsidR="00F53463" w:rsidRDefault="00F53463" w:rsidP="00F53463">
      <w:pPr>
        <w:spacing w:line="360" w:lineRule="auto"/>
        <w:ind w:left="720" w:hanging="720"/>
        <w:jc w:val="both"/>
        <w:rPr>
          <w:rtl/>
        </w:rPr>
      </w:pPr>
      <w:r>
        <w:rPr>
          <w:rtl/>
        </w:rPr>
        <w:tab/>
      </w:r>
      <w:r>
        <w:rPr>
          <w:rFonts w:hint="cs"/>
          <w:rtl/>
        </w:rPr>
        <w:t>הערכים החברתיים שנפגעו מביצוע העבירות בתיק זה הם שלומם, ביטחונם, שלמות גופם ורכושם של נפגעי העבירה, של הדיירים המתגוררים בסמוך ושל עוברי אורח. בפסיקה  הודגש, במספר רב של הזדמנויות, הצורך שבית המשפט יתרום את תרומתו למיגור תופעת השימוש בנשק, שהפכה למכת מדינה.  ב</w:t>
      </w:r>
      <w:hyperlink r:id="rId18" w:history="1">
        <w:r w:rsidR="004916CE" w:rsidRPr="004916CE">
          <w:rPr>
            <w:color w:val="0000FF"/>
            <w:u w:val="single"/>
            <w:rtl/>
          </w:rPr>
          <w:t>ע"פ 27/17</w:t>
        </w:r>
      </w:hyperlink>
      <w:r>
        <w:rPr>
          <w:rFonts w:hint="cs"/>
          <w:rtl/>
        </w:rPr>
        <w:t xml:space="preserve"> </w:t>
      </w:r>
      <w:r>
        <w:rPr>
          <w:rFonts w:hint="cs"/>
          <w:b/>
          <w:bCs/>
          <w:rtl/>
        </w:rPr>
        <w:t>בסל נ' מדינת ישראל</w:t>
      </w:r>
      <w:r>
        <w:rPr>
          <w:rFonts w:hint="cs"/>
          <w:rtl/>
        </w:rPr>
        <w:t xml:space="preserve"> (12.12.2017) נאמר כי: </w:t>
      </w:r>
    </w:p>
    <w:p w14:paraId="6C594096" w14:textId="77777777" w:rsidR="00F53463" w:rsidRDefault="00F53463" w:rsidP="00F53463">
      <w:pPr>
        <w:spacing w:line="360" w:lineRule="auto"/>
        <w:ind w:left="720" w:hanging="720"/>
        <w:jc w:val="both"/>
        <w:rPr>
          <w:rtl/>
        </w:rPr>
      </w:pPr>
    </w:p>
    <w:p w14:paraId="370FB839" w14:textId="77777777" w:rsidR="00F53463" w:rsidRPr="00793EF1" w:rsidRDefault="00F53463" w:rsidP="00F53463">
      <w:pPr>
        <w:pStyle w:val="a9"/>
        <w:rPr>
          <w:rtl/>
        </w:rPr>
      </w:pPr>
      <w:r>
        <w:rPr>
          <w:rFonts w:hint="cs"/>
          <w:rtl/>
        </w:rPr>
        <w:t xml:space="preserve">"בית משפט זה פסק בעבר כי לא ניתן להשלים עם עבירות בכלי נשק, והדגיש את חומרתן הרבה של עבירות אלו, על הסכנות הטמונות בהחזקת נשק שלא כדין, ועל אחת כמה וכמה ברכישה, בנשיאה ובהובלה של נשק שלא כדין, אשר לעתים משמש לא רק לפעילות עבריינית אלא גם לפעילות חבלנית עוינת על רקע ביטחוני. ואכן, המגמה בשנים האחרונות ביחס לעבירות נשק היא של החמרה ברמת ענישתם של המעורבים בהם, תוך מתן ביטוי עונשי הולם לסכנה הנשקפת מהן (ראו למשל: </w:t>
      </w:r>
      <w:hyperlink r:id="rId19" w:history="1">
        <w:r w:rsidR="004916CE" w:rsidRPr="004916CE">
          <w:rPr>
            <w:color w:val="0000FF"/>
            <w:u w:val="single"/>
            <w:rtl/>
          </w:rPr>
          <w:t>ע"פ 4154/16</w:t>
        </w:r>
      </w:hyperlink>
      <w:r>
        <w:rPr>
          <w:rFonts w:hint="cs"/>
          <w:rtl/>
        </w:rPr>
        <w:t xml:space="preserve"> </w:t>
      </w:r>
      <w:r>
        <w:rPr>
          <w:rFonts w:hint="cs"/>
          <w:b/>
          <w:bCs/>
          <w:rtl/>
        </w:rPr>
        <w:t>דהוד נ' מדינת ישראל</w:t>
      </w:r>
      <w:r w:rsidRPr="00793EF1">
        <w:rPr>
          <w:rFonts w:hint="cs"/>
          <w:rtl/>
        </w:rPr>
        <w:t>, פיסקה 11</w:t>
      </w:r>
      <w:r>
        <w:rPr>
          <w:rFonts w:hint="cs"/>
          <w:rtl/>
        </w:rPr>
        <w:t xml:space="preserve"> (19.1.2017))". </w:t>
      </w:r>
    </w:p>
    <w:p w14:paraId="711B34C0" w14:textId="77777777" w:rsidR="00F53463" w:rsidRDefault="00F53463" w:rsidP="00F53463">
      <w:pPr>
        <w:spacing w:line="360" w:lineRule="auto"/>
        <w:ind w:left="720" w:hanging="720"/>
        <w:jc w:val="both"/>
        <w:rPr>
          <w:rtl/>
        </w:rPr>
      </w:pPr>
    </w:p>
    <w:p w14:paraId="3BC3A5FB" w14:textId="77777777" w:rsidR="00F53463" w:rsidRDefault="00F53463" w:rsidP="00F53463">
      <w:pPr>
        <w:spacing w:line="360" w:lineRule="auto"/>
        <w:ind w:left="720" w:hanging="720"/>
        <w:jc w:val="both"/>
        <w:rPr>
          <w:rtl/>
        </w:rPr>
      </w:pPr>
      <w:r>
        <w:rPr>
          <w:rFonts w:hint="cs"/>
          <w:rtl/>
        </w:rPr>
        <w:t>9.</w:t>
      </w:r>
      <w:r>
        <w:rPr>
          <w:rFonts w:hint="cs"/>
          <w:rtl/>
        </w:rPr>
        <w:tab/>
        <w:t>לצד חומרת המעשים, אין להתעלם מהקשיים הראייתיים המשמעותיים עליהם עמדו הצדדים, ואשר הובילו להסדר הטיעון. ככלל, נדרש בית המשפט לקיים הסדרי טיעון שהונחו בפניו בשל טעמים הקשורים בחשיבותם ובמעמדם של הסדרים אלה. לצד זאת, על בית המשפט לבחון אם הסדר טיעון מסוים שהונח בפניו, לרבות העונש שהוצג במסגרתו,  מאזן בין טובת ההנאה שמעניק ההסדר לנאשם לבין האינטרס הציבורי. יפים לעניין זה דברי כב' הנשיאה בייניש ב</w:t>
      </w:r>
      <w:hyperlink r:id="rId20" w:history="1">
        <w:r w:rsidR="004916CE" w:rsidRPr="004916CE">
          <w:rPr>
            <w:color w:val="0000FF"/>
            <w:u w:val="single"/>
            <w:rtl/>
          </w:rPr>
          <w:t>ע"פ 1958/98 פלוני נ' מדינת ישראל, פ"ד נז</w:t>
        </w:r>
      </w:hyperlink>
      <w:r>
        <w:rPr>
          <w:rFonts w:hint="cs"/>
          <w:rtl/>
        </w:rPr>
        <w:t>(1), 577, שם נקבע כי:</w:t>
      </w:r>
    </w:p>
    <w:p w14:paraId="5BC36E51" w14:textId="77777777" w:rsidR="00F53463" w:rsidRDefault="00F53463" w:rsidP="00F53463">
      <w:pPr>
        <w:spacing w:line="360" w:lineRule="auto"/>
        <w:ind w:left="720" w:hanging="720"/>
        <w:jc w:val="both"/>
        <w:rPr>
          <w:rtl/>
        </w:rPr>
      </w:pPr>
    </w:p>
    <w:p w14:paraId="736BF4FC" w14:textId="77777777" w:rsidR="00F53463" w:rsidRPr="0075373D" w:rsidRDefault="00F53463" w:rsidP="00F53463">
      <w:pPr>
        <w:pStyle w:val="a9"/>
        <w:rPr>
          <w:rtl/>
        </w:rPr>
      </w:pPr>
      <w:r>
        <w:rPr>
          <w:rFonts w:hint="cs"/>
          <w:rtl/>
        </w:rPr>
        <w:t xml:space="preserve">"במסגרת בחינתו של העונש המוצע, ייתן בית המשפט דעתו לכל שיקולי הענישה הרלבנטיים, ויבחן אם מקיים העונש המוצע את האיזון הדרוש ביניהם. לשם כך, יבחן בית המשפט את העונש ההולם בנסיבות העניין, וישקיף עליו גם באספקלריה שהעמידה לרשותו התביעה בהסדר הטיעון שערכה. בבחינת הסדר הטיעון, נקודת המוצא היא מידת העונש המוצע בשים לב לסוג העבירה, לחומרתה ולנסיבות ביצועה. כמו בכל הליך של גזירת הדין, יתן בית המשפט דעתו גם לנסיבות האישיות של הנאשם ולשיקולי מדיניות של ענישה ראויה, ויתחשב בכל אלה... הוא יבחן את העונש על פי אמות המידה שמנינו, ויבדוק אם העונש המוסכם שהוצע לו אינו מפר את האיזון הדרוש בין טובת ההנאה שהנאשם מקבל לבין אינטרס הציבור. אם שוכנע בית המשפט בקיומו של איזון כאמור, יאמץ את הסדר הטיעון. אם הופר האיזון האמור, אם התביעה הכללית חרגה בהפעלת השקלול ההולם במזיד, בשוגג או בתום לב, ואם ציפיות הנאשם מנותקות מהצדקה עניינית, יסטה בית המשפט מההסדר המוצע ויגזור את הדין על פי שיקול דעתו". </w:t>
      </w:r>
    </w:p>
    <w:p w14:paraId="0FA26667" w14:textId="77777777" w:rsidR="00F53463" w:rsidRDefault="00F53463" w:rsidP="00F53463">
      <w:pPr>
        <w:spacing w:line="360" w:lineRule="auto"/>
        <w:ind w:left="720" w:hanging="720"/>
        <w:jc w:val="both"/>
        <w:rPr>
          <w:rtl/>
        </w:rPr>
      </w:pPr>
    </w:p>
    <w:p w14:paraId="643F44D3" w14:textId="77777777" w:rsidR="00F53463" w:rsidRDefault="00F53463" w:rsidP="00F53463">
      <w:pPr>
        <w:spacing w:line="360" w:lineRule="auto"/>
        <w:ind w:left="720" w:hanging="720"/>
        <w:jc w:val="both"/>
        <w:rPr>
          <w:rtl/>
        </w:rPr>
      </w:pPr>
      <w:r>
        <w:rPr>
          <w:rtl/>
        </w:rPr>
        <w:tab/>
      </w:r>
      <w:r>
        <w:rPr>
          <w:rFonts w:hint="cs"/>
          <w:rtl/>
        </w:rPr>
        <w:t xml:space="preserve">יחד עם זאת, ההלכה הפסוקה מורה כי רק במקרים חריגים יסטה בית המשפט מהסדר טיעון שהוצג בפניו. </w:t>
      </w:r>
    </w:p>
    <w:p w14:paraId="6A403076" w14:textId="77777777" w:rsidR="00F53463" w:rsidRDefault="00F53463" w:rsidP="00F53463">
      <w:pPr>
        <w:spacing w:line="360" w:lineRule="auto"/>
        <w:ind w:left="720" w:hanging="720"/>
        <w:jc w:val="both"/>
        <w:rPr>
          <w:rtl/>
        </w:rPr>
      </w:pPr>
    </w:p>
    <w:p w14:paraId="3B900897" w14:textId="77777777" w:rsidR="00F53463" w:rsidRDefault="00F53463" w:rsidP="00F53463">
      <w:pPr>
        <w:spacing w:line="360" w:lineRule="auto"/>
        <w:ind w:left="720" w:hanging="720"/>
        <w:jc w:val="both"/>
        <w:rPr>
          <w:rtl/>
        </w:rPr>
      </w:pPr>
      <w:r>
        <w:rPr>
          <w:rFonts w:hint="cs"/>
          <w:rtl/>
        </w:rPr>
        <w:t>10.</w:t>
      </w:r>
      <w:r>
        <w:rPr>
          <w:rFonts w:hint="cs"/>
          <w:rtl/>
        </w:rPr>
        <w:tab/>
        <w:t xml:space="preserve">בבחינת נסיבותיו האישיות של הנאשם, הבאתי בחשבון את גילו הצעיר ואת העובדה כי הודה בעבירות שיוחסו לו בכתב האישום המתוקן בשלב מוקדם של הדיון. הודיה זו, לא רק שהביאה לחיסכון בזמן שיפוטי יקר, אלא שהיא מגלמת גם נטילת אחריות מצד הנאשם, על מעשיו. </w:t>
      </w:r>
    </w:p>
    <w:p w14:paraId="1FA66E03" w14:textId="77777777" w:rsidR="00F53463" w:rsidRDefault="00F53463" w:rsidP="00F53463">
      <w:pPr>
        <w:spacing w:line="360" w:lineRule="auto"/>
        <w:ind w:left="720" w:hanging="720"/>
        <w:jc w:val="both"/>
        <w:rPr>
          <w:rtl/>
        </w:rPr>
      </w:pPr>
    </w:p>
    <w:p w14:paraId="4ED724CF" w14:textId="77777777" w:rsidR="00F53463" w:rsidRDefault="00F53463" w:rsidP="00F53463">
      <w:pPr>
        <w:spacing w:line="360" w:lineRule="auto"/>
        <w:ind w:left="720" w:hanging="720"/>
        <w:jc w:val="both"/>
        <w:rPr>
          <w:rtl/>
        </w:rPr>
      </w:pPr>
      <w:r>
        <w:rPr>
          <w:rtl/>
        </w:rPr>
        <w:tab/>
      </w:r>
      <w:r>
        <w:rPr>
          <w:rFonts w:hint="cs"/>
          <w:rtl/>
        </w:rPr>
        <w:t>מצד שני, לא מדובר במי שזו הסתבכותו הראשונה בפלילים. עיון ברישום הפלילי שהוצג בפניי מלמד כי לחובת הנאשם שתי הרשעות קודמות: האחת מיום 26.1.16 בגדרה הורשע הנאשם ברכישה והחזקת נשק שלא כדין, ירי בנשק באזור מגורים ואיומים ובגינה הוטלו עליו 23 חודשי מאסר בפועל. בנוסף, הטיל בית המשפט באותו תיק על הנאשם מאסר מותנה אותו מבקשים הצדדים להפעיל, כמוסכם בהסדר הטיעון.</w:t>
      </w:r>
    </w:p>
    <w:p w14:paraId="2EABEA20" w14:textId="77777777" w:rsidR="00F53463" w:rsidRDefault="00F53463" w:rsidP="00F53463">
      <w:pPr>
        <w:spacing w:line="360" w:lineRule="auto"/>
        <w:ind w:left="720" w:hanging="720"/>
        <w:jc w:val="both"/>
        <w:rPr>
          <w:rtl/>
        </w:rPr>
      </w:pPr>
    </w:p>
    <w:p w14:paraId="144187B3" w14:textId="77777777" w:rsidR="00F53463" w:rsidRDefault="00F53463" w:rsidP="00F53463">
      <w:pPr>
        <w:spacing w:line="360" w:lineRule="auto"/>
        <w:ind w:left="720" w:hanging="720"/>
        <w:jc w:val="both"/>
        <w:rPr>
          <w:rtl/>
        </w:rPr>
      </w:pPr>
      <w:r>
        <w:rPr>
          <w:rtl/>
        </w:rPr>
        <w:tab/>
      </w:r>
      <w:r>
        <w:rPr>
          <w:rFonts w:hint="cs"/>
          <w:rtl/>
        </w:rPr>
        <w:t>לבד מאותה הרשעה, עומדת לחובת הנאשם הרשעה נוספת מיום 16.5.12 מבית משפט השלום לנוער בחיפה בעבירת חבלה חמורה וחבלה כשהעבריין מזויין.</w:t>
      </w:r>
    </w:p>
    <w:p w14:paraId="30FF88BD" w14:textId="77777777" w:rsidR="00F53463" w:rsidRDefault="00F53463" w:rsidP="00F53463">
      <w:pPr>
        <w:spacing w:line="360" w:lineRule="auto"/>
        <w:ind w:left="720" w:hanging="720"/>
        <w:jc w:val="both"/>
        <w:rPr>
          <w:rtl/>
        </w:rPr>
      </w:pPr>
    </w:p>
    <w:p w14:paraId="562D82AA" w14:textId="77777777" w:rsidR="00F53463" w:rsidRDefault="00F53463" w:rsidP="00F53463">
      <w:pPr>
        <w:spacing w:line="360" w:lineRule="auto"/>
        <w:ind w:left="720" w:hanging="720"/>
        <w:jc w:val="both"/>
        <w:rPr>
          <w:rtl/>
        </w:rPr>
      </w:pPr>
      <w:r>
        <w:rPr>
          <w:rFonts w:hint="cs"/>
          <w:rtl/>
        </w:rPr>
        <w:t>11.</w:t>
      </w:r>
      <w:r>
        <w:rPr>
          <w:rFonts w:hint="cs"/>
          <w:rtl/>
        </w:rPr>
        <w:tab/>
        <w:t>לאחר ששקלתי את מכלול הנסיבות, לרבות חומרת המעשים בהם  הורשע הנאשם בתיק זה, מדיניות הענישה הנוהגת במקרים דומים והקשיים הראייתיים עליהם הצביעו הצדדים, החלטתי שלא לסטות מהעונש המוסכם בהסדר הטיעון. לעניין זה התחשבתי גם בגילו של הנאשם ובהודייתו בשלב מוקדם של הדיון. סבורני כי במכלול הנתונים, מאזן העונש המוסכם באופן ראוי, בין טובת ההנאה שהנאשם מקבל לבין האינטרס הציבורי.</w:t>
      </w:r>
    </w:p>
    <w:p w14:paraId="2AFAA2F4" w14:textId="77777777" w:rsidR="00F53463" w:rsidRDefault="00F53463" w:rsidP="00F53463">
      <w:pPr>
        <w:spacing w:line="360" w:lineRule="auto"/>
        <w:ind w:left="720" w:hanging="720"/>
        <w:jc w:val="both"/>
        <w:rPr>
          <w:rtl/>
        </w:rPr>
      </w:pPr>
    </w:p>
    <w:p w14:paraId="6C4A3365" w14:textId="77777777" w:rsidR="00F53463" w:rsidRDefault="00F53463" w:rsidP="00F53463">
      <w:pPr>
        <w:spacing w:line="360" w:lineRule="auto"/>
        <w:ind w:left="720" w:hanging="720"/>
        <w:jc w:val="both"/>
        <w:rPr>
          <w:rtl/>
        </w:rPr>
      </w:pPr>
      <w:r>
        <w:rPr>
          <w:rFonts w:hint="cs"/>
          <w:rtl/>
        </w:rPr>
        <w:t>12.</w:t>
      </w:r>
      <w:r>
        <w:rPr>
          <w:rFonts w:hint="cs"/>
          <w:rtl/>
        </w:rPr>
        <w:tab/>
        <w:t>אשר על כן, אני גוזר על הנאשם את העונשים הבאים:</w:t>
      </w:r>
    </w:p>
    <w:p w14:paraId="75A291D7" w14:textId="77777777" w:rsidR="00F53463" w:rsidRDefault="00F53463" w:rsidP="00F53463">
      <w:pPr>
        <w:spacing w:line="360" w:lineRule="auto"/>
        <w:ind w:left="720" w:hanging="720"/>
        <w:jc w:val="both"/>
        <w:rPr>
          <w:rtl/>
        </w:rPr>
      </w:pPr>
    </w:p>
    <w:p w14:paraId="78C1D186" w14:textId="77777777" w:rsidR="00F53463" w:rsidRDefault="00F53463" w:rsidP="00F53463">
      <w:pPr>
        <w:spacing w:line="360" w:lineRule="auto"/>
        <w:ind w:left="1440" w:hanging="720"/>
        <w:jc w:val="both"/>
        <w:rPr>
          <w:rtl/>
        </w:rPr>
      </w:pPr>
      <w:r>
        <w:rPr>
          <w:rFonts w:hint="cs"/>
          <w:rtl/>
        </w:rPr>
        <w:t>א.</w:t>
      </w:r>
      <w:r>
        <w:rPr>
          <w:rFonts w:hint="cs"/>
          <w:rtl/>
        </w:rPr>
        <w:tab/>
        <w:t>27 חודשי מאסר בפועל. בנוסף, אני מורה על הפעלת המאסר המותנה בן 18 חודשים שהושת על הנאשם ב</w:t>
      </w:r>
      <w:hyperlink r:id="rId21" w:history="1">
        <w:r w:rsidR="004916CE" w:rsidRPr="004916CE">
          <w:rPr>
            <w:color w:val="0000FF"/>
            <w:u w:val="single"/>
            <w:rtl/>
          </w:rPr>
          <w:t>תיק פלילי 23877-07-15</w:t>
        </w:r>
      </w:hyperlink>
      <w:r>
        <w:rPr>
          <w:rFonts w:hint="cs"/>
          <w:rtl/>
        </w:rPr>
        <w:t xml:space="preserve"> בבית המשפט המחוזי בחיפה, באופן שחציו יופעל בחופף למאסר שהוטל על הנאשם בתיק זה וחציו במצטבר. בסך הכל ירצה הנאשם 36 חודשי מאסר בפועל בניכוי ימי מעצרו מיום 23.8.17 ועד היום. </w:t>
      </w:r>
    </w:p>
    <w:p w14:paraId="3E8FFB97" w14:textId="77777777" w:rsidR="00F53463" w:rsidRDefault="00F53463" w:rsidP="00F53463">
      <w:pPr>
        <w:spacing w:line="360" w:lineRule="auto"/>
        <w:ind w:left="1440" w:hanging="720"/>
        <w:jc w:val="both"/>
        <w:rPr>
          <w:rtl/>
        </w:rPr>
      </w:pPr>
    </w:p>
    <w:p w14:paraId="34B397B6" w14:textId="77777777" w:rsidR="00F53463" w:rsidRDefault="00F53463" w:rsidP="00F53463">
      <w:pPr>
        <w:spacing w:line="360" w:lineRule="auto"/>
        <w:ind w:left="1440" w:hanging="720"/>
        <w:jc w:val="both"/>
        <w:rPr>
          <w:rtl/>
        </w:rPr>
      </w:pPr>
      <w:r>
        <w:rPr>
          <w:rFonts w:hint="cs"/>
          <w:rtl/>
        </w:rPr>
        <w:t>ב.</w:t>
      </w:r>
      <w:r>
        <w:rPr>
          <w:rFonts w:hint="cs"/>
          <w:rtl/>
        </w:rPr>
        <w:tab/>
        <w:t>18 חודשי מאסר על תנאי למשך 3 שנים לבל יעבור הנאשם העבירה בה הורשע בתיק זה או כל עבירה בנשק או עבירת אלימות שהיא פשע ויורשע בגינה.</w:t>
      </w:r>
    </w:p>
    <w:p w14:paraId="68D0025F" w14:textId="77777777" w:rsidR="00F53463" w:rsidRDefault="00F53463" w:rsidP="00F53463">
      <w:pPr>
        <w:spacing w:line="360" w:lineRule="auto"/>
        <w:ind w:left="1440" w:hanging="720"/>
        <w:jc w:val="both"/>
        <w:rPr>
          <w:rtl/>
        </w:rPr>
      </w:pPr>
    </w:p>
    <w:p w14:paraId="0EF7EDE0" w14:textId="77777777" w:rsidR="00F53463" w:rsidRDefault="00F53463" w:rsidP="00F53463">
      <w:pPr>
        <w:spacing w:line="360" w:lineRule="auto"/>
        <w:jc w:val="both"/>
        <w:rPr>
          <w:rtl/>
        </w:rPr>
      </w:pPr>
      <w:r>
        <w:rPr>
          <w:rFonts w:hint="cs"/>
          <w:rtl/>
        </w:rPr>
        <w:t xml:space="preserve">זכות ערעור לבית המשפט העליון תוך 45 יום מהיום. </w:t>
      </w:r>
    </w:p>
    <w:p w14:paraId="586D6B69" w14:textId="77777777" w:rsidR="00F53463" w:rsidRDefault="00F53463" w:rsidP="00F53463">
      <w:pPr>
        <w:spacing w:line="360" w:lineRule="auto"/>
        <w:ind w:left="1440" w:hanging="720"/>
        <w:jc w:val="both"/>
        <w:rPr>
          <w:rtl/>
        </w:rPr>
      </w:pPr>
    </w:p>
    <w:p w14:paraId="78BE8E75" w14:textId="77777777" w:rsidR="00F53463" w:rsidRPr="00B05847" w:rsidRDefault="00F53463" w:rsidP="00F53463">
      <w:pPr>
        <w:rPr>
          <w:rtl/>
        </w:rPr>
      </w:pPr>
    </w:p>
    <w:p w14:paraId="416C0D40" w14:textId="77777777" w:rsidR="00F53463" w:rsidRPr="000D269F" w:rsidRDefault="004916CE" w:rsidP="00F53463">
      <w:pPr>
        <w:rPr>
          <w:rFonts w:cs="FrankRuehl"/>
          <w:sz w:val="28"/>
          <w:szCs w:val="28"/>
          <w:rtl/>
        </w:rPr>
      </w:pPr>
      <w:r w:rsidRPr="004916CE">
        <w:rPr>
          <w:rFonts w:ascii="Arial" w:hAnsi="Arial"/>
          <w:color w:val="FFFFFF"/>
          <w:sz w:val="2"/>
          <w:szCs w:val="2"/>
          <w:rtl/>
        </w:rPr>
        <w:t>5129371</w:t>
      </w:r>
      <w:r>
        <w:rPr>
          <w:rFonts w:ascii="Arial" w:hAnsi="Arial"/>
          <w:rtl/>
        </w:rPr>
        <w:t xml:space="preserve">ניתן היום,  י"ב ניסן תשע"ח, 28 מרץ 2018, בנוכחות הצדדים. </w:t>
      </w:r>
    </w:p>
    <w:p w14:paraId="694515B5" w14:textId="77777777" w:rsidR="00F53463" w:rsidRPr="004916CE" w:rsidRDefault="004916CE" w:rsidP="00F53463">
      <w:pPr>
        <w:jc w:val="center"/>
        <w:rPr>
          <w:color w:val="FFFFFF"/>
          <w:sz w:val="2"/>
          <w:szCs w:val="2"/>
        </w:rPr>
      </w:pPr>
      <w:r w:rsidRPr="004916CE">
        <w:rPr>
          <w:color w:val="FFFFFF"/>
          <w:sz w:val="2"/>
          <w:szCs w:val="2"/>
          <w:rtl/>
        </w:rPr>
        <w:t>54678313</w:t>
      </w:r>
      <w:r w:rsidR="00F53463" w:rsidRPr="004916CE">
        <w:rPr>
          <w:rFonts w:hint="cs"/>
          <w:color w:val="FFFFFF"/>
          <w:sz w:val="2"/>
          <w:szCs w:val="2"/>
          <w:rtl/>
        </w:rPr>
        <w:t xml:space="preserve">   </w:t>
      </w:r>
      <w:r w:rsidR="00F53463" w:rsidRPr="004916CE">
        <w:rPr>
          <w:rFonts w:hint="cs"/>
          <w:color w:val="FFFFFF"/>
          <w:sz w:val="2"/>
          <w:szCs w:val="2"/>
          <w:rtl/>
        </w:rPr>
        <w:tab/>
      </w:r>
      <w:r w:rsidR="00F53463" w:rsidRPr="004916CE">
        <w:rPr>
          <w:rFonts w:hint="cs"/>
          <w:color w:val="FFFFFF"/>
          <w:sz w:val="2"/>
          <w:szCs w:val="2"/>
          <w:rtl/>
        </w:rPr>
        <w:tab/>
      </w:r>
      <w:r w:rsidR="00F53463" w:rsidRPr="004916CE">
        <w:rPr>
          <w:rFonts w:hint="cs"/>
          <w:color w:val="FFFFFF"/>
          <w:sz w:val="2"/>
          <w:szCs w:val="2"/>
          <w:rtl/>
        </w:rPr>
        <w:tab/>
      </w:r>
      <w:r w:rsidR="00F53463" w:rsidRPr="004916CE">
        <w:rPr>
          <w:rFonts w:hint="cs"/>
          <w:color w:val="FFFFFF"/>
          <w:sz w:val="2"/>
          <w:szCs w:val="2"/>
          <w:rtl/>
        </w:rPr>
        <w:tab/>
      </w:r>
      <w:r w:rsidR="00F53463" w:rsidRPr="004916CE">
        <w:rPr>
          <w:rFonts w:hint="cs"/>
          <w:color w:val="FFFFFF"/>
          <w:sz w:val="2"/>
          <w:szCs w:val="2"/>
          <w:rtl/>
        </w:rPr>
        <w:tab/>
      </w:r>
      <w:r w:rsidR="00F53463" w:rsidRPr="004916CE">
        <w:rPr>
          <w:color w:val="FFFFFF"/>
          <w:sz w:val="2"/>
          <w:szCs w:val="2"/>
          <w:rtl/>
        </w:rPr>
        <w:t xml:space="preserve">     </w:t>
      </w:r>
    </w:p>
    <w:p w14:paraId="1A5EA935" w14:textId="77777777" w:rsidR="00F53463" w:rsidRDefault="00F53463" w:rsidP="00F53463">
      <w:pPr>
        <w:jc w:val="center"/>
        <w:rPr>
          <w:rFonts w:ascii="Arial" w:hAnsi="Arial" w:cs="FrankRuehl"/>
          <w:sz w:val="28"/>
          <w:szCs w:val="28"/>
          <w:rtl/>
        </w:rPr>
      </w:pPr>
    </w:p>
    <w:p w14:paraId="3C8E11AC" w14:textId="77777777" w:rsidR="00F53463" w:rsidRDefault="00F53463" w:rsidP="00F53463">
      <w:pPr>
        <w:rPr>
          <w:rFonts w:cs="FrankRuehl"/>
          <w:sz w:val="28"/>
          <w:szCs w:val="28"/>
          <w:rtl/>
        </w:rPr>
      </w:pPr>
    </w:p>
    <w:p w14:paraId="3148CEE6" w14:textId="77777777" w:rsidR="00F53463" w:rsidRDefault="00F53463" w:rsidP="00F53463">
      <w:pPr>
        <w:rPr>
          <w:rFonts w:cs="FrankRuehl"/>
          <w:sz w:val="28"/>
          <w:szCs w:val="28"/>
          <w:rtl/>
        </w:rPr>
      </w:pPr>
    </w:p>
    <w:p w14:paraId="5136181C" w14:textId="77777777" w:rsidR="00F53463" w:rsidRPr="00D16F78" w:rsidRDefault="00D16F78" w:rsidP="00F53463">
      <w:pPr>
        <w:rPr>
          <w:rFonts w:cs="FrankRuehl"/>
          <w:color w:val="FFFFFF"/>
          <w:sz w:val="2"/>
          <w:szCs w:val="2"/>
          <w:rtl/>
        </w:rPr>
      </w:pPr>
      <w:r w:rsidRPr="00D16F78">
        <w:rPr>
          <w:rFonts w:cs="FrankRuehl"/>
          <w:color w:val="FFFFFF"/>
          <w:sz w:val="2"/>
          <w:szCs w:val="2"/>
          <w:rtl/>
        </w:rPr>
        <w:t>5129371</w:t>
      </w:r>
    </w:p>
    <w:p w14:paraId="2347B9BF" w14:textId="77777777" w:rsidR="002D7B2F" w:rsidRPr="00D16F78" w:rsidRDefault="00D16F78" w:rsidP="004916CE">
      <w:pPr>
        <w:keepNext/>
        <w:rPr>
          <w:rFonts w:ascii="David" w:hAnsi="David"/>
          <w:color w:val="FFFFFF"/>
          <w:sz w:val="2"/>
          <w:szCs w:val="2"/>
          <w:rtl/>
        </w:rPr>
      </w:pPr>
      <w:r w:rsidRPr="00D16F78">
        <w:rPr>
          <w:rFonts w:ascii="David" w:hAnsi="David"/>
          <w:color w:val="FFFFFF"/>
          <w:sz w:val="2"/>
          <w:szCs w:val="2"/>
          <w:rtl/>
        </w:rPr>
        <w:t>54678313</w:t>
      </w:r>
    </w:p>
    <w:p w14:paraId="11ADAA7C" w14:textId="77777777" w:rsidR="004916CE" w:rsidRPr="004916CE" w:rsidRDefault="004916CE" w:rsidP="004916CE">
      <w:pPr>
        <w:keepNext/>
        <w:rPr>
          <w:rFonts w:ascii="David" w:hAnsi="David"/>
          <w:color w:val="000000"/>
          <w:sz w:val="22"/>
          <w:szCs w:val="22"/>
          <w:rtl/>
        </w:rPr>
      </w:pPr>
      <w:r w:rsidRPr="004916CE">
        <w:rPr>
          <w:rFonts w:ascii="David" w:hAnsi="David"/>
          <w:color w:val="000000"/>
          <w:sz w:val="22"/>
          <w:szCs w:val="22"/>
          <w:rtl/>
        </w:rPr>
        <w:t>אמיר טובי 54678313</w:t>
      </w:r>
    </w:p>
    <w:p w14:paraId="4E71FF35" w14:textId="77777777" w:rsidR="004916CE" w:rsidRDefault="004916CE" w:rsidP="004916CE">
      <w:r w:rsidRPr="004916CE">
        <w:rPr>
          <w:color w:val="000000"/>
          <w:rtl/>
        </w:rPr>
        <w:t>נוסח מסמך זה כפוף לשינויי ניסוח ועריכה</w:t>
      </w:r>
    </w:p>
    <w:p w14:paraId="06587BE2" w14:textId="77777777" w:rsidR="004916CE" w:rsidRDefault="004916CE" w:rsidP="004916CE">
      <w:pPr>
        <w:rPr>
          <w:rtl/>
        </w:rPr>
      </w:pPr>
    </w:p>
    <w:p w14:paraId="0B954899" w14:textId="77777777" w:rsidR="004916CE" w:rsidRDefault="004916CE" w:rsidP="004916CE">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790ED199" w14:textId="77777777" w:rsidR="00D16F78" w:rsidRPr="00D16F78" w:rsidRDefault="00D16F78" w:rsidP="00D16F78">
      <w:pPr>
        <w:keepNext/>
        <w:rPr>
          <w:rFonts w:ascii="David" w:hAnsi="David"/>
          <w:color w:val="000000"/>
          <w:sz w:val="22"/>
          <w:szCs w:val="22"/>
          <w:rtl/>
        </w:rPr>
      </w:pPr>
    </w:p>
    <w:p w14:paraId="488BC761" w14:textId="77777777" w:rsidR="004916CE" w:rsidRPr="004916CE" w:rsidRDefault="004916CE" w:rsidP="00D16F78">
      <w:pPr>
        <w:rPr>
          <w:color w:val="0000FF"/>
          <w:u w:val="single"/>
        </w:rPr>
      </w:pPr>
    </w:p>
    <w:sectPr w:rsidR="004916CE" w:rsidRPr="004916CE" w:rsidSect="00D16F78">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D4DDF" w14:textId="77777777" w:rsidR="006D1A13" w:rsidRDefault="006D1A13" w:rsidP="00CF14C7">
      <w:r>
        <w:separator/>
      </w:r>
    </w:p>
  </w:endnote>
  <w:endnote w:type="continuationSeparator" w:id="0">
    <w:p w14:paraId="51354369" w14:textId="77777777" w:rsidR="006D1A13" w:rsidRDefault="006D1A13" w:rsidP="00CF1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A5BD4" w14:textId="77777777" w:rsidR="00D16F78" w:rsidRDefault="00D16F78" w:rsidP="00D16F7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6541A8AF" w14:textId="77777777" w:rsidR="007F6842" w:rsidRPr="00D16F78" w:rsidRDefault="00D16F78" w:rsidP="00D16F78">
    <w:pPr>
      <w:pStyle w:val="a5"/>
      <w:pBdr>
        <w:top w:val="single" w:sz="4" w:space="1" w:color="auto"/>
        <w:between w:val="single" w:sz="4" w:space="0" w:color="auto"/>
      </w:pBdr>
      <w:spacing w:after="60"/>
      <w:jc w:val="center"/>
      <w:rPr>
        <w:rFonts w:ascii="FrankRuehl" w:hAnsi="FrankRuehl" w:cs="FrankRuehl"/>
        <w:color w:val="000000"/>
      </w:rPr>
    </w:pPr>
    <w:r w:rsidRPr="00D16F7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B325F" w14:textId="77777777" w:rsidR="00D16F78" w:rsidRDefault="00D16F78" w:rsidP="00D16F7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A22EA">
      <w:rPr>
        <w:rFonts w:ascii="FrankRuehl" w:hAnsi="FrankRuehl" w:cs="FrankRuehl"/>
        <w:noProof/>
        <w:rtl/>
      </w:rPr>
      <w:t>1</w:t>
    </w:r>
    <w:r>
      <w:rPr>
        <w:rFonts w:ascii="FrankRuehl" w:hAnsi="FrankRuehl" w:cs="FrankRuehl"/>
        <w:rtl/>
      </w:rPr>
      <w:fldChar w:fldCharType="end"/>
    </w:r>
  </w:p>
  <w:p w14:paraId="4C381AE3" w14:textId="77777777" w:rsidR="007F6842" w:rsidRPr="00D16F78" w:rsidRDefault="00D16F78" w:rsidP="00D16F78">
    <w:pPr>
      <w:pStyle w:val="a5"/>
      <w:pBdr>
        <w:top w:val="single" w:sz="4" w:space="1" w:color="auto"/>
        <w:between w:val="single" w:sz="4" w:space="0" w:color="auto"/>
      </w:pBdr>
      <w:spacing w:after="60"/>
      <w:jc w:val="center"/>
      <w:rPr>
        <w:rFonts w:ascii="FrankRuehl" w:hAnsi="FrankRuehl" w:cs="FrankRuehl"/>
        <w:color w:val="000000"/>
      </w:rPr>
    </w:pPr>
    <w:r w:rsidRPr="00D16F78">
      <w:rPr>
        <w:rFonts w:ascii="FrankRuehl" w:hAnsi="FrankRuehl" w:cs="FrankRuehl"/>
        <w:color w:val="000000"/>
      </w:rPr>
      <w:pict w14:anchorId="16AE27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39803" w14:textId="77777777" w:rsidR="006D1A13" w:rsidRDefault="006D1A13" w:rsidP="00CF14C7">
      <w:r>
        <w:separator/>
      </w:r>
    </w:p>
  </w:footnote>
  <w:footnote w:type="continuationSeparator" w:id="0">
    <w:p w14:paraId="006EE73B" w14:textId="77777777" w:rsidR="006D1A13" w:rsidRDefault="006D1A13" w:rsidP="00CF14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DB4B6" w14:textId="77777777" w:rsidR="004916CE" w:rsidRPr="00D16F78" w:rsidRDefault="00D16F78" w:rsidP="00D16F7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34413-09-17</w:t>
    </w:r>
    <w:r>
      <w:rPr>
        <w:rFonts w:ascii="David" w:hAnsi="David"/>
        <w:color w:val="000000"/>
        <w:sz w:val="22"/>
        <w:szCs w:val="22"/>
        <w:rtl/>
      </w:rPr>
      <w:tab/>
      <w:t xml:space="preserve"> מדינת ישראל נ' אליושה בן שלום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470C" w14:textId="77777777" w:rsidR="004916CE" w:rsidRPr="00D16F78" w:rsidRDefault="00D16F78" w:rsidP="00D16F7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34413-09-17</w:t>
    </w:r>
    <w:r>
      <w:rPr>
        <w:rFonts w:ascii="David" w:hAnsi="David"/>
        <w:color w:val="000000"/>
        <w:sz w:val="22"/>
        <w:szCs w:val="22"/>
        <w:rtl/>
      </w:rPr>
      <w:tab/>
      <w:t xml:space="preserve"> מדינת ישראל נ' אליושה בן שלום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53463"/>
    <w:rsid w:val="002D7B2F"/>
    <w:rsid w:val="004916CE"/>
    <w:rsid w:val="006D1A13"/>
    <w:rsid w:val="007F6842"/>
    <w:rsid w:val="00BA16A0"/>
    <w:rsid w:val="00CE19B4"/>
    <w:rsid w:val="00CF14C7"/>
    <w:rsid w:val="00D1363D"/>
    <w:rsid w:val="00D16F78"/>
    <w:rsid w:val="00DA22EA"/>
    <w:rsid w:val="00F534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C22F31A"/>
  <w15:chartTrackingRefBased/>
  <w15:docId w15:val="{ABAD457A-BE2A-4D94-B287-A2EC046D4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5346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53463"/>
    <w:pPr>
      <w:tabs>
        <w:tab w:val="center" w:pos="4153"/>
        <w:tab w:val="right" w:pos="8306"/>
      </w:tabs>
    </w:pPr>
  </w:style>
  <w:style w:type="character" w:customStyle="1" w:styleId="a4">
    <w:name w:val="כותרת עליונה תו"/>
    <w:link w:val="a3"/>
    <w:rsid w:val="00F53463"/>
    <w:rPr>
      <w:rFonts w:ascii="Times New Roman" w:eastAsia="Times New Roman" w:hAnsi="Times New Roman" w:cs="David"/>
      <w:sz w:val="24"/>
      <w:szCs w:val="24"/>
    </w:rPr>
  </w:style>
  <w:style w:type="paragraph" w:styleId="a5">
    <w:name w:val="footer"/>
    <w:basedOn w:val="a"/>
    <w:link w:val="a6"/>
    <w:rsid w:val="00F53463"/>
    <w:pPr>
      <w:tabs>
        <w:tab w:val="center" w:pos="4153"/>
        <w:tab w:val="right" w:pos="8306"/>
      </w:tabs>
    </w:pPr>
  </w:style>
  <w:style w:type="character" w:customStyle="1" w:styleId="a6">
    <w:name w:val="כותרת תחתונה תו"/>
    <w:link w:val="a5"/>
    <w:rsid w:val="00F53463"/>
    <w:rPr>
      <w:rFonts w:ascii="Times New Roman" w:eastAsia="Times New Roman" w:hAnsi="Times New Roman" w:cs="David"/>
      <w:sz w:val="24"/>
      <w:szCs w:val="24"/>
    </w:rPr>
  </w:style>
  <w:style w:type="table" w:styleId="a7">
    <w:name w:val="Table Grid"/>
    <w:basedOn w:val="a1"/>
    <w:rsid w:val="00F5346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53463"/>
  </w:style>
  <w:style w:type="paragraph" w:customStyle="1" w:styleId="12">
    <w:name w:val="רגיל + ‏12 נק'"/>
    <w:aliases w:val="מיושר לשני הצדדים,מרווח בין שורות:  שורה וחצי"/>
    <w:basedOn w:val="a"/>
    <w:rsid w:val="00F53463"/>
    <w:rPr>
      <w:b/>
      <w:bCs/>
      <w:u w:val="single"/>
    </w:rPr>
  </w:style>
  <w:style w:type="character" w:customStyle="1" w:styleId="TimesNewRomanTimesNewRoman">
    <w:name w:val="סגנון (לטיני) Times New Roman (עברית ושפות אחרות) Times New Roman..."/>
    <w:rsid w:val="00F53463"/>
    <w:rPr>
      <w:rFonts w:ascii="Times New Roman" w:hAnsi="Times New Roman" w:cs="David" w:hint="default"/>
      <w:b/>
      <w:bCs/>
      <w:sz w:val="26"/>
      <w:szCs w:val="26"/>
    </w:rPr>
  </w:style>
  <w:style w:type="paragraph" w:styleId="a9">
    <w:name w:val="Quote"/>
    <w:basedOn w:val="a"/>
    <w:next w:val="a"/>
    <w:link w:val="aa"/>
    <w:qFormat/>
    <w:rsid w:val="00F53463"/>
    <w:pPr>
      <w:spacing w:line="360" w:lineRule="auto"/>
      <w:ind w:left="1418" w:right="1418"/>
      <w:jc w:val="both"/>
    </w:pPr>
    <w:rPr>
      <w:i/>
    </w:rPr>
  </w:style>
  <w:style w:type="character" w:customStyle="1" w:styleId="aa">
    <w:name w:val="ציטוט תו"/>
    <w:link w:val="a9"/>
    <w:rsid w:val="00F53463"/>
    <w:rPr>
      <w:rFonts w:ascii="Times New Roman" w:eastAsia="Times New Roman" w:hAnsi="Times New Roman" w:cs="David"/>
      <w:i/>
      <w:sz w:val="24"/>
      <w:szCs w:val="24"/>
    </w:rPr>
  </w:style>
  <w:style w:type="character" w:styleId="ab">
    <w:name w:val="line number"/>
    <w:rsid w:val="004916CE"/>
  </w:style>
  <w:style w:type="character" w:styleId="Hyperlink">
    <w:name w:val="Hyperlink"/>
    <w:rsid w:val="004916CE"/>
    <w:rPr>
      <w:color w:val="0563C1"/>
      <w:u w:val="single"/>
    </w:rPr>
  </w:style>
  <w:style w:type="character" w:styleId="ac">
    <w:name w:val="Unresolved Mention"/>
    <w:rsid w:val="004916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 TargetMode="External"/><Relationship Id="rId13" Type="http://schemas.openxmlformats.org/officeDocument/2006/relationships/hyperlink" Target="http://www.nevo.co.il/law/70301/29" TargetMode="External"/><Relationship Id="rId18" Type="http://schemas.openxmlformats.org/officeDocument/2006/relationships/hyperlink" Target="http://www.nevo.co.il/case/21946424"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case/20434741" TargetMode="External"/><Relationship Id="rId7" Type="http://schemas.openxmlformats.org/officeDocument/2006/relationships/hyperlink" Target="http://www.nevo.co.il/law/70301/29" TargetMode="External"/><Relationship Id="rId12" Type="http://schemas.openxmlformats.org/officeDocument/2006/relationships/hyperlink" Target="http://www.nevo.co.il/law/70301/144.c.3" TargetMode="External"/><Relationship Id="rId17" Type="http://schemas.openxmlformats.org/officeDocument/2006/relationships/hyperlink" Target="http://www.nevo.co.il/case/5569233"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case/161892"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b"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0301/499.a.1"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499.a.1" TargetMode="External"/><Relationship Id="rId19" Type="http://schemas.openxmlformats.org/officeDocument/2006/relationships/hyperlink" Target="http://www.nevo.co.il/case/21474520" TargetMode="External"/><Relationship Id="rId4" Type="http://schemas.openxmlformats.org/officeDocument/2006/relationships/footnotes" Target="footnotes.xml"/><Relationship Id="rId9" Type="http://schemas.openxmlformats.org/officeDocument/2006/relationships/hyperlink" Target="http://www.nevo.co.il/law/70301/144.c.3" TargetMode="External"/><Relationship Id="rId14" Type="http://schemas.openxmlformats.org/officeDocument/2006/relationships/hyperlink" Target="http://www.nevo.co.il/law/70301"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1597</Words>
  <Characters>7990</Characters>
  <Application>Microsoft Office Word</Application>
  <DocSecurity>0</DocSecurity>
  <Lines>66</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9568</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3539056</vt:i4>
      </vt:variant>
      <vt:variant>
        <vt:i4>45</vt:i4>
      </vt:variant>
      <vt:variant>
        <vt:i4>0</vt:i4>
      </vt:variant>
      <vt:variant>
        <vt:i4>5</vt:i4>
      </vt:variant>
      <vt:variant>
        <vt:lpwstr>http://www.nevo.co.il/case/20434741</vt:lpwstr>
      </vt:variant>
      <vt:variant>
        <vt:lpwstr/>
      </vt:variant>
      <vt:variant>
        <vt:i4>589898</vt:i4>
      </vt:variant>
      <vt:variant>
        <vt:i4>42</vt:i4>
      </vt:variant>
      <vt:variant>
        <vt:i4>0</vt:i4>
      </vt:variant>
      <vt:variant>
        <vt:i4>5</vt:i4>
      </vt:variant>
      <vt:variant>
        <vt:lpwstr>http://www.nevo.co.il/case/161892</vt:lpwstr>
      </vt:variant>
      <vt:variant>
        <vt:lpwstr/>
      </vt:variant>
      <vt:variant>
        <vt:i4>3145847</vt:i4>
      </vt:variant>
      <vt:variant>
        <vt:i4>39</vt:i4>
      </vt:variant>
      <vt:variant>
        <vt:i4>0</vt:i4>
      </vt:variant>
      <vt:variant>
        <vt:i4>5</vt:i4>
      </vt:variant>
      <vt:variant>
        <vt:lpwstr>http://www.nevo.co.il/case/21474520</vt:lpwstr>
      </vt:variant>
      <vt:variant>
        <vt:lpwstr/>
      </vt:variant>
      <vt:variant>
        <vt:i4>4128885</vt:i4>
      </vt:variant>
      <vt:variant>
        <vt:i4>36</vt:i4>
      </vt:variant>
      <vt:variant>
        <vt:i4>0</vt:i4>
      </vt:variant>
      <vt:variant>
        <vt:i4>5</vt:i4>
      </vt:variant>
      <vt:variant>
        <vt:lpwstr>http://www.nevo.co.il/case/21946424</vt:lpwstr>
      </vt:variant>
      <vt:variant>
        <vt:lpwstr/>
      </vt:variant>
      <vt:variant>
        <vt:i4>3276923</vt:i4>
      </vt:variant>
      <vt:variant>
        <vt:i4>33</vt:i4>
      </vt:variant>
      <vt:variant>
        <vt:i4>0</vt:i4>
      </vt:variant>
      <vt:variant>
        <vt:i4>5</vt:i4>
      </vt:variant>
      <vt:variant>
        <vt:lpwstr>http://www.nevo.co.il/case/5569233</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7077945</vt:i4>
      </vt:variant>
      <vt:variant>
        <vt:i4>27</vt:i4>
      </vt:variant>
      <vt:variant>
        <vt:i4>0</vt:i4>
      </vt:variant>
      <vt:variant>
        <vt:i4>5</vt:i4>
      </vt:variant>
      <vt:variant>
        <vt:lpwstr>http://www.nevo.co.il/law/70301/499.a.1</vt:lpwstr>
      </vt:variant>
      <vt:variant>
        <vt:lpwstr/>
      </vt:variant>
      <vt:variant>
        <vt:i4>7995492</vt:i4>
      </vt:variant>
      <vt:variant>
        <vt:i4>24</vt:i4>
      </vt:variant>
      <vt:variant>
        <vt:i4>0</vt:i4>
      </vt:variant>
      <vt:variant>
        <vt:i4>5</vt:i4>
      </vt:variant>
      <vt:variant>
        <vt:lpwstr>http://www.nevo.co.il/law/70301</vt:lpwstr>
      </vt:variant>
      <vt:variant>
        <vt:lpwstr/>
      </vt:variant>
      <vt:variant>
        <vt:i4>7077991</vt:i4>
      </vt:variant>
      <vt:variant>
        <vt:i4>21</vt:i4>
      </vt:variant>
      <vt:variant>
        <vt:i4>0</vt:i4>
      </vt:variant>
      <vt:variant>
        <vt:i4>5</vt:i4>
      </vt:variant>
      <vt:variant>
        <vt:lpwstr>http://www.nevo.co.il/law/70301/29</vt:lpwstr>
      </vt:variant>
      <vt:variant>
        <vt:lpwstr/>
      </vt:variant>
      <vt:variant>
        <vt:i4>6357043</vt:i4>
      </vt:variant>
      <vt:variant>
        <vt:i4>18</vt:i4>
      </vt:variant>
      <vt:variant>
        <vt:i4>0</vt:i4>
      </vt:variant>
      <vt:variant>
        <vt:i4>5</vt:i4>
      </vt:variant>
      <vt:variant>
        <vt:lpwstr>http://www.nevo.co.il/law/70301/144.c.3</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7077945</vt:i4>
      </vt:variant>
      <vt:variant>
        <vt:i4>12</vt:i4>
      </vt:variant>
      <vt:variant>
        <vt:i4>0</vt:i4>
      </vt:variant>
      <vt:variant>
        <vt:i4>5</vt:i4>
      </vt:variant>
      <vt:variant>
        <vt:lpwstr>http://www.nevo.co.il/law/70301/499.a.1</vt:lpwstr>
      </vt:variant>
      <vt:variant>
        <vt:lpwstr/>
      </vt:variant>
      <vt:variant>
        <vt:i4>6357043</vt:i4>
      </vt:variant>
      <vt:variant>
        <vt:i4>9</vt:i4>
      </vt:variant>
      <vt:variant>
        <vt:i4>0</vt:i4>
      </vt:variant>
      <vt:variant>
        <vt:i4>5</vt:i4>
      </vt:variant>
      <vt:variant>
        <vt:lpwstr>http://www.nevo.co.il/law/70301/144.c.3</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2023-12-07T11:45:00Z</dcterms:created>
  <dcterms:modified xsi:type="dcterms:W3CDTF">2023-12-07T11:45:00Z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34413</vt:lpwstr>
  </property>
  <property fmtid="{D5CDD505-2E9C-101B-9397-08002B2CF9AE}" pid="6" name="NEWPARTB">
    <vt:lpwstr>09</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אליושה בן שלום  </vt:lpwstr>
  </property>
  <property fmtid="{D5CDD505-2E9C-101B-9397-08002B2CF9AE}" pid="10" name="LAWYER">
    <vt:lpwstr>נועה בורג;יוני דדון;יהלי שפרלינג</vt:lpwstr>
  </property>
  <property fmtid="{D5CDD505-2E9C-101B-9397-08002B2CF9AE}" pid="11" name="JUDGE">
    <vt:lpwstr>אמיר טובי</vt:lpwstr>
  </property>
  <property fmtid="{D5CDD505-2E9C-101B-9397-08002B2CF9AE}" pid="12" name="CITY">
    <vt:lpwstr>חי'</vt:lpwstr>
  </property>
  <property fmtid="{D5CDD505-2E9C-101B-9397-08002B2CF9AE}" pid="13" name="DATE">
    <vt:lpwstr>20180328</vt:lpwstr>
  </property>
  <property fmtid="{D5CDD505-2E9C-101B-9397-08002B2CF9AE}" pid="14" name="TYPE_N_DATE">
    <vt:lpwstr>39020180328</vt:lpwstr>
  </property>
  <property fmtid="{D5CDD505-2E9C-101B-9397-08002B2CF9AE}" pid="15" name="CASESLISTTMP1">
    <vt:lpwstr>5569233;21946424;21474520;161892;20434741</vt:lpwstr>
  </property>
  <property fmtid="{D5CDD505-2E9C-101B-9397-08002B2CF9AE}" pid="16" name="WORDNUMPAGES">
    <vt:lpwstr>6</vt:lpwstr>
  </property>
  <property fmtid="{D5CDD505-2E9C-101B-9397-08002B2CF9AE}" pid="17" name="TYPE_ABS_DATE">
    <vt:lpwstr>390020180328</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70301/144.b;144.c.3;029;499.a.1</vt:lpwstr>
  </property>
</Properties>
</file>