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E1AC3" w:rsidRPr="00357D0D" w14:paraId="4FE61FE3" w14:textId="77777777" w:rsidTr="00A73825">
        <w:trPr>
          <w:trHeight w:hRule="exact" w:val="418"/>
          <w:jc w:val="center"/>
        </w:trPr>
        <w:tc>
          <w:tcPr>
            <w:tcW w:w="8721" w:type="dxa"/>
            <w:gridSpan w:val="2"/>
          </w:tcPr>
          <w:p w14:paraId="208CAD6E" w14:textId="77777777" w:rsidR="005E1AC3" w:rsidRPr="00357D0D" w:rsidRDefault="005E1AC3" w:rsidP="00E54AC2">
            <w:pPr>
              <w:pStyle w:val="a3"/>
              <w:jc w:val="center"/>
              <w:rPr>
                <w:rFonts w:ascii="Tahoma" w:hAnsi="Tahoma" w:cs="Tahoma"/>
                <w:color w:val="000080"/>
                <w:rtl/>
              </w:rPr>
            </w:pPr>
            <w:bookmarkStart w:id="0" w:name="LastJudge"/>
            <w:r w:rsidRPr="00357D0D">
              <w:rPr>
                <w:rFonts w:ascii="Tahoma" w:hAnsi="Tahoma" w:cs="Tahoma"/>
                <w:b/>
                <w:bCs/>
                <w:color w:val="000080"/>
                <w:rtl/>
              </w:rPr>
              <w:t>בית המשפט המחוזי בחיפה</w:t>
            </w:r>
          </w:p>
        </w:tc>
      </w:tr>
      <w:tr w:rsidR="005E1AC3" w:rsidRPr="00357D0D" w14:paraId="492D94A1" w14:textId="77777777" w:rsidTr="00A73825">
        <w:trPr>
          <w:trHeight w:val="337"/>
          <w:jc w:val="center"/>
        </w:trPr>
        <w:tc>
          <w:tcPr>
            <w:tcW w:w="5059" w:type="dxa"/>
          </w:tcPr>
          <w:p w14:paraId="4A6239E1" w14:textId="77777777" w:rsidR="005E1AC3" w:rsidRPr="00357D0D" w:rsidRDefault="005E1AC3" w:rsidP="00E54AC2">
            <w:pPr>
              <w:rPr>
                <w:rFonts w:cs="FrankRuehl"/>
                <w:sz w:val="28"/>
                <w:szCs w:val="28"/>
                <w:rtl/>
              </w:rPr>
            </w:pPr>
            <w:r w:rsidRPr="00357D0D">
              <w:rPr>
                <w:rFonts w:cs="FrankRuehl"/>
                <w:sz w:val="28"/>
                <w:szCs w:val="28"/>
                <w:rtl/>
              </w:rPr>
              <w:t>ת"פ</w:t>
            </w:r>
            <w:r w:rsidRPr="00357D0D">
              <w:rPr>
                <w:rFonts w:cs="FrankRuehl" w:hint="cs"/>
                <w:sz w:val="28"/>
                <w:szCs w:val="28"/>
                <w:rtl/>
              </w:rPr>
              <w:t xml:space="preserve"> </w:t>
            </w:r>
            <w:r w:rsidRPr="00357D0D">
              <w:rPr>
                <w:rFonts w:cs="FrankRuehl"/>
                <w:sz w:val="28"/>
                <w:szCs w:val="28"/>
                <w:rtl/>
              </w:rPr>
              <w:t>42697-05-18</w:t>
            </w:r>
            <w:r w:rsidRPr="00357D0D">
              <w:rPr>
                <w:rFonts w:cs="FrankRuehl" w:hint="cs"/>
                <w:sz w:val="28"/>
                <w:szCs w:val="28"/>
                <w:rtl/>
              </w:rPr>
              <w:t xml:space="preserve"> </w:t>
            </w:r>
            <w:r w:rsidRPr="00357D0D">
              <w:rPr>
                <w:rFonts w:cs="FrankRuehl"/>
                <w:sz w:val="28"/>
                <w:szCs w:val="28"/>
                <w:rtl/>
              </w:rPr>
              <w:t>מדינת ישראל נ' בוקאעי(עציר)</w:t>
            </w:r>
          </w:p>
          <w:p w14:paraId="35535497" w14:textId="77777777" w:rsidR="005E1AC3" w:rsidRPr="00357D0D" w:rsidRDefault="005E1AC3" w:rsidP="00E54AC2">
            <w:pPr>
              <w:pStyle w:val="a3"/>
              <w:rPr>
                <w:rFonts w:cs="FrankRuehl"/>
                <w:sz w:val="28"/>
                <w:szCs w:val="28"/>
                <w:rtl/>
              </w:rPr>
            </w:pPr>
          </w:p>
        </w:tc>
        <w:tc>
          <w:tcPr>
            <w:tcW w:w="3662" w:type="dxa"/>
          </w:tcPr>
          <w:p w14:paraId="58E0F541" w14:textId="77777777" w:rsidR="005E1AC3" w:rsidRPr="00357D0D" w:rsidRDefault="005E1AC3" w:rsidP="00E54AC2">
            <w:pPr>
              <w:pStyle w:val="a3"/>
              <w:jc w:val="right"/>
              <w:rPr>
                <w:rFonts w:cs="FrankRuehl"/>
                <w:sz w:val="28"/>
                <w:szCs w:val="28"/>
                <w:rtl/>
              </w:rPr>
            </w:pPr>
          </w:p>
        </w:tc>
      </w:tr>
    </w:tbl>
    <w:p w14:paraId="74ABD268" w14:textId="77777777" w:rsidR="005E1AC3" w:rsidRPr="00357D0D" w:rsidRDefault="005E1AC3" w:rsidP="005E1AC3">
      <w:pPr>
        <w:pStyle w:val="a3"/>
        <w:rPr>
          <w:rtl/>
        </w:rPr>
      </w:pPr>
      <w:r w:rsidRPr="00357D0D">
        <w:rPr>
          <w:rFonts w:hint="cs"/>
          <w:rtl/>
        </w:rPr>
        <w:t xml:space="preserve"> </w:t>
      </w:r>
    </w:p>
    <w:p w14:paraId="7EB3CB86" w14:textId="77777777" w:rsidR="005E1AC3" w:rsidRPr="00357D0D" w:rsidRDefault="005E1AC3" w:rsidP="005E1AC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54AC2" w:rsidRPr="00357D0D" w14:paraId="0D5F4967" w14:textId="77777777" w:rsidTr="005E1AC3">
        <w:trPr>
          <w:gridAfter w:val="1"/>
          <w:wAfter w:w="56" w:type="dxa"/>
        </w:trPr>
        <w:tc>
          <w:tcPr>
            <w:tcW w:w="8718" w:type="dxa"/>
            <w:gridSpan w:val="2"/>
            <w:shd w:val="clear" w:color="auto" w:fill="auto"/>
          </w:tcPr>
          <w:p w14:paraId="5293DBAC" w14:textId="77777777" w:rsidR="005E1AC3" w:rsidRPr="00357D0D" w:rsidRDefault="005E1AC3" w:rsidP="00E54AC2">
            <w:pPr>
              <w:rPr>
                <w:b/>
                <w:bCs/>
                <w:sz w:val="26"/>
                <w:szCs w:val="26"/>
                <w:rtl/>
              </w:rPr>
            </w:pPr>
            <w:r w:rsidRPr="00357D0D">
              <w:rPr>
                <w:rFonts w:hint="cs"/>
                <w:b/>
                <w:bCs/>
                <w:sz w:val="26"/>
                <w:szCs w:val="26"/>
                <w:rtl/>
              </w:rPr>
              <w:t>לפני כבוד השופט אמיר טובי</w:t>
            </w:r>
            <w:r w:rsidRPr="00357D0D">
              <w:rPr>
                <w:rStyle w:val="TimesNewRomanTimesNewRoman"/>
                <w:rFonts w:hint="cs"/>
                <w:rtl/>
              </w:rPr>
              <w:t xml:space="preserve"> </w:t>
            </w:r>
          </w:p>
        </w:tc>
      </w:tr>
      <w:tr w:rsidR="00E54AC2" w:rsidRPr="00357D0D" w14:paraId="5AE64D1A" w14:textId="77777777" w:rsidTr="005E1AC3">
        <w:trPr>
          <w:cantSplit/>
          <w:trHeight w:val="724"/>
        </w:trPr>
        <w:tc>
          <w:tcPr>
            <w:tcW w:w="2880" w:type="dxa"/>
            <w:shd w:val="clear" w:color="auto" w:fill="auto"/>
          </w:tcPr>
          <w:p w14:paraId="1B8FA7D2" w14:textId="77777777" w:rsidR="005E1AC3" w:rsidRPr="00357D0D" w:rsidRDefault="005E1AC3" w:rsidP="005E1AC3">
            <w:pPr>
              <w:ind w:left="26"/>
              <w:rPr>
                <w:b/>
                <w:bCs/>
                <w:sz w:val="26"/>
                <w:szCs w:val="26"/>
                <w:rtl/>
              </w:rPr>
            </w:pPr>
            <w:bookmarkStart w:id="1" w:name="FirstAppellant"/>
          </w:p>
          <w:p w14:paraId="7125EDFD" w14:textId="77777777" w:rsidR="005E1AC3" w:rsidRPr="00357D0D" w:rsidRDefault="005E1AC3" w:rsidP="005E1AC3">
            <w:pPr>
              <w:ind w:left="26"/>
              <w:rPr>
                <w:b/>
                <w:bCs/>
                <w:sz w:val="26"/>
                <w:szCs w:val="26"/>
                <w:rtl/>
              </w:rPr>
            </w:pPr>
            <w:r w:rsidRPr="00357D0D">
              <w:rPr>
                <w:rFonts w:hint="cs"/>
                <w:b/>
                <w:bCs/>
                <w:sz w:val="26"/>
                <w:szCs w:val="26"/>
                <w:rtl/>
              </w:rPr>
              <w:t>המאשימה</w:t>
            </w:r>
          </w:p>
        </w:tc>
        <w:tc>
          <w:tcPr>
            <w:tcW w:w="5922" w:type="dxa"/>
            <w:gridSpan w:val="2"/>
            <w:shd w:val="clear" w:color="auto" w:fill="auto"/>
          </w:tcPr>
          <w:p w14:paraId="572806C8" w14:textId="77777777" w:rsidR="005E1AC3" w:rsidRPr="00357D0D" w:rsidRDefault="005E1AC3" w:rsidP="00E54AC2">
            <w:pPr>
              <w:rPr>
                <w:rtl/>
              </w:rPr>
            </w:pPr>
          </w:p>
          <w:p w14:paraId="35991ADF" w14:textId="77777777" w:rsidR="005E1AC3" w:rsidRPr="00357D0D" w:rsidRDefault="005E1AC3" w:rsidP="00E54AC2">
            <w:pPr>
              <w:rPr>
                <w:b/>
                <w:bCs/>
                <w:sz w:val="26"/>
                <w:szCs w:val="26"/>
                <w:rtl/>
              </w:rPr>
            </w:pPr>
            <w:r w:rsidRPr="00357D0D">
              <w:rPr>
                <w:rtl/>
              </w:rPr>
              <w:t xml:space="preserve"> </w:t>
            </w:r>
            <w:r w:rsidRPr="00357D0D">
              <w:rPr>
                <w:rFonts w:hint="cs"/>
                <w:b/>
                <w:bCs/>
                <w:sz w:val="26"/>
                <w:szCs w:val="26"/>
                <w:rtl/>
              </w:rPr>
              <w:t>מדינת ישראל</w:t>
            </w:r>
          </w:p>
          <w:p w14:paraId="4DA8AC49" w14:textId="77777777" w:rsidR="005E1AC3" w:rsidRPr="00357D0D" w:rsidRDefault="005E1AC3" w:rsidP="00E54AC2">
            <w:pPr>
              <w:rPr>
                <w:b/>
                <w:bCs/>
                <w:sz w:val="26"/>
                <w:szCs w:val="26"/>
                <w:rtl/>
              </w:rPr>
            </w:pPr>
          </w:p>
        </w:tc>
      </w:tr>
      <w:bookmarkEnd w:id="1"/>
      <w:tr w:rsidR="00E54AC2" w:rsidRPr="00357D0D" w14:paraId="6AAE7B04" w14:textId="77777777" w:rsidTr="005E1AC3">
        <w:tc>
          <w:tcPr>
            <w:tcW w:w="8802" w:type="dxa"/>
            <w:gridSpan w:val="3"/>
            <w:shd w:val="clear" w:color="auto" w:fill="auto"/>
            <w:vAlign w:val="center"/>
          </w:tcPr>
          <w:p w14:paraId="5028BD74" w14:textId="77777777" w:rsidR="005E1AC3" w:rsidRPr="00357D0D" w:rsidRDefault="005E1AC3" w:rsidP="005E1AC3">
            <w:pPr>
              <w:jc w:val="center"/>
              <w:rPr>
                <w:rFonts w:ascii="Arial" w:hAnsi="Arial"/>
                <w:b/>
                <w:bCs/>
                <w:sz w:val="26"/>
                <w:szCs w:val="26"/>
                <w:rtl/>
              </w:rPr>
            </w:pPr>
          </w:p>
          <w:p w14:paraId="45F8F145" w14:textId="77777777" w:rsidR="005E1AC3" w:rsidRPr="00357D0D" w:rsidRDefault="005E1AC3" w:rsidP="005E1AC3">
            <w:pPr>
              <w:jc w:val="center"/>
              <w:rPr>
                <w:rFonts w:ascii="Arial" w:hAnsi="Arial"/>
                <w:b/>
                <w:bCs/>
                <w:sz w:val="26"/>
                <w:szCs w:val="26"/>
                <w:rtl/>
              </w:rPr>
            </w:pPr>
            <w:r w:rsidRPr="00357D0D">
              <w:rPr>
                <w:rFonts w:ascii="Arial" w:hAnsi="Arial" w:hint="cs"/>
                <w:b/>
                <w:bCs/>
                <w:sz w:val="26"/>
                <w:szCs w:val="26"/>
                <w:rtl/>
              </w:rPr>
              <w:t>נגד</w:t>
            </w:r>
          </w:p>
          <w:p w14:paraId="7A4CADA5" w14:textId="77777777" w:rsidR="005E1AC3" w:rsidRPr="00357D0D" w:rsidRDefault="005E1AC3" w:rsidP="00E54AC2">
            <w:pPr>
              <w:rPr>
                <w:rFonts w:ascii="Arial" w:hAnsi="Arial"/>
                <w:b/>
                <w:bCs/>
                <w:sz w:val="26"/>
                <w:szCs w:val="26"/>
                <w:rtl/>
              </w:rPr>
            </w:pPr>
          </w:p>
        </w:tc>
      </w:tr>
      <w:tr w:rsidR="00E54AC2" w:rsidRPr="00357D0D" w14:paraId="1A538BED" w14:textId="77777777" w:rsidTr="005E1AC3">
        <w:tc>
          <w:tcPr>
            <w:tcW w:w="2880" w:type="dxa"/>
            <w:shd w:val="clear" w:color="auto" w:fill="auto"/>
          </w:tcPr>
          <w:p w14:paraId="42B22DD5" w14:textId="77777777" w:rsidR="005E1AC3" w:rsidRPr="00357D0D" w:rsidRDefault="005E1AC3" w:rsidP="005E1AC3">
            <w:pPr>
              <w:ind w:left="26"/>
              <w:rPr>
                <w:b/>
                <w:bCs/>
                <w:sz w:val="26"/>
                <w:szCs w:val="26"/>
              </w:rPr>
            </w:pPr>
            <w:r w:rsidRPr="00357D0D">
              <w:rPr>
                <w:rFonts w:hint="cs"/>
                <w:b/>
                <w:bCs/>
                <w:sz w:val="26"/>
                <w:szCs w:val="26"/>
                <w:rtl/>
              </w:rPr>
              <w:t>הנאשם</w:t>
            </w:r>
          </w:p>
        </w:tc>
        <w:tc>
          <w:tcPr>
            <w:tcW w:w="5922" w:type="dxa"/>
            <w:gridSpan w:val="2"/>
            <w:shd w:val="clear" w:color="auto" w:fill="auto"/>
          </w:tcPr>
          <w:p w14:paraId="48951500" w14:textId="77777777" w:rsidR="005E1AC3" w:rsidRPr="00357D0D" w:rsidRDefault="005E1AC3" w:rsidP="00E54AC2">
            <w:pPr>
              <w:rPr>
                <w:b/>
                <w:bCs/>
                <w:sz w:val="26"/>
                <w:szCs w:val="26"/>
                <w:rtl/>
              </w:rPr>
            </w:pPr>
            <w:r w:rsidRPr="00357D0D">
              <w:rPr>
                <w:rtl/>
              </w:rPr>
              <w:t xml:space="preserve"> </w:t>
            </w:r>
            <w:r w:rsidRPr="00357D0D">
              <w:rPr>
                <w:rFonts w:hint="cs"/>
                <w:b/>
                <w:bCs/>
                <w:sz w:val="26"/>
                <w:szCs w:val="26"/>
                <w:rtl/>
              </w:rPr>
              <w:t>אמיר בוקאעי (עציר)</w:t>
            </w:r>
            <w:r w:rsidRPr="00357D0D">
              <w:rPr>
                <w:rtl/>
              </w:rPr>
              <w:t xml:space="preserve"> </w:t>
            </w:r>
            <w:r w:rsidRPr="00357D0D">
              <w:rPr>
                <w:rFonts w:hint="cs"/>
                <w:b/>
                <w:bCs/>
                <w:sz w:val="26"/>
                <w:szCs w:val="26"/>
                <w:rtl/>
              </w:rPr>
              <w:t xml:space="preserve">ת.ז.  </w:t>
            </w:r>
            <w:r w:rsidR="00357D0D">
              <w:rPr>
                <w:b/>
                <w:bCs/>
                <w:sz w:val="26"/>
                <w:szCs w:val="26"/>
              </w:rPr>
              <w:t>xxxxxxxxxx</w:t>
            </w:r>
          </w:p>
        </w:tc>
      </w:tr>
    </w:tbl>
    <w:p w14:paraId="122BBE4B" w14:textId="77777777" w:rsidR="005E1AC3" w:rsidRPr="00357D0D" w:rsidRDefault="005E1AC3" w:rsidP="005E1AC3">
      <w:pPr>
        <w:spacing w:line="360" w:lineRule="auto"/>
        <w:jc w:val="both"/>
        <w:rPr>
          <w:rFonts w:ascii="David" w:hAnsi="David"/>
          <w:sz w:val="6"/>
          <w:szCs w:val="6"/>
          <w:rtl/>
        </w:rPr>
      </w:pPr>
      <w:r w:rsidRPr="00357D0D">
        <w:rPr>
          <w:rFonts w:hint="cs"/>
          <w:sz w:val="6"/>
          <w:szCs w:val="6"/>
          <w:rtl/>
        </w:rPr>
        <w:t>&lt;#1#&gt;</w:t>
      </w:r>
    </w:p>
    <w:p w14:paraId="333009C1" w14:textId="77777777" w:rsidR="005E1AC3" w:rsidRPr="00357D0D" w:rsidRDefault="005E1AC3" w:rsidP="005E1AC3">
      <w:pPr>
        <w:pStyle w:val="12"/>
        <w:rPr>
          <w:u w:val="none"/>
          <w:rtl/>
        </w:rPr>
      </w:pPr>
      <w:r w:rsidRPr="00357D0D">
        <w:rPr>
          <w:rFonts w:hint="cs"/>
          <w:u w:val="none"/>
          <w:rtl/>
        </w:rPr>
        <w:t>נוכחים:</w:t>
      </w:r>
    </w:p>
    <w:p w14:paraId="54F30807" w14:textId="77777777" w:rsidR="005E1AC3" w:rsidRPr="00357D0D" w:rsidRDefault="005E1AC3" w:rsidP="005E1AC3">
      <w:pPr>
        <w:pStyle w:val="12"/>
        <w:rPr>
          <w:b w:val="0"/>
          <w:bCs w:val="0"/>
          <w:u w:val="none"/>
          <w:rtl/>
        </w:rPr>
      </w:pPr>
      <w:bookmarkStart w:id="2" w:name="FirstLawyer"/>
      <w:r w:rsidRPr="00357D0D">
        <w:rPr>
          <w:rFonts w:hint="cs"/>
          <w:b w:val="0"/>
          <w:bCs w:val="0"/>
          <w:u w:val="none"/>
          <w:rtl/>
        </w:rPr>
        <w:t>ב"כ</w:t>
      </w:r>
      <w:bookmarkEnd w:id="2"/>
      <w:r w:rsidRPr="00357D0D">
        <w:rPr>
          <w:rFonts w:hint="cs"/>
          <w:b w:val="0"/>
          <w:bCs w:val="0"/>
          <w:u w:val="none"/>
          <w:rtl/>
        </w:rPr>
        <w:t xml:space="preserve"> המאשימה: עו"ד יוסי גימפל  </w:t>
      </w:r>
    </w:p>
    <w:p w14:paraId="0A87E95C" w14:textId="77777777" w:rsidR="005E1AC3" w:rsidRPr="00357D0D" w:rsidRDefault="005E1AC3" w:rsidP="005E1AC3">
      <w:pPr>
        <w:pStyle w:val="12"/>
        <w:rPr>
          <w:b w:val="0"/>
          <w:bCs w:val="0"/>
          <w:u w:val="none"/>
          <w:rtl/>
        </w:rPr>
      </w:pPr>
      <w:r w:rsidRPr="00357D0D">
        <w:rPr>
          <w:rFonts w:hint="cs"/>
          <w:b w:val="0"/>
          <w:bCs w:val="0"/>
          <w:u w:val="none"/>
          <w:rtl/>
        </w:rPr>
        <w:t xml:space="preserve">ב"כ הנאשם: עו"ד ליאוניד פרחובניק (ס. ציבורית) </w:t>
      </w:r>
    </w:p>
    <w:p w14:paraId="1B1028B8" w14:textId="77777777" w:rsidR="00733F86" w:rsidRDefault="005E1AC3" w:rsidP="00733F86">
      <w:pPr>
        <w:pStyle w:val="12"/>
        <w:rPr>
          <w:b w:val="0"/>
          <w:bCs w:val="0"/>
          <w:u w:val="none"/>
          <w:rtl/>
        </w:rPr>
      </w:pPr>
      <w:r w:rsidRPr="00357D0D">
        <w:rPr>
          <w:rFonts w:hint="cs"/>
          <w:b w:val="0"/>
          <w:bCs w:val="0"/>
          <w:u w:val="none"/>
          <w:rtl/>
        </w:rPr>
        <w:t>הנאשם באמצעות הליווי</w:t>
      </w:r>
      <w:bookmarkStart w:id="3" w:name="LawTable"/>
      <w:bookmarkEnd w:id="3"/>
    </w:p>
    <w:p w14:paraId="55F6DA75"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p>
    <w:p w14:paraId="7A279C82"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r w:rsidRPr="00733F86">
        <w:rPr>
          <w:rFonts w:ascii="FrankRuehl" w:hAnsi="FrankRuehl" w:cs="FrankRuehl"/>
          <w:b w:val="0"/>
          <w:bCs w:val="0"/>
          <w:u w:val="none"/>
          <w:rtl/>
        </w:rPr>
        <w:t xml:space="preserve">חקיקה שאוזכרה: </w:t>
      </w:r>
    </w:p>
    <w:p w14:paraId="5CAC178B"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hyperlink r:id="rId6" w:history="1">
        <w:r w:rsidRPr="00733F86">
          <w:rPr>
            <w:rFonts w:ascii="FrankRuehl" w:hAnsi="FrankRuehl" w:cs="FrankRuehl"/>
            <w:b w:val="0"/>
            <w:bCs w:val="0"/>
            <w:color w:val="0000FF"/>
            <w:rtl/>
          </w:rPr>
          <w:t>חוק העונשין, תשל"ז-1977</w:t>
        </w:r>
      </w:hyperlink>
      <w:r w:rsidRPr="00733F86">
        <w:rPr>
          <w:rFonts w:ascii="FrankRuehl" w:hAnsi="FrankRuehl" w:cs="FrankRuehl"/>
          <w:b w:val="0"/>
          <w:bCs w:val="0"/>
          <w:u w:val="none"/>
          <w:rtl/>
        </w:rPr>
        <w:t xml:space="preserve">: סע'  </w:t>
      </w:r>
      <w:hyperlink r:id="rId7" w:history="1">
        <w:r w:rsidRPr="00733F86">
          <w:rPr>
            <w:rFonts w:ascii="FrankRuehl" w:hAnsi="FrankRuehl" w:cs="FrankRuehl"/>
            <w:b w:val="0"/>
            <w:bCs w:val="0"/>
            <w:color w:val="0000FF"/>
            <w:rtl/>
          </w:rPr>
          <w:t>40ט</w:t>
        </w:r>
      </w:hyperlink>
      <w:r w:rsidRPr="00733F86">
        <w:rPr>
          <w:rFonts w:ascii="FrankRuehl" w:hAnsi="FrankRuehl" w:cs="FrankRuehl"/>
          <w:b w:val="0"/>
          <w:bCs w:val="0"/>
          <w:u w:val="none"/>
          <w:rtl/>
        </w:rPr>
        <w:t xml:space="preserve">, </w:t>
      </w:r>
      <w:hyperlink r:id="rId8" w:history="1">
        <w:r w:rsidRPr="00733F86">
          <w:rPr>
            <w:rFonts w:ascii="FrankRuehl" w:hAnsi="FrankRuehl" w:cs="FrankRuehl"/>
            <w:b w:val="0"/>
            <w:bCs w:val="0"/>
            <w:color w:val="0000FF"/>
            <w:rtl/>
          </w:rPr>
          <w:t>144(ב)</w:t>
        </w:r>
      </w:hyperlink>
      <w:r w:rsidRPr="00733F86">
        <w:rPr>
          <w:rFonts w:ascii="FrankRuehl" w:hAnsi="FrankRuehl" w:cs="FrankRuehl"/>
          <w:b w:val="0"/>
          <w:bCs w:val="0"/>
          <w:u w:val="none"/>
          <w:rtl/>
        </w:rPr>
        <w:t xml:space="preserve">, </w:t>
      </w:r>
      <w:hyperlink r:id="rId9" w:history="1">
        <w:r w:rsidRPr="00733F86">
          <w:rPr>
            <w:rFonts w:ascii="FrankRuehl" w:hAnsi="FrankRuehl" w:cs="FrankRuehl"/>
            <w:b w:val="0"/>
            <w:bCs w:val="0"/>
            <w:color w:val="0000FF"/>
            <w:rtl/>
          </w:rPr>
          <w:t>340א</w:t>
        </w:r>
      </w:hyperlink>
    </w:p>
    <w:p w14:paraId="51101420"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p>
    <w:p w14:paraId="70E0E74A" w14:textId="77777777" w:rsidR="00733F86" w:rsidRPr="00733F86" w:rsidRDefault="00733F86" w:rsidP="00733F86">
      <w:pPr>
        <w:pStyle w:val="12"/>
        <w:rPr>
          <w:b w:val="0"/>
          <w:bCs w:val="0"/>
          <w:u w:val="none"/>
          <w:rtl/>
        </w:rPr>
      </w:pPr>
      <w:bookmarkStart w:id="4" w:name="LawTable_End"/>
      <w:bookmarkEnd w:id="4"/>
    </w:p>
    <w:p w14:paraId="7F15EFA6" w14:textId="77777777" w:rsidR="00733F86" w:rsidRPr="00733F86" w:rsidRDefault="00733F86" w:rsidP="00733F86">
      <w:pPr>
        <w:pStyle w:val="12"/>
        <w:rPr>
          <w:b w:val="0"/>
          <w:bCs w:val="0"/>
          <w:u w:val="none"/>
          <w:rtl/>
        </w:rPr>
      </w:pPr>
    </w:p>
    <w:p w14:paraId="0797B78F" w14:textId="77777777" w:rsidR="00733F86" w:rsidRPr="00733F86" w:rsidRDefault="005E1AC3" w:rsidP="00733F86">
      <w:pPr>
        <w:pStyle w:val="12"/>
        <w:rPr>
          <w:rFonts w:ascii="FrankRuehl" w:hAnsi="FrankRuehl" w:cs="FrankRuehl"/>
          <w:b w:val="0"/>
          <w:bCs w:val="0"/>
          <w:u w:val="none"/>
          <w:rtl/>
        </w:rPr>
      </w:pPr>
      <w:r w:rsidRPr="00733F86">
        <w:rPr>
          <w:rFonts w:hint="cs"/>
          <w:b w:val="0"/>
          <w:bCs w:val="0"/>
          <w:u w:val="none"/>
          <w:rtl/>
        </w:rPr>
        <w:t xml:space="preserve"> </w:t>
      </w:r>
    </w:p>
    <w:p w14:paraId="62698CFD" w14:textId="77777777" w:rsidR="00733F86" w:rsidRPr="00733F86" w:rsidRDefault="00733F86" w:rsidP="005E1AC3">
      <w:pPr>
        <w:pStyle w:val="12"/>
        <w:rPr>
          <w:b w:val="0"/>
          <w:bCs w:val="0"/>
          <w:u w:val="none"/>
          <w:rtl/>
        </w:rPr>
      </w:pPr>
    </w:p>
    <w:p w14:paraId="0652ADEA" w14:textId="77777777" w:rsidR="00733F86" w:rsidRPr="00733F86" w:rsidRDefault="00733F86" w:rsidP="005E1AC3">
      <w:pPr>
        <w:pStyle w:val="12"/>
        <w:rPr>
          <w:b w:val="0"/>
          <w:bCs w:val="0"/>
          <w:u w:val="none"/>
          <w:rtl/>
        </w:rPr>
      </w:pPr>
    </w:p>
    <w:p w14:paraId="2CE6A1FB" w14:textId="77777777" w:rsidR="005E1AC3" w:rsidRPr="00733F86" w:rsidRDefault="005E1AC3" w:rsidP="005E1AC3">
      <w:pPr>
        <w:pStyle w:val="12"/>
        <w:rPr>
          <w:b w:val="0"/>
          <w:bCs w:val="0"/>
          <w:u w:val="none"/>
          <w:rtl/>
        </w:rPr>
      </w:pPr>
    </w:p>
    <w:p w14:paraId="26E0E7F6" w14:textId="77777777" w:rsidR="00A73825" w:rsidRDefault="00A73825" w:rsidP="005E1AC3">
      <w:pPr>
        <w:rPr>
          <w:rtl/>
        </w:rPr>
      </w:pPr>
    </w:p>
    <w:p w14:paraId="1D2F90AD" w14:textId="77777777" w:rsidR="00A73825" w:rsidRPr="00A73825" w:rsidRDefault="00A73825" w:rsidP="00A73825">
      <w:pPr>
        <w:spacing w:after="120" w:line="240" w:lineRule="exact"/>
        <w:ind w:left="283" w:hanging="283"/>
        <w:jc w:val="both"/>
        <w:rPr>
          <w:rFonts w:ascii="FrankRuehl" w:hAnsi="FrankRuehl" w:cs="FrankRuehl"/>
          <w:rtl/>
        </w:rPr>
      </w:pPr>
    </w:p>
    <w:p w14:paraId="44CDFB30" w14:textId="77777777" w:rsidR="00A73825" w:rsidRPr="00A73825" w:rsidRDefault="00A73825" w:rsidP="00A73825">
      <w:pPr>
        <w:spacing w:after="120" w:line="240" w:lineRule="exact"/>
        <w:ind w:left="283" w:hanging="283"/>
        <w:jc w:val="both"/>
        <w:rPr>
          <w:rFonts w:ascii="FrankRuehl" w:hAnsi="FrankRuehl" w:cs="FrankRuehl"/>
          <w:rtl/>
        </w:rPr>
      </w:pPr>
      <w:r w:rsidRPr="00A73825">
        <w:rPr>
          <w:rFonts w:ascii="FrankRuehl" w:hAnsi="FrankRuehl" w:cs="FrankRuehl"/>
          <w:rtl/>
        </w:rPr>
        <w:t xml:space="preserve">חקיקה שאוזכרה: </w:t>
      </w:r>
    </w:p>
    <w:p w14:paraId="2D2A3F13" w14:textId="77777777" w:rsidR="00A73825" w:rsidRPr="00A73825" w:rsidRDefault="00A73825" w:rsidP="00A73825">
      <w:pPr>
        <w:spacing w:after="120" w:line="240" w:lineRule="exact"/>
        <w:ind w:left="283" w:hanging="283"/>
        <w:jc w:val="both"/>
        <w:rPr>
          <w:rFonts w:ascii="FrankRuehl" w:hAnsi="FrankRuehl" w:cs="FrankRuehl"/>
          <w:rtl/>
        </w:rPr>
      </w:pPr>
      <w:hyperlink r:id="rId10" w:history="1">
        <w:r w:rsidRPr="00A73825">
          <w:rPr>
            <w:rFonts w:ascii="FrankRuehl" w:hAnsi="FrankRuehl" w:cs="FrankRuehl"/>
            <w:color w:val="0000FF"/>
            <w:u w:val="single"/>
            <w:rtl/>
          </w:rPr>
          <w:t>חוק העונשין, תשל"ז-1977</w:t>
        </w:r>
      </w:hyperlink>
      <w:r w:rsidRPr="00A73825">
        <w:rPr>
          <w:rFonts w:ascii="FrankRuehl" w:hAnsi="FrankRuehl" w:cs="FrankRuehl"/>
          <w:rtl/>
        </w:rPr>
        <w:t xml:space="preserve">: סע'  </w:t>
      </w:r>
      <w:hyperlink r:id="rId11" w:history="1">
        <w:r w:rsidRPr="00A73825">
          <w:rPr>
            <w:rFonts w:ascii="FrankRuehl" w:hAnsi="FrankRuehl" w:cs="FrankRuehl"/>
            <w:color w:val="0000FF"/>
            <w:u w:val="single"/>
            <w:rtl/>
          </w:rPr>
          <w:t>40ט</w:t>
        </w:r>
      </w:hyperlink>
      <w:r w:rsidRPr="00A73825">
        <w:rPr>
          <w:rFonts w:ascii="FrankRuehl" w:hAnsi="FrankRuehl" w:cs="FrankRuehl"/>
          <w:rtl/>
        </w:rPr>
        <w:t xml:space="preserve">, </w:t>
      </w:r>
      <w:hyperlink r:id="rId12" w:history="1">
        <w:r w:rsidRPr="00A73825">
          <w:rPr>
            <w:rFonts w:ascii="FrankRuehl" w:hAnsi="FrankRuehl" w:cs="FrankRuehl"/>
            <w:color w:val="0000FF"/>
            <w:u w:val="single"/>
            <w:rtl/>
          </w:rPr>
          <w:t>144(ב)</w:t>
        </w:r>
      </w:hyperlink>
      <w:r w:rsidRPr="00A73825">
        <w:rPr>
          <w:rFonts w:ascii="FrankRuehl" w:hAnsi="FrankRuehl" w:cs="FrankRuehl"/>
          <w:rtl/>
        </w:rPr>
        <w:t xml:space="preserve">, </w:t>
      </w:r>
      <w:hyperlink r:id="rId13" w:history="1">
        <w:r w:rsidRPr="00A73825">
          <w:rPr>
            <w:rFonts w:ascii="FrankRuehl" w:hAnsi="FrankRuehl" w:cs="FrankRuehl"/>
            <w:color w:val="0000FF"/>
            <w:u w:val="single"/>
            <w:rtl/>
          </w:rPr>
          <w:t>340א</w:t>
        </w:r>
      </w:hyperlink>
    </w:p>
    <w:p w14:paraId="48C27F30" w14:textId="77777777" w:rsidR="005E1AC3" w:rsidRPr="00357D0D" w:rsidRDefault="005E1AC3" w:rsidP="005E1AC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4AC2" w14:paraId="39D64B47" w14:textId="77777777" w:rsidTr="005E1AC3">
        <w:trPr>
          <w:trHeight w:val="355"/>
          <w:jc w:val="center"/>
        </w:trPr>
        <w:tc>
          <w:tcPr>
            <w:tcW w:w="8820" w:type="dxa"/>
            <w:tcBorders>
              <w:top w:val="nil"/>
              <w:left w:val="nil"/>
              <w:bottom w:val="nil"/>
              <w:right w:val="nil"/>
            </w:tcBorders>
            <w:shd w:val="clear" w:color="auto" w:fill="auto"/>
          </w:tcPr>
          <w:p w14:paraId="6896329F" w14:textId="77777777" w:rsidR="00357D0D" w:rsidRPr="00357D0D" w:rsidRDefault="00357D0D" w:rsidP="00357D0D">
            <w:pPr>
              <w:jc w:val="center"/>
              <w:rPr>
                <w:rFonts w:ascii="Arial" w:hAnsi="Arial" w:cs="FrankRuehl"/>
                <w:b/>
                <w:bCs/>
                <w:sz w:val="32"/>
                <w:szCs w:val="32"/>
                <w:u w:val="single"/>
                <w:rtl/>
              </w:rPr>
            </w:pPr>
            <w:bookmarkStart w:id="5" w:name="PsakDin" w:colFirst="0" w:colLast="0"/>
            <w:bookmarkEnd w:id="0"/>
            <w:r w:rsidRPr="00357D0D">
              <w:rPr>
                <w:rFonts w:ascii="Arial" w:hAnsi="Arial" w:cs="FrankRuehl"/>
                <w:b/>
                <w:bCs/>
                <w:sz w:val="32"/>
                <w:szCs w:val="32"/>
                <w:u w:val="single"/>
                <w:rtl/>
              </w:rPr>
              <w:t>גזר דין</w:t>
            </w:r>
          </w:p>
          <w:p w14:paraId="6520E3F6" w14:textId="77777777" w:rsidR="005E1AC3" w:rsidRPr="00357D0D" w:rsidRDefault="005E1AC3" w:rsidP="00357D0D">
            <w:pPr>
              <w:jc w:val="center"/>
              <w:rPr>
                <w:rFonts w:ascii="Arial" w:hAnsi="Arial" w:cs="FrankRuehl"/>
                <w:bCs/>
                <w:sz w:val="32"/>
                <w:szCs w:val="32"/>
                <w:u w:val="single"/>
                <w:rtl/>
              </w:rPr>
            </w:pPr>
          </w:p>
        </w:tc>
      </w:tr>
      <w:bookmarkEnd w:id="5"/>
    </w:tbl>
    <w:p w14:paraId="6D12C6BF" w14:textId="77777777" w:rsidR="005E1AC3" w:rsidRPr="00B05847" w:rsidRDefault="005E1AC3" w:rsidP="005E1AC3">
      <w:pPr>
        <w:rPr>
          <w:rFonts w:ascii="Arial" w:hAnsi="Arial"/>
          <w:rtl/>
        </w:rPr>
      </w:pPr>
    </w:p>
    <w:p w14:paraId="045F7312" w14:textId="77777777" w:rsidR="005E1AC3" w:rsidRPr="00B05847" w:rsidRDefault="005E1AC3" w:rsidP="005E1AC3">
      <w:pPr>
        <w:rPr>
          <w:rFonts w:ascii="Arial" w:hAnsi="Arial"/>
          <w:rtl/>
        </w:rPr>
      </w:pPr>
    </w:p>
    <w:p w14:paraId="5CCE1962" w14:textId="77777777" w:rsidR="005E1AC3" w:rsidRDefault="005E1AC3" w:rsidP="005E1AC3">
      <w:pPr>
        <w:spacing w:line="360" w:lineRule="auto"/>
        <w:ind w:hanging="567"/>
        <w:jc w:val="both"/>
      </w:pPr>
      <w:r>
        <w:rPr>
          <w:rFonts w:hint="cs"/>
          <w:rtl/>
        </w:rPr>
        <w:t>1.</w:t>
      </w:r>
      <w:r>
        <w:rPr>
          <w:rFonts w:hint="cs"/>
          <w:rtl/>
        </w:rPr>
        <w:tab/>
      </w:r>
      <w:bookmarkStart w:id="6" w:name="ABSTRACT_START"/>
      <w:bookmarkEnd w:id="6"/>
      <w:r>
        <w:rPr>
          <w:rFonts w:hint="cs"/>
          <w:rtl/>
        </w:rPr>
        <w:t>הנאשם הורשע על סמך הודאתו בעבירות שיוחסו לו בכתב אישום שתוקן במסגרת הסדר טיעון שהושג בין הצדדים. ההסדר לא כלל הסכמה עונשית ונקבע כי כל צד יטען טענותיו לעניין זה באופן חופשי.</w:t>
      </w:r>
    </w:p>
    <w:p w14:paraId="69B0A602" w14:textId="77777777" w:rsidR="005E1AC3" w:rsidRDefault="005E1AC3" w:rsidP="005E1AC3">
      <w:pPr>
        <w:spacing w:line="360" w:lineRule="auto"/>
        <w:ind w:hanging="567"/>
        <w:jc w:val="both"/>
        <w:rPr>
          <w:rtl/>
        </w:rPr>
      </w:pPr>
    </w:p>
    <w:p w14:paraId="38DD79A9" w14:textId="77777777" w:rsidR="005E1AC3" w:rsidRDefault="005E1AC3" w:rsidP="005E1AC3">
      <w:pPr>
        <w:spacing w:line="360" w:lineRule="auto"/>
        <w:ind w:hanging="567"/>
        <w:jc w:val="both"/>
        <w:rPr>
          <w:rtl/>
        </w:rPr>
      </w:pPr>
      <w:r>
        <w:rPr>
          <w:rFonts w:hint="cs"/>
          <w:rtl/>
        </w:rPr>
        <w:t>2.</w:t>
      </w:r>
      <w:r>
        <w:rPr>
          <w:rFonts w:hint="cs"/>
          <w:rtl/>
        </w:rPr>
        <w:tab/>
        <w:t xml:space="preserve">בעובדות כתב האישום המתוקן (להלן: "כתב האישום") נאמר כי ביום 29.4.18 בשעות הערב במהלך חתונה שהתקיימה במתחם משפחת ריאן בכפר כאבול, החזיק הנאשם באקדח מסוג </w:t>
      </w:r>
      <w:r>
        <w:t>CZ</w:t>
      </w:r>
      <w:r>
        <w:rPr>
          <w:rFonts w:hint="cs"/>
          <w:rtl/>
        </w:rPr>
        <w:t xml:space="preserve"> (להלן: "האקדח") ומחסנית תואמת ובה 7 כדורים, ללא רשות על פי דין.</w:t>
      </w:r>
    </w:p>
    <w:p w14:paraId="2391278E" w14:textId="77777777" w:rsidR="005E1AC3" w:rsidRDefault="005E1AC3" w:rsidP="005E1AC3">
      <w:pPr>
        <w:spacing w:line="360" w:lineRule="auto"/>
        <w:ind w:hanging="567"/>
        <w:jc w:val="both"/>
        <w:rPr>
          <w:rtl/>
        </w:rPr>
      </w:pPr>
    </w:p>
    <w:p w14:paraId="12A7404A" w14:textId="77777777" w:rsidR="005E1AC3" w:rsidRDefault="005E1AC3" w:rsidP="005E1AC3">
      <w:pPr>
        <w:spacing w:line="360" w:lineRule="auto"/>
        <w:ind w:hanging="567"/>
        <w:jc w:val="both"/>
        <w:rPr>
          <w:rtl/>
        </w:rPr>
      </w:pPr>
      <w:r>
        <w:rPr>
          <w:rFonts w:hint="cs"/>
          <w:rtl/>
        </w:rPr>
        <w:tab/>
        <w:t>במהלך החתונה ירה הנאשם באמצעות האקדח מספר כדורים, ללא כל הסבר סביר.</w:t>
      </w:r>
    </w:p>
    <w:p w14:paraId="355A1839" w14:textId="77777777" w:rsidR="005E1AC3" w:rsidRDefault="005E1AC3" w:rsidP="005E1AC3">
      <w:pPr>
        <w:spacing w:line="360" w:lineRule="auto"/>
        <w:ind w:hanging="567"/>
        <w:jc w:val="both"/>
        <w:rPr>
          <w:rtl/>
        </w:rPr>
      </w:pPr>
    </w:p>
    <w:p w14:paraId="5C60052B" w14:textId="77777777" w:rsidR="005E1AC3" w:rsidRDefault="005E1AC3" w:rsidP="005E1AC3">
      <w:pPr>
        <w:spacing w:line="360" w:lineRule="auto"/>
        <w:ind w:hanging="567"/>
        <w:jc w:val="both"/>
        <w:rPr>
          <w:rtl/>
        </w:rPr>
      </w:pPr>
      <w:r>
        <w:rPr>
          <w:rFonts w:hint="cs"/>
          <w:rtl/>
        </w:rPr>
        <w:tab/>
        <w:t>בהמשך, עזב הנאשם את החתונה ונסע יחד עם אחר ברכב בו נהג האחר כשהנאשם יושב במושב הקדמי שליד הנהג. באותה עת נשא הנאשם והוביל את האקדח והתחמושת עמו. בהמשך, נעצר על ידי צוות שוטרים בעודו נוסע ברכב כשהאקדח מונח מתחת למושבו וכשבכיס הימני של מכנסיו תרמיל 9 מ"מ ובכיסו השמאלי 13 כדורים ו-3 תרמילים.</w:t>
      </w:r>
    </w:p>
    <w:p w14:paraId="6AB320E1" w14:textId="77777777" w:rsidR="005E1AC3" w:rsidRDefault="005E1AC3" w:rsidP="005E1AC3">
      <w:pPr>
        <w:spacing w:line="360" w:lineRule="auto"/>
        <w:ind w:hanging="567"/>
        <w:jc w:val="both"/>
        <w:rPr>
          <w:rtl/>
        </w:rPr>
      </w:pPr>
    </w:p>
    <w:p w14:paraId="750144E8" w14:textId="77777777" w:rsidR="005E1AC3" w:rsidRDefault="005E1AC3" w:rsidP="005E1AC3">
      <w:pPr>
        <w:spacing w:line="360" w:lineRule="auto"/>
        <w:ind w:hanging="567"/>
        <w:jc w:val="both"/>
        <w:rPr>
          <w:rtl/>
        </w:rPr>
      </w:pPr>
      <w:r>
        <w:rPr>
          <w:rFonts w:hint="cs"/>
          <w:rtl/>
        </w:rPr>
        <w:tab/>
        <w:t xml:space="preserve">בגין המעשים המפורטים לעיל, הורשע הנאשם בעבירות נשק (נשיאה והובלת נשק ותחמושת) לפי </w:t>
      </w:r>
      <w:hyperlink r:id="rId14" w:history="1">
        <w:r w:rsidR="00A73825" w:rsidRPr="00A73825">
          <w:rPr>
            <w:color w:val="0000FF"/>
            <w:u w:val="single"/>
            <w:rtl/>
          </w:rPr>
          <w:t>סעיף 144(ב)</w:t>
        </w:r>
      </w:hyperlink>
      <w:r>
        <w:rPr>
          <w:rFonts w:hint="cs"/>
          <w:rtl/>
        </w:rPr>
        <w:t xml:space="preserve"> רישא וסיפא ל</w:t>
      </w:r>
      <w:hyperlink r:id="rId15" w:history="1">
        <w:r w:rsidR="00357D0D" w:rsidRPr="00357D0D">
          <w:rPr>
            <w:color w:val="0000FF"/>
            <w:u w:val="single"/>
            <w:rtl/>
          </w:rPr>
          <w:t>חוק העונשין</w:t>
        </w:r>
      </w:hyperlink>
      <w:r>
        <w:rPr>
          <w:rFonts w:hint="cs"/>
          <w:rtl/>
        </w:rPr>
        <w:t xml:space="preserve">, התשל"ז-1977 (להלן: "חוק העונשין") וכן בעבירה של ירי באזור מגורים לפי </w:t>
      </w:r>
      <w:hyperlink r:id="rId16" w:history="1">
        <w:r w:rsidR="00A73825" w:rsidRPr="00A73825">
          <w:rPr>
            <w:color w:val="0000FF"/>
            <w:u w:val="single"/>
            <w:rtl/>
          </w:rPr>
          <w:t>סעיף 340א</w:t>
        </w:r>
      </w:hyperlink>
      <w:r>
        <w:rPr>
          <w:rFonts w:hint="cs"/>
          <w:rtl/>
        </w:rPr>
        <w:t xml:space="preserve"> לחוק העונשין.</w:t>
      </w:r>
    </w:p>
    <w:p w14:paraId="4CBD6B12" w14:textId="77777777" w:rsidR="005E1AC3" w:rsidRDefault="005E1AC3" w:rsidP="005E1AC3">
      <w:pPr>
        <w:spacing w:line="360" w:lineRule="auto"/>
        <w:ind w:hanging="567"/>
        <w:jc w:val="both"/>
        <w:rPr>
          <w:rtl/>
        </w:rPr>
      </w:pPr>
    </w:p>
    <w:p w14:paraId="19C175DF" w14:textId="77777777" w:rsidR="005E1AC3" w:rsidRDefault="005E1AC3" w:rsidP="005E1AC3">
      <w:pPr>
        <w:spacing w:line="360" w:lineRule="auto"/>
        <w:ind w:hanging="567"/>
        <w:jc w:val="both"/>
        <w:rPr>
          <w:rtl/>
        </w:rPr>
      </w:pPr>
      <w:bookmarkStart w:id="7" w:name="ABSTRACT_END"/>
      <w:bookmarkEnd w:id="7"/>
      <w:r>
        <w:rPr>
          <w:rFonts w:hint="cs"/>
          <w:rtl/>
        </w:rPr>
        <w:t>3.</w:t>
      </w:r>
      <w:r>
        <w:rPr>
          <w:rFonts w:hint="cs"/>
          <w:rtl/>
        </w:rPr>
        <w:tab/>
        <w:t>בטיעוניה לעונש ציינה המאשימה כי הערכים החברתיים המוגנים שנפגעו במקרה דנן הם שלום הציבור, ביטחונו, בריאותו ושלמות גופו. נטען כי זמינותם של כלי נשק העוברים מיד ליד, בין אם לידיים עברייניות ובין אם לידי מפגעים למיניהם, תורמת להגדלת מעגל האלימות על כל הנובע מכך. נשיאתו של נשק חם באופן בלתי חוקי, תוך עשיית שימוש בו, מקרבת את הסיכון לאלימות קשה עד קטלנית.</w:t>
      </w:r>
    </w:p>
    <w:p w14:paraId="2DD3A7CE" w14:textId="77777777" w:rsidR="005E1AC3" w:rsidRDefault="005E1AC3" w:rsidP="005E1AC3">
      <w:pPr>
        <w:spacing w:line="360" w:lineRule="auto"/>
        <w:ind w:hanging="567"/>
        <w:jc w:val="both"/>
        <w:rPr>
          <w:rtl/>
        </w:rPr>
      </w:pPr>
    </w:p>
    <w:p w14:paraId="2BD961BA" w14:textId="77777777" w:rsidR="005E1AC3" w:rsidRDefault="005E1AC3" w:rsidP="005E1AC3">
      <w:pPr>
        <w:spacing w:line="360" w:lineRule="auto"/>
        <w:ind w:hanging="567"/>
        <w:jc w:val="both"/>
        <w:rPr>
          <w:rtl/>
        </w:rPr>
      </w:pPr>
      <w:r>
        <w:rPr>
          <w:rFonts w:hint="cs"/>
          <w:rtl/>
        </w:rPr>
        <w:tab/>
        <w:t xml:space="preserve">המאשימה הוסיפה כי כלל הנסיבות המנויות </w:t>
      </w:r>
      <w:hyperlink r:id="rId17" w:history="1">
        <w:r w:rsidR="00A73825" w:rsidRPr="00A73825">
          <w:rPr>
            <w:color w:val="0000FF"/>
            <w:u w:val="single"/>
            <w:rtl/>
          </w:rPr>
          <w:t>בסעיף 40ט</w:t>
        </w:r>
      </w:hyperlink>
      <w:r>
        <w:rPr>
          <w:rFonts w:hint="cs"/>
          <w:rtl/>
        </w:rPr>
        <w:t xml:space="preserve"> ל</w:t>
      </w:r>
      <w:hyperlink r:id="rId18" w:history="1">
        <w:r w:rsidR="00357D0D" w:rsidRPr="00357D0D">
          <w:rPr>
            <w:color w:val="0000FF"/>
            <w:u w:val="single"/>
            <w:rtl/>
          </w:rPr>
          <w:t>חוק העונשין</w:t>
        </w:r>
      </w:hyperlink>
      <w:r>
        <w:rPr>
          <w:rFonts w:hint="cs"/>
          <w:rtl/>
        </w:rPr>
        <w:t xml:space="preserve"> מתקיימות בענייננו, על הצד החמור. כך לגבי חלקו של הנאשם בביצוע העבירה שהינו מוחלט ולהעדר כל סיבה לביצוע העבירה, כמו גם יכולתו להבין את אשר הוא עושה ואת הפסול במעשיו וכך לגבי פוטנציאל הנזק שהיה צפוי להיגרם מנשיאת הנשק והתחמושת ומהירי שבוצע באזור מגורים.</w:t>
      </w:r>
    </w:p>
    <w:p w14:paraId="4D86F8E2" w14:textId="77777777" w:rsidR="005E1AC3" w:rsidRDefault="005E1AC3" w:rsidP="005E1AC3">
      <w:pPr>
        <w:spacing w:line="360" w:lineRule="auto"/>
        <w:ind w:hanging="567"/>
        <w:jc w:val="both"/>
        <w:rPr>
          <w:rtl/>
        </w:rPr>
      </w:pPr>
    </w:p>
    <w:p w14:paraId="4E06C78C" w14:textId="77777777" w:rsidR="005E1AC3" w:rsidRDefault="005E1AC3" w:rsidP="005E1AC3">
      <w:pPr>
        <w:spacing w:line="360" w:lineRule="auto"/>
        <w:ind w:hanging="567"/>
        <w:jc w:val="both"/>
        <w:rPr>
          <w:rtl/>
        </w:rPr>
      </w:pPr>
      <w:r>
        <w:rPr>
          <w:rFonts w:hint="cs"/>
          <w:rtl/>
        </w:rPr>
        <w:tab/>
        <w:t>בהתחשב בנסיבות ביצוע העבירות ובמדיניות הענישה הנוהגת במקרים דומים, עתרה המאשימה לקבוע כי מתחם העונש ההולם בתיק זה נע בין שנתיים ל-4 שנות מאסר בפועל. נוכח הודאתו של הנאשם במיוחס לו והזמן השיפוטי שנחסך עקב כך, ביקשה המאשימה להטיל על הנאשם עונש מאסר בפועל במחצית הראשונה של מתחם הענישה. זאת, לצד מאסר מותנה וקנס.</w:t>
      </w:r>
    </w:p>
    <w:p w14:paraId="752230B4" w14:textId="77777777" w:rsidR="005E1AC3" w:rsidRDefault="005E1AC3" w:rsidP="005E1AC3">
      <w:pPr>
        <w:spacing w:line="360" w:lineRule="auto"/>
        <w:ind w:hanging="567"/>
        <w:jc w:val="both"/>
        <w:rPr>
          <w:rtl/>
        </w:rPr>
      </w:pPr>
    </w:p>
    <w:p w14:paraId="3BB36A58" w14:textId="77777777" w:rsidR="005E1AC3" w:rsidRDefault="005E1AC3" w:rsidP="005E1AC3">
      <w:pPr>
        <w:spacing w:line="360" w:lineRule="auto"/>
        <w:ind w:hanging="567"/>
        <w:jc w:val="both"/>
        <w:rPr>
          <w:rtl/>
        </w:rPr>
      </w:pPr>
      <w:r>
        <w:rPr>
          <w:rFonts w:hint="cs"/>
          <w:rtl/>
        </w:rPr>
        <w:t>4.</w:t>
      </w:r>
      <w:r>
        <w:rPr>
          <w:rFonts w:hint="cs"/>
          <w:rtl/>
        </w:rPr>
        <w:tab/>
        <w:t>הסנגור מצדו הדגיש בפתח דבריו כי מדובר בצעיר כבן 24, נעדר כל עבר פלילי, אשר גדל בנסיבות משפחתיות קשות ועבר ניסיון אובדני במהלך שנת 2016 כאשר ירה לעצמו בראשו, ונפגע עקב כך פגיעה חמורה.</w:t>
      </w:r>
    </w:p>
    <w:p w14:paraId="6D037CAB" w14:textId="77777777" w:rsidR="005E1AC3" w:rsidRDefault="005E1AC3" w:rsidP="005E1AC3">
      <w:pPr>
        <w:spacing w:line="360" w:lineRule="auto"/>
        <w:ind w:hanging="567"/>
        <w:jc w:val="both"/>
        <w:rPr>
          <w:rtl/>
        </w:rPr>
      </w:pPr>
    </w:p>
    <w:p w14:paraId="39D2AFFF" w14:textId="77777777" w:rsidR="005E1AC3" w:rsidRDefault="005E1AC3" w:rsidP="005E1AC3">
      <w:pPr>
        <w:spacing w:line="360" w:lineRule="auto"/>
        <w:ind w:hanging="567"/>
        <w:jc w:val="both"/>
        <w:rPr>
          <w:rtl/>
        </w:rPr>
      </w:pPr>
      <w:r>
        <w:rPr>
          <w:rFonts w:hint="cs"/>
          <w:rtl/>
        </w:rPr>
        <w:tab/>
        <w:t xml:space="preserve">בהתייחס לנסיבות הקשורות בביצוע העבירה טען ב"כ הנאשם, כי שולחו סובל מפגיעה אורגנית מוחית כתוצאה מהניסיון האובדני ומכאן שמדובר במי שסובל ממגבלה שכלית ממשית ומתקשה להבין כהלכה את הפסול שבמעשיו או את חומרתם ומשמעותם. בנסיבות אלו סבור הסנגור, כי </w:t>
      </w:r>
      <w:r>
        <w:rPr>
          <w:rFonts w:hint="cs"/>
          <w:rtl/>
        </w:rPr>
        <w:lastRenderedPageBreak/>
        <w:t>קיימת קרבה לסייג לאחריות פלילית שלה יש ליתן משקל ממשי בקביעת מתחם העונש. בנוסף, הפנה הסנגור לעובדה כי מעשיו של הנאשם לא גרמו לכל נזק לגוף או לרכוש וכי הובלת הנשק ונשיאתו היו למרחק קצר ביותר.</w:t>
      </w:r>
    </w:p>
    <w:p w14:paraId="62B6977C" w14:textId="77777777" w:rsidR="005E1AC3" w:rsidRDefault="005E1AC3" w:rsidP="005E1AC3">
      <w:pPr>
        <w:spacing w:line="360" w:lineRule="auto"/>
        <w:ind w:hanging="567"/>
        <w:jc w:val="both"/>
        <w:rPr>
          <w:rtl/>
        </w:rPr>
      </w:pPr>
    </w:p>
    <w:p w14:paraId="11DE65B0" w14:textId="77777777" w:rsidR="005E1AC3" w:rsidRDefault="005E1AC3" w:rsidP="005E1AC3">
      <w:pPr>
        <w:spacing w:line="360" w:lineRule="auto"/>
        <w:ind w:hanging="567"/>
        <w:jc w:val="both"/>
        <w:rPr>
          <w:rtl/>
        </w:rPr>
      </w:pPr>
      <w:r>
        <w:rPr>
          <w:rFonts w:hint="cs"/>
          <w:rtl/>
        </w:rPr>
        <w:tab/>
        <w:t>ההגנה סבורה כי מתחם העונש ההולם בענייננו נע בין מספר חודשי מאסר בודדים בפועל ועד לשנת מאסר אחת. לדעת הסנגור, יש מקום לסטות ממתחם העונש ההולם מחמת שיקולי צדק הנעוצים במגבלה החמורה שנגרמה לנאשם כתוצאה מהניסיון האובדני, ובנסיבות חייו הקשות באופן קיצוני. לפיכך, ביקש ב"כ הנאשם להסתפק בתקופת מאסרו של שולחו הנתון במעצר מאז יום 29.4.18.</w:t>
      </w:r>
    </w:p>
    <w:p w14:paraId="1BEFCB29" w14:textId="77777777" w:rsidR="005E1AC3" w:rsidRDefault="005E1AC3" w:rsidP="005E1AC3">
      <w:pPr>
        <w:spacing w:line="360" w:lineRule="auto"/>
        <w:ind w:hanging="567"/>
        <w:jc w:val="both"/>
        <w:rPr>
          <w:rtl/>
        </w:rPr>
      </w:pPr>
    </w:p>
    <w:p w14:paraId="59519C8A" w14:textId="77777777" w:rsidR="005E1AC3" w:rsidRDefault="005E1AC3" w:rsidP="005E1AC3">
      <w:pPr>
        <w:spacing w:line="360" w:lineRule="auto"/>
        <w:ind w:hanging="567"/>
        <w:jc w:val="both"/>
        <w:rPr>
          <w:rtl/>
        </w:rPr>
      </w:pPr>
      <w:r>
        <w:rPr>
          <w:rFonts w:hint="cs"/>
          <w:rtl/>
        </w:rPr>
        <w:t>5.</w:t>
      </w:r>
      <w:r>
        <w:rPr>
          <w:rFonts w:hint="cs"/>
          <w:rtl/>
        </w:rPr>
        <w:tab/>
        <w:t>בדברו האחרון, הביע הנאשם צער על מעשיו, התחייב שלא לחזור על מעשים דומים וביקש הזדמנות להשתקם ולהתקדם בחייו.</w:t>
      </w:r>
    </w:p>
    <w:p w14:paraId="2AEF4043" w14:textId="77777777" w:rsidR="005E1AC3" w:rsidRDefault="005E1AC3" w:rsidP="005E1AC3">
      <w:pPr>
        <w:spacing w:line="360" w:lineRule="auto"/>
        <w:ind w:hanging="567"/>
        <w:jc w:val="both"/>
        <w:rPr>
          <w:rtl/>
        </w:rPr>
      </w:pPr>
    </w:p>
    <w:p w14:paraId="378113EC" w14:textId="77777777" w:rsidR="005E1AC3" w:rsidRDefault="005E1AC3" w:rsidP="005E1AC3">
      <w:pPr>
        <w:spacing w:line="360" w:lineRule="auto"/>
        <w:ind w:hanging="567"/>
        <w:jc w:val="both"/>
        <w:rPr>
          <w:rtl/>
        </w:rPr>
      </w:pPr>
      <w:r>
        <w:rPr>
          <w:rFonts w:hint="cs"/>
          <w:rtl/>
        </w:rPr>
        <w:t>6.</w:t>
      </w:r>
      <w:r>
        <w:rPr>
          <w:rFonts w:hint="cs"/>
          <w:rtl/>
        </w:rPr>
        <w:tab/>
        <w:t xml:space="preserve">ככלל, מתחם הענישה ההולם ייקבע בהתאם לעקרון ההלימה ולשם כך על בית המשפט להתחשב בערכים החברתיים שנפגעו מביצוע העבירה, במידת הפגיעה בהם, במדיניות הענישה הנהוגה ובנסיבות הקשורות בביצוע העבירה. </w:t>
      </w:r>
    </w:p>
    <w:p w14:paraId="6DE60672" w14:textId="77777777" w:rsidR="005E1AC3" w:rsidRDefault="005E1AC3" w:rsidP="005E1AC3">
      <w:pPr>
        <w:spacing w:line="360" w:lineRule="auto"/>
        <w:ind w:hanging="567"/>
        <w:jc w:val="both"/>
        <w:rPr>
          <w:rtl/>
        </w:rPr>
      </w:pPr>
    </w:p>
    <w:p w14:paraId="2C9228B8" w14:textId="77777777" w:rsidR="005E1AC3" w:rsidRDefault="005E1AC3" w:rsidP="005E1AC3">
      <w:pPr>
        <w:spacing w:line="360" w:lineRule="auto"/>
        <w:ind w:hanging="567"/>
        <w:jc w:val="both"/>
        <w:rPr>
          <w:rtl/>
        </w:rPr>
      </w:pPr>
      <w:r>
        <w:rPr>
          <w:rFonts w:hint="cs"/>
          <w:rtl/>
        </w:rPr>
        <w:tab/>
        <w:t>הערך החברתי שנפגע מביצוע העבירות במקרה זה הינו הערך של הגנה על ביטחון הציבור, שלומו ובריאותו. נשיאתו והובלתו של נשק חם יוצרת סיכון שהנשק יגיע בסופו של יום לידי גורמים שיעשו בו שימוש למטרות פסולות. בנוסף, ירי באמצעות נשק באזור מגורים, אף אם הוא מכוון לאוויר ונועד להביע שמחה, יש בו כדי ליצור סיכון ממשי לפגיעה בחפים מפשע. נוהג זה, הקיים במגזרים מסוימים בחברה הערבית ראוי לגינוי והוקעה, שכן הוא טומן בחובו סיכון לבאי השמחה בה נעשה הירי, כמו גם לעוברי אורח תמימים. היו אף מקרים בעבר בהם קופחו חיי אדם או נגרמו חבלות חמורות כתוצאה מאותו ירי. נכון הוא שלא מדובר בירי הנעשה במסגרת חיסול חשבונות או יישוב סכסוכים עברייניים. יחד עם זאת, מדובר בתופעה המסכנת חיי אדם, אותה יש לעקור מן השורש, גם על דרך של הטלת ענישה ממשית. חומרתה של עבירת הירי מנשק באזור מגורים, על ההשלכות הקשות הנובעות הימנה הובילה את המחוקק להחמרת העונש הקבוע לצדה (ראו תיקון 134 ל</w:t>
      </w:r>
      <w:hyperlink r:id="rId19" w:history="1">
        <w:r w:rsidR="00357D0D" w:rsidRPr="00357D0D">
          <w:rPr>
            <w:color w:val="0000FF"/>
            <w:u w:val="single"/>
            <w:rtl/>
          </w:rPr>
          <w:t>חוק העונשין</w:t>
        </w:r>
      </w:hyperlink>
      <w:r>
        <w:rPr>
          <w:rFonts w:hint="cs"/>
          <w:rtl/>
        </w:rPr>
        <w:t xml:space="preserve"> שהתקבל ביום 16.7.18). תיקון זה אומנם לא חל בענייננו, שכן העבירה בוצעה עובר לתיקון החוק, אך הוא מלמד על מגמת ההחמרה בענישה המתחייבת במקרים מסוג זה. </w:t>
      </w:r>
    </w:p>
    <w:p w14:paraId="7E30E47F" w14:textId="77777777" w:rsidR="005E1AC3" w:rsidRDefault="005E1AC3" w:rsidP="005E1AC3">
      <w:pPr>
        <w:spacing w:line="360" w:lineRule="auto"/>
        <w:ind w:hanging="567"/>
        <w:jc w:val="both"/>
        <w:rPr>
          <w:rtl/>
        </w:rPr>
      </w:pPr>
    </w:p>
    <w:p w14:paraId="34BACB2E" w14:textId="77777777" w:rsidR="005E1AC3" w:rsidRDefault="005E1AC3" w:rsidP="005E1AC3">
      <w:pPr>
        <w:spacing w:line="360" w:lineRule="auto"/>
        <w:ind w:hanging="567"/>
        <w:jc w:val="both"/>
        <w:rPr>
          <w:rtl/>
        </w:rPr>
      </w:pPr>
      <w:r>
        <w:rPr>
          <w:rFonts w:hint="cs"/>
          <w:rtl/>
        </w:rPr>
        <w:t>7.</w:t>
      </w:r>
      <w:r>
        <w:rPr>
          <w:rFonts w:hint="cs"/>
          <w:rtl/>
        </w:rPr>
        <w:tab/>
        <w:t>על חומרתן של עבירות הנשק עמד בית המשפט העליון לא אחת. ב</w:t>
      </w:r>
      <w:hyperlink r:id="rId20" w:history="1">
        <w:r w:rsidR="00357D0D" w:rsidRPr="00357D0D">
          <w:rPr>
            <w:color w:val="0000FF"/>
            <w:u w:val="single"/>
            <w:rtl/>
          </w:rPr>
          <w:t>ע"פ 1323/13</w:t>
        </w:r>
      </w:hyperlink>
      <w:r>
        <w:rPr>
          <w:rFonts w:hint="cs"/>
          <w:rtl/>
        </w:rPr>
        <w:t xml:space="preserve"> </w:t>
      </w:r>
      <w:r>
        <w:rPr>
          <w:rFonts w:hint="cs"/>
          <w:b/>
          <w:bCs/>
          <w:rtl/>
        </w:rPr>
        <w:t xml:space="preserve">חסן נ' מדינת ישראל </w:t>
      </w:r>
      <w:r>
        <w:rPr>
          <w:rFonts w:hint="cs"/>
          <w:rtl/>
        </w:rPr>
        <w:t xml:space="preserve"> (5.6.17) נקבע כי:</w:t>
      </w:r>
    </w:p>
    <w:p w14:paraId="7D11850A" w14:textId="77777777" w:rsidR="005E1AC3" w:rsidRDefault="005E1AC3" w:rsidP="005E1AC3">
      <w:pPr>
        <w:pStyle w:val="a9"/>
        <w:jc w:val="both"/>
        <w:rPr>
          <w:i w:val="0"/>
          <w:iCs w:val="0"/>
          <w:rtl/>
        </w:rPr>
      </w:pPr>
      <w:r>
        <w:rPr>
          <w:rFonts w:hint="cs"/>
          <w:i w:val="0"/>
          <w:iCs w:val="0"/>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p>
    <w:p w14:paraId="2429CEF7" w14:textId="77777777" w:rsidR="005E1AC3" w:rsidRDefault="005E1AC3" w:rsidP="005E1AC3">
      <w:pPr>
        <w:spacing w:line="360" w:lineRule="auto"/>
        <w:ind w:hanging="1134"/>
        <w:jc w:val="both"/>
        <w:rPr>
          <w:rtl/>
        </w:rPr>
      </w:pPr>
    </w:p>
    <w:p w14:paraId="72F596CB" w14:textId="77777777" w:rsidR="005E1AC3" w:rsidRDefault="005E1AC3" w:rsidP="005E1AC3">
      <w:pPr>
        <w:spacing w:line="360" w:lineRule="auto"/>
        <w:ind w:hanging="1134"/>
        <w:jc w:val="both"/>
        <w:rPr>
          <w:rtl/>
        </w:rPr>
      </w:pPr>
    </w:p>
    <w:p w14:paraId="52A6EB5F" w14:textId="77777777" w:rsidR="005E1AC3" w:rsidRDefault="005E1AC3" w:rsidP="005E1AC3">
      <w:pPr>
        <w:spacing w:line="360" w:lineRule="auto"/>
        <w:ind w:hanging="1134"/>
        <w:jc w:val="both"/>
        <w:rPr>
          <w:rtl/>
        </w:rPr>
      </w:pPr>
    </w:p>
    <w:p w14:paraId="68A07EA4" w14:textId="77777777" w:rsidR="005E1AC3" w:rsidRDefault="005E1AC3" w:rsidP="005E1AC3">
      <w:pPr>
        <w:spacing w:line="360" w:lineRule="auto"/>
        <w:ind w:hanging="1134"/>
        <w:jc w:val="both"/>
        <w:rPr>
          <w:rtl/>
        </w:rPr>
      </w:pPr>
    </w:p>
    <w:p w14:paraId="70273F54" w14:textId="77777777" w:rsidR="005E1AC3" w:rsidRDefault="005E1AC3" w:rsidP="005E1AC3">
      <w:pPr>
        <w:spacing w:line="360" w:lineRule="auto"/>
        <w:ind w:hanging="1134"/>
        <w:jc w:val="both"/>
        <w:rPr>
          <w:rtl/>
        </w:rPr>
      </w:pPr>
    </w:p>
    <w:p w14:paraId="2CB56CFB" w14:textId="77777777" w:rsidR="005E1AC3" w:rsidRDefault="005E1AC3" w:rsidP="005E1AC3">
      <w:pPr>
        <w:spacing w:line="360" w:lineRule="auto"/>
        <w:ind w:hanging="1134"/>
        <w:jc w:val="both"/>
        <w:rPr>
          <w:rtl/>
        </w:rPr>
      </w:pPr>
      <w:r>
        <w:rPr>
          <w:rFonts w:hint="cs"/>
          <w:rtl/>
        </w:rPr>
        <w:tab/>
      </w:r>
      <w:r>
        <w:rPr>
          <w:rFonts w:hint="cs"/>
          <w:rtl/>
        </w:rPr>
        <w:tab/>
        <w:t>ב</w:t>
      </w:r>
      <w:hyperlink r:id="rId21" w:history="1">
        <w:r w:rsidR="00357D0D" w:rsidRPr="00357D0D">
          <w:rPr>
            <w:color w:val="0000FF"/>
            <w:u w:val="single"/>
            <w:rtl/>
          </w:rPr>
          <w:t>ע"פ 9702/16</w:t>
        </w:r>
      </w:hyperlink>
      <w:r>
        <w:rPr>
          <w:rFonts w:hint="cs"/>
          <w:rtl/>
        </w:rPr>
        <w:t xml:space="preserve"> </w:t>
      </w:r>
      <w:r>
        <w:rPr>
          <w:rFonts w:hint="cs"/>
          <w:b/>
          <w:bCs/>
          <w:rtl/>
        </w:rPr>
        <w:t xml:space="preserve">סאמי אבו אלוליאיה נ' מדינת ישראל </w:t>
      </w:r>
      <w:r>
        <w:rPr>
          <w:rFonts w:hint="cs"/>
          <w:rtl/>
        </w:rPr>
        <w:t>(13.9.17) נקבע כי:</w:t>
      </w:r>
    </w:p>
    <w:p w14:paraId="4722AF93" w14:textId="77777777" w:rsidR="005E1AC3" w:rsidRPr="00AB7EFB" w:rsidRDefault="005E1AC3" w:rsidP="005E1AC3">
      <w:pPr>
        <w:pStyle w:val="a9"/>
        <w:jc w:val="both"/>
        <w:rPr>
          <w:i w:val="0"/>
          <w:iCs w:val="0"/>
          <w:color w:val="auto"/>
          <w:rtl/>
        </w:rPr>
      </w:pPr>
      <w:r>
        <w:rPr>
          <w:rFonts w:hint="cs"/>
          <w:i w:val="0"/>
          <w:iCs w:val="0"/>
          <w:rtl/>
        </w:rPr>
        <w:t xml:space="preserve">"ככלל, בפסיקת בית משפט זה באה לידי ביטוי, בשורה ארוכה של פסקי דין, </w:t>
      </w:r>
      <w:r w:rsidRPr="00AB7EFB">
        <w:rPr>
          <w:rFonts w:hint="cs"/>
          <w:i w:val="0"/>
          <w:iCs w:val="0"/>
          <w:color w:val="auto"/>
          <w:rtl/>
        </w:rPr>
        <w:t xml:space="preserve">מדיניות של החמרה בענישה בעבירות נשק (ראו למשל: </w:t>
      </w:r>
      <w:hyperlink r:id="rId22"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4945/13</w:t>
        </w:r>
      </w:hyperlink>
      <w:r w:rsidRPr="00AB7EFB">
        <w:rPr>
          <w:rFonts w:hint="cs"/>
          <w:i w:val="0"/>
          <w:iCs w:val="0"/>
          <w:color w:val="auto"/>
          <w:rtl/>
        </w:rPr>
        <w:t xml:space="preserve"> מדינת ישראל נ' עבד אלכרים סלימאן [פורסם בנבו] (19.1.2014); </w:t>
      </w:r>
      <w:hyperlink r:id="rId23"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2251/11</w:t>
        </w:r>
      </w:hyperlink>
      <w:r w:rsidRPr="00AB7EFB">
        <w:rPr>
          <w:rFonts w:hint="cs"/>
          <w:i w:val="0"/>
          <w:iCs w:val="0"/>
          <w:color w:val="auto"/>
          <w:rtl/>
        </w:rPr>
        <w:t xml:space="preserve"> נפאע נ' מדינת ישראל, [פורסם בנבו] בפסקה 7 (4.12.2011); </w:t>
      </w:r>
      <w:hyperlink r:id="rId24"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6371/11</w:t>
        </w:r>
      </w:hyperlink>
      <w:r w:rsidRPr="00AB7EFB">
        <w:rPr>
          <w:rFonts w:hint="cs"/>
          <w:i w:val="0"/>
          <w:iCs w:val="0"/>
          <w:color w:val="auto"/>
          <w:rtl/>
        </w:rPr>
        <w:t xml:space="preserve"> מדינת ישראל נ' הייבי [פורסם בנבו] (18.12.2011); </w:t>
      </w:r>
      <w:hyperlink r:id="rId25"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1323/13</w:t>
        </w:r>
      </w:hyperlink>
      <w:r w:rsidRPr="00AB7EFB">
        <w:rPr>
          <w:rFonts w:hint="cs"/>
          <w:i w:val="0"/>
          <w:iCs w:val="0"/>
          <w:color w:val="auto"/>
          <w:rtl/>
        </w:rPr>
        <w:t xml:space="preserve"> חסן נ' מדינת ישראל [פורסם בנבו] (5.6.2013)).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(וראו למשל: </w:t>
      </w:r>
      <w:hyperlink r:id="rId26"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8846/15</w:t>
        </w:r>
      </w:hyperlink>
      <w:r w:rsidRPr="00AB7EFB">
        <w:rPr>
          <w:rFonts w:hint="cs"/>
          <w:i w:val="0"/>
          <w:iCs w:val="0"/>
          <w:color w:val="auto"/>
          <w:rtl/>
        </w:rPr>
        <w:t xml:space="preserve"> דראז נ' מדינת ישראל [פורסם בנבו] (13.3.2016); </w:t>
      </w:r>
      <w:hyperlink r:id="rId27"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5681/14</w:t>
        </w:r>
      </w:hyperlink>
      <w:r w:rsidRPr="00AB7EFB">
        <w:rPr>
          <w:rFonts w:hint="cs"/>
          <w:i w:val="0"/>
          <w:iCs w:val="0"/>
          <w:color w:val="auto"/>
          <w:rtl/>
        </w:rPr>
        <w:t xml:space="preserve"> מדינת ישראל נ' טאטור [פורסם בנבו] (1.2.2015)). הכלל של השתת מאסר בפועל לתקופה משמעותית בעבירת החזקת נשק חל גם כאשר מדובר בעבירות שאינן במדרג הגבוה, כמו מקרה זה (</w:t>
      </w:r>
      <w:hyperlink r:id="rId28"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5220/09</w:t>
        </w:r>
      </w:hyperlink>
      <w:r w:rsidRPr="00AB7EFB">
        <w:rPr>
          <w:rFonts w:hint="cs"/>
          <w:i w:val="0"/>
          <w:iCs w:val="0"/>
          <w:color w:val="auto"/>
          <w:rtl/>
        </w:rPr>
        <w:t xml:space="preserve"> עוואודה נ' מדינת ישראל [פורסם בנבו] (30.12.2009); </w:t>
      </w:r>
      <w:hyperlink r:id="rId29"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2398/14</w:t>
        </w:r>
      </w:hyperlink>
      <w:r w:rsidRPr="00AB7EFB">
        <w:rPr>
          <w:rFonts w:hint="cs"/>
          <w:i w:val="0"/>
          <w:iCs w:val="0"/>
          <w:color w:val="auto"/>
          <w:rtl/>
        </w:rPr>
        <w:t xml:space="preserve"> אלהזייל נ' מדינת ישראל [פורסם בנבו] (8.7.2014)). במסגרת זו יש להביא בחשבון כי גם 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 (ראו גם: </w:t>
      </w:r>
      <w:hyperlink r:id="rId30"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1903/13</w:t>
        </w:r>
      </w:hyperlink>
      <w:r w:rsidRPr="00AB7EFB">
        <w:rPr>
          <w:rFonts w:hint="cs"/>
          <w:i w:val="0"/>
          <w:iCs w:val="0"/>
          <w:color w:val="auto"/>
          <w:rtl/>
        </w:rPr>
        <w:t xml:space="preserve"> עיאשה נ' מדינת ישראל [פורסם בנבו] (14.7.2013); </w:t>
      </w:r>
      <w:hyperlink r:id="rId31"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1323/13</w:t>
        </w:r>
      </w:hyperlink>
      <w:r w:rsidRPr="00AB7EFB">
        <w:rPr>
          <w:rFonts w:hint="cs"/>
          <w:i w:val="0"/>
          <w:iCs w:val="0"/>
          <w:color w:val="auto"/>
          <w:rtl/>
        </w:rPr>
        <w:t xml:space="preserve"> בעניין חסן הנ"ל). זאת על אחת כמה וכמה שעה שמדובר בסוג של כלי נשק שעשוי להביא למותו של אדם.</w:t>
      </w:r>
    </w:p>
    <w:p w14:paraId="18B684CE" w14:textId="77777777" w:rsidR="005E1AC3" w:rsidRDefault="005E1AC3" w:rsidP="005E1AC3">
      <w:pPr>
        <w:spacing w:line="360" w:lineRule="auto"/>
        <w:ind w:hanging="1134"/>
        <w:jc w:val="both"/>
        <w:rPr>
          <w:rtl/>
        </w:rPr>
      </w:pPr>
      <w:r>
        <w:rPr>
          <w:rFonts w:hint="cs"/>
          <w:rtl/>
        </w:rPr>
        <w:tab/>
      </w:r>
      <w:r>
        <w:rPr>
          <w:rFonts w:hint="cs"/>
          <w:rtl/>
        </w:rPr>
        <w:tab/>
        <w:t>כן ראו דברי בית המשפט ב</w:t>
      </w:r>
      <w:hyperlink r:id="rId32" w:history="1">
        <w:r w:rsidR="00357D0D" w:rsidRPr="00357D0D">
          <w:rPr>
            <w:color w:val="0000FF"/>
            <w:u w:val="single"/>
            <w:rtl/>
          </w:rPr>
          <w:t>ע"פ 135/17</w:t>
        </w:r>
      </w:hyperlink>
      <w:r>
        <w:rPr>
          <w:rFonts w:hint="cs"/>
          <w:rtl/>
        </w:rPr>
        <w:t xml:space="preserve"> </w:t>
      </w:r>
      <w:r>
        <w:rPr>
          <w:rFonts w:hint="cs"/>
          <w:b/>
          <w:bCs/>
          <w:rtl/>
        </w:rPr>
        <w:t xml:space="preserve">מדינת ישראל נ' סמיר בסך </w:t>
      </w:r>
      <w:r>
        <w:rPr>
          <w:rFonts w:hint="cs"/>
          <w:rtl/>
        </w:rPr>
        <w:t>(8.3.2017):</w:t>
      </w:r>
    </w:p>
    <w:p w14:paraId="2D11839E" w14:textId="77777777" w:rsidR="005E1AC3" w:rsidRDefault="005E1AC3" w:rsidP="005E1AC3">
      <w:pPr>
        <w:pStyle w:val="a9"/>
        <w:jc w:val="both"/>
        <w:rPr>
          <w:i w:val="0"/>
          <w:iCs w:val="0"/>
          <w:rtl/>
        </w:rPr>
      </w:pPr>
      <w:r>
        <w:rPr>
          <w:rFonts w:hint="cs"/>
          <w:i w:val="0"/>
          <w:iCs w:val="0"/>
          <w:rtl/>
        </w:rPr>
        <w:t xml:space="preserve">"בית משפט זה עמד לא פעם על חומרתן של עבירות נשק, ובכללן עבירות של </w:t>
      </w:r>
    </w:p>
    <w:p w14:paraId="13F30165" w14:textId="77777777" w:rsidR="005E1AC3" w:rsidRDefault="005E1AC3" w:rsidP="005E1AC3">
      <w:pPr>
        <w:pStyle w:val="a9"/>
        <w:jc w:val="both"/>
        <w:rPr>
          <w:i w:val="0"/>
          <w:iCs w:val="0"/>
          <w:rtl/>
        </w:rPr>
      </w:pPr>
      <w:r>
        <w:rPr>
          <w:rFonts w:hint="cs"/>
          <w:i w:val="0"/>
          <w:iCs w:val="0"/>
          <w:rtl/>
        </w:rPr>
        <w:t xml:space="preserve">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למשל: </w:t>
      </w:r>
      <w:hyperlink r:id="rId33"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2422/14</w:t>
        </w:r>
      </w:hyperlink>
      <w:r>
        <w:rPr>
          <w:rFonts w:hint="cs"/>
          <w:i w:val="0"/>
          <w:iCs w:val="0"/>
          <w:rtl/>
        </w:rPr>
        <w:t xml:space="preserve"> ח'דר נ' מדינת ישראל, פסקה 10 וההפניות שם (21.12.2014); </w:t>
      </w:r>
      <w:hyperlink r:id="rId34"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2918/13</w:t>
        </w:r>
      </w:hyperlink>
      <w:r>
        <w:rPr>
          <w:rFonts w:hint="cs"/>
          <w:i w:val="0"/>
          <w:iCs w:val="0"/>
          <w:rtl/>
        </w:rPr>
        <w:t xml:space="preserve"> דבר נ' מדינת ישראל, פסקה 8 וההפניות שם (18.7.2013)). לא אחת גם צוין כי קיימת מגמת החמרה הדרגתית בעונשים המושתים על עבריינות נשק (</w:t>
      </w:r>
      <w:hyperlink r:id="rId35"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4945/13</w:t>
        </w:r>
      </w:hyperlink>
      <w:r>
        <w:rPr>
          <w:rFonts w:hint="cs"/>
          <w:i w:val="0"/>
          <w:iCs w:val="0"/>
          <w:rtl/>
        </w:rPr>
        <w:t xml:space="preserve"> מדינת ישראל נ' סלימאן, פסקה 14 וההפניות שם (19.1.2014); </w:t>
      </w:r>
      <w:hyperlink r:id="rId36"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9373/10</w:t>
        </w:r>
      </w:hyperlink>
      <w:r>
        <w:rPr>
          <w:rFonts w:hint="cs"/>
          <w:i w:val="0"/>
          <w:iCs w:val="0"/>
          <w:rtl/>
        </w:rPr>
        <w:t xml:space="preserve"> ותד נ' מדינת ישראל (14.9.2011)".</w:t>
      </w:r>
    </w:p>
    <w:p w14:paraId="6C892D9F" w14:textId="77777777" w:rsidR="005E1AC3" w:rsidRPr="00AB7EFB" w:rsidRDefault="005E1AC3" w:rsidP="005E1AC3">
      <w:pPr>
        <w:rPr>
          <w:rtl/>
        </w:rPr>
      </w:pPr>
    </w:p>
    <w:p w14:paraId="65A813DC" w14:textId="77777777" w:rsidR="005E1AC3" w:rsidRDefault="005E1AC3" w:rsidP="005E1AC3">
      <w:pPr>
        <w:spacing w:line="360" w:lineRule="auto"/>
        <w:ind w:hanging="567"/>
        <w:jc w:val="both"/>
        <w:rPr>
          <w:rtl/>
        </w:rPr>
      </w:pPr>
      <w:r>
        <w:rPr>
          <w:rFonts w:hint="cs"/>
          <w:rtl/>
        </w:rPr>
        <w:t>8.</w:t>
      </w:r>
      <w:r>
        <w:rPr>
          <w:rFonts w:hint="cs"/>
          <w:rtl/>
        </w:rPr>
        <w:tab/>
        <w:t>בבואי לקבוע את מתחם העונש ההולם בענייננו, הרי שמעבר לערכים החברתיים שנפגעו כתוצאה מביצוע העבירות, הבאתי בחשבון את חלקו של הנאשם בביצוען שהינו מוחלט וכן את העובדה שלנאשם לא הייתה סיבה מוצדקת לביצוע העבירות. לא מצאתי יסוד לטענת הסנגור לפיה מדובר בנאשם הסובל ממגבלה שכלית המקשה עליו להבין את הפסול שבמעשיו או את משמעותם. כמו כן, לא מצאתי מקום לטענה כי מדובר בנאשם המצוי בקרבה לסייג לאחריות פלילי. עיון בתעודה הרפואית מיום 24.7.18 אשר הונחה בפניי, מלמד כי אין עדות לכך שבעת ביצוע מעשיו נשוא הדיון היה הנאשם שרוי במצב פסיכוטי פעיל והתנהגותו הייתה מאורגנת ומכוונת מטרה. לא זו אף זו, מאותה תעודה רפואית עולה כי לא מדובר במי שסובל ממחלה נפשית ואין עדות לקיום ליקויים קוגניטיביים, אף לא בעקבות הניסיון האובדני משנת 2016. יחד עם זאת, נסיבות חייו הקשות המפורטות באותה חוות דעת יילקחו בחשבון בעת גזירת העונש בתוך המתחם.</w:t>
      </w:r>
    </w:p>
    <w:p w14:paraId="7C0EDCB9" w14:textId="77777777" w:rsidR="005E1AC3" w:rsidRDefault="005E1AC3" w:rsidP="005E1AC3">
      <w:pPr>
        <w:spacing w:line="360" w:lineRule="auto"/>
        <w:ind w:hanging="567"/>
        <w:jc w:val="both"/>
        <w:rPr>
          <w:rtl/>
        </w:rPr>
      </w:pPr>
    </w:p>
    <w:p w14:paraId="6136A46F" w14:textId="77777777" w:rsidR="005E1AC3" w:rsidRDefault="005E1AC3" w:rsidP="005E1AC3">
      <w:pPr>
        <w:spacing w:line="360" w:lineRule="auto"/>
        <w:ind w:hanging="567"/>
        <w:jc w:val="both"/>
        <w:rPr>
          <w:rtl/>
        </w:rPr>
      </w:pPr>
      <w:r>
        <w:rPr>
          <w:rFonts w:hint="cs"/>
          <w:rtl/>
        </w:rPr>
        <w:t>9.</w:t>
      </w:r>
      <w:r>
        <w:rPr>
          <w:rFonts w:hint="cs"/>
          <w:rtl/>
        </w:rPr>
        <w:tab/>
        <w:t>על יסוד מקבץ האמור, אני קובע כי מתחם העונש ההולם את נסיבות התיק דנא, נע בין 24-18 חודשי מאסר בפועל בצירוף עונשים נלווים.</w:t>
      </w:r>
    </w:p>
    <w:p w14:paraId="084F20A7" w14:textId="77777777" w:rsidR="005E1AC3" w:rsidRDefault="005E1AC3" w:rsidP="005E1AC3">
      <w:pPr>
        <w:spacing w:line="360" w:lineRule="auto"/>
        <w:ind w:hanging="567"/>
        <w:jc w:val="both"/>
        <w:rPr>
          <w:rtl/>
        </w:rPr>
      </w:pPr>
    </w:p>
    <w:p w14:paraId="5EA4507A" w14:textId="77777777" w:rsidR="005E1AC3" w:rsidRDefault="005E1AC3" w:rsidP="005E1AC3">
      <w:pPr>
        <w:spacing w:line="360" w:lineRule="auto"/>
        <w:ind w:hanging="567"/>
        <w:jc w:val="both"/>
        <w:rPr>
          <w:rtl/>
        </w:rPr>
      </w:pPr>
      <w:r>
        <w:rPr>
          <w:rFonts w:hint="cs"/>
          <w:rtl/>
        </w:rPr>
        <w:t>10.</w:t>
      </w:r>
      <w:r>
        <w:rPr>
          <w:rFonts w:hint="cs"/>
          <w:rtl/>
        </w:rPr>
        <w:tab/>
        <w:t xml:space="preserve">בבואי לגזור את דינו של הנאשם בתוך המתחם ראיתי להביא בחשבון את הודאתו בעבירות המיוחסות לו בשלב מוקדם של הדיון ועוד בטרם החלה שמיעת הראיות. הודאתו, לא זו בלבד שהביאה לחיסכון בזמן שיפוטי יקר, אלא שהיא טומנת בחובה נטילת אחריות על מעשיו. </w:t>
      </w:r>
    </w:p>
    <w:p w14:paraId="60B03FCB" w14:textId="77777777" w:rsidR="005E1AC3" w:rsidRDefault="005E1AC3" w:rsidP="005E1AC3">
      <w:pPr>
        <w:spacing w:line="360" w:lineRule="auto"/>
        <w:ind w:hanging="567"/>
        <w:jc w:val="both"/>
        <w:rPr>
          <w:rtl/>
        </w:rPr>
      </w:pPr>
    </w:p>
    <w:p w14:paraId="648C4907" w14:textId="77777777" w:rsidR="005E1AC3" w:rsidRDefault="005E1AC3" w:rsidP="005E1AC3">
      <w:pPr>
        <w:spacing w:line="360" w:lineRule="auto"/>
        <w:ind w:hanging="567"/>
        <w:jc w:val="both"/>
        <w:rPr>
          <w:rtl/>
        </w:rPr>
      </w:pPr>
      <w:r>
        <w:rPr>
          <w:rFonts w:hint="cs"/>
          <w:rtl/>
        </w:rPr>
        <w:tab/>
        <w:t>בנוסף, הבאתי בחשבון את גילו הצעיר של הנאשם והעובדה כי הוא נעדר כל עבר פלילי וזוהי הסתבכותו הראשונה עם החוק.</w:t>
      </w:r>
    </w:p>
    <w:p w14:paraId="74DA7C2A" w14:textId="77777777" w:rsidR="005E1AC3" w:rsidRDefault="005E1AC3" w:rsidP="005E1AC3">
      <w:pPr>
        <w:spacing w:line="360" w:lineRule="auto"/>
        <w:ind w:hanging="567"/>
        <w:jc w:val="both"/>
        <w:rPr>
          <w:rtl/>
        </w:rPr>
      </w:pPr>
    </w:p>
    <w:p w14:paraId="7CDA434D" w14:textId="77777777" w:rsidR="005E1AC3" w:rsidRDefault="005E1AC3" w:rsidP="005E1AC3">
      <w:pPr>
        <w:spacing w:line="360" w:lineRule="auto"/>
        <w:ind w:hanging="567"/>
        <w:jc w:val="both"/>
        <w:rPr>
          <w:rtl/>
        </w:rPr>
      </w:pPr>
      <w:r>
        <w:rPr>
          <w:rFonts w:hint="cs"/>
          <w:rtl/>
        </w:rPr>
        <w:tab/>
        <w:t>כמו כן, וכפי שצוין לעיל, הבאתי בחשבון את נסיבות חייו האישיות המורכבות, כפי שפורטו בתעודה הרפואית מיום 24.7.18 וכפי העולה מהתיעוד האחר שהוצג מטעם ההגנה.</w:t>
      </w:r>
    </w:p>
    <w:p w14:paraId="5C54DE7A" w14:textId="77777777" w:rsidR="005E1AC3" w:rsidRDefault="005E1AC3" w:rsidP="005E1AC3">
      <w:pPr>
        <w:spacing w:line="360" w:lineRule="auto"/>
        <w:ind w:hanging="567"/>
        <w:jc w:val="both"/>
        <w:rPr>
          <w:rtl/>
        </w:rPr>
      </w:pPr>
    </w:p>
    <w:p w14:paraId="3EE7D1C0" w14:textId="77777777" w:rsidR="005E1AC3" w:rsidRDefault="005E1AC3" w:rsidP="005E1AC3">
      <w:pPr>
        <w:spacing w:line="360" w:lineRule="auto"/>
        <w:ind w:hanging="567"/>
        <w:jc w:val="both"/>
        <w:rPr>
          <w:rtl/>
        </w:rPr>
      </w:pPr>
    </w:p>
    <w:p w14:paraId="5E668E03" w14:textId="77777777" w:rsidR="005E1AC3" w:rsidRDefault="005E1AC3" w:rsidP="005E1AC3">
      <w:pPr>
        <w:spacing w:line="360" w:lineRule="auto"/>
        <w:ind w:hanging="567"/>
        <w:jc w:val="both"/>
        <w:rPr>
          <w:rtl/>
        </w:rPr>
      </w:pPr>
    </w:p>
    <w:p w14:paraId="1F62EC13" w14:textId="77777777" w:rsidR="005E1AC3" w:rsidRDefault="005E1AC3" w:rsidP="005E1AC3">
      <w:pPr>
        <w:spacing w:line="360" w:lineRule="auto"/>
        <w:ind w:hanging="567"/>
        <w:jc w:val="both"/>
        <w:rPr>
          <w:rtl/>
        </w:rPr>
      </w:pPr>
    </w:p>
    <w:p w14:paraId="3107465B" w14:textId="77777777" w:rsidR="005E1AC3" w:rsidRDefault="005E1AC3" w:rsidP="005E1AC3">
      <w:pPr>
        <w:spacing w:line="360" w:lineRule="auto"/>
        <w:ind w:hanging="567"/>
        <w:jc w:val="both"/>
        <w:rPr>
          <w:rtl/>
        </w:rPr>
      </w:pPr>
    </w:p>
    <w:p w14:paraId="7F22E666" w14:textId="77777777" w:rsidR="005E1AC3" w:rsidRDefault="005E1AC3" w:rsidP="005E1AC3">
      <w:pPr>
        <w:spacing w:line="360" w:lineRule="auto"/>
        <w:ind w:hanging="567"/>
        <w:jc w:val="both"/>
        <w:rPr>
          <w:rtl/>
        </w:rPr>
      </w:pPr>
    </w:p>
    <w:p w14:paraId="78EDD2FC" w14:textId="77777777" w:rsidR="005E1AC3" w:rsidRDefault="005E1AC3" w:rsidP="005E1AC3">
      <w:pPr>
        <w:spacing w:line="360" w:lineRule="auto"/>
        <w:ind w:hanging="567"/>
        <w:jc w:val="both"/>
        <w:rPr>
          <w:rtl/>
        </w:rPr>
      </w:pPr>
    </w:p>
    <w:p w14:paraId="56C3F82B" w14:textId="77777777" w:rsidR="005E1AC3" w:rsidRDefault="005E1AC3" w:rsidP="005E1AC3">
      <w:pPr>
        <w:spacing w:line="360" w:lineRule="auto"/>
        <w:ind w:hanging="567"/>
        <w:jc w:val="both"/>
        <w:rPr>
          <w:rtl/>
        </w:rPr>
      </w:pPr>
      <w:r>
        <w:rPr>
          <w:rFonts w:hint="cs"/>
          <w:rtl/>
        </w:rPr>
        <w:t>11.</w:t>
      </w:r>
      <w:r>
        <w:rPr>
          <w:rFonts w:hint="cs"/>
          <w:rtl/>
        </w:rPr>
        <w:tab/>
        <w:t>לפיכך, אני גוזר על הנאשם את העונשים הבאים:</w:t>
      </w:r>
    </w:p>
    <w:p w14:paraId="371475BE" w14:textId="77777777" w:rsidR="005E1AC3" w:rsidRDefault="005E1AC3" w:rsidP="005E1AC3">
      <w:pPr>
        <w:spacing w:line="360" w:lineRule="auto"/>
        <w:ind w:hanging="567"/>
        <w:jc w:val="both"/>
        <w:rPr>
          <w:rtl/>
        </w:rPr>
      </w:pPr>
    </w:p>
    <w:p w14:paraId="26F5D7FC" w14:textId="77777777" w:rsidR="005E1AC3" w:rsidRDefault="005E1AC3" w:rsidP="005E1AC3">
      <w:pPr>
        <w:spacing w:line="360" w:lineRule="auto"/>
        <w:ind w:hanging="567"/>
        <w:jc w:val="both"/>
        <w:rPr>
          <w:rtl/>
        </w:rPr>
      </w:pPr>
      <w:r>
        <w:rPr>
          <w:rFonts w:hint="cs"/>
          <w:rtl/>
        </w:rPr>
        <w:tab/>
        <w:t>א.</w:t>
      </w:r>
      <w:r>
        <w:rPr>
          <w:rFonts w:hint="cs"/>
          <w:rtl/>
        </w:rPr>
        <w:tab/>
        <w:t>18 חודשי מאסר בפועל בניכוי ימי מעצרו מיום  29.4.18.</w:t>
      </w:r>
      <w:r>
        <w:rPr>
          <w:rFonts w:hint="cs"/>
          <w:rtl/>
        </w:rPr>
        <w:tab/>
      </w:r>
    </w:p>
    <w:p w14:paraId="406BAFD8" w14:textId="77777777" w:rsidR="005E1AC3" w:rsidRDefault="005E1AC3" w:rsidP="005E1AC3">
      <w:pPr>
        <w:spacing w:line="360" w:lineRule="auto"/>
        <w:ind w:hanging="567"/>
        <w:jc w:val="both"/>
        <w:rPr>
          <w:rtl/>
        </w:rPr>
      </w:pPr>
    </w:p>
    <w:p w14:paraId="7E45CE60" w14:textId="77777777" w:rsidR="005E1AC3" w:rsidRDefault="005E1AC3" w:rsidP="005E1AC3">
      <w:pPr>
        <w:spacing w:line="360" w:lineRule="auto"/>
        <w:ind w:hanging="1134"/>
        <w:jc w:val="both"/>
        <w:rPr>
          <w:rtl/>
        </w:rPr>
      </w:pPr>
      <w:r>
        <w:rPr>
          <w:rFonts w:hint="cs"/>
          <w:rtl/>
        </w:rPr>
        <w:tab/>
        <w:t>ב.</w:t>
      </w:r>
      <w:r>
        <w:rPr>
          <w:rFonts w:hint="cs"/>
          <w:rtl/>
        </w:rPr>
        <w:tab/>
        <w:t>12 חודשי מאסר על תנאי לבל יעבור משך 3 שנים כל עבירת נשק מסוג פשע ויורשע בגינה.</w:t>
      </w:r>
    </w:p>
    <w:p w14:paraId="570B4211" w14:textId="77777777" w:rsidR="005E1AC3" w:rsidRDefault="005E1AC3" w:rsidP="005E1AC3">
      <w:pPr>
        <w:spacing w:line="360" w:lineRule="auto"/>
        <w:ind w:hanging="1134"/>
        <w:jc w:val="both"/>
        <w:rPr>
          <w:rtl/>
        </w:rPr>
      </w:pPr>
    </w:p>
    <w:p w14:paraId="65F2767E" w14:textId="77777777" w:rsidR="005E1AC3" w:rsidRDefault="005E1AC3" w:rsidP="005E1AC3">
      <w:pPr>
        <w:spacing w:line="360" w:lineRule="auto"/>
        <w:ind w:left="567" w:hanging="567"/>
        <w:jc w:val="both"/>
        <w:rPr>
          <w:rtl/>
        </w:rPr>
      </w:pPr>
      <w:r>
        <w:rPr>
          <w:rFonts w:hint="cs"/>
          <w:rtl/>
        </w:rPr>
        <w:t>ג.</w:t>
      </w:r>
      <w:r>
        <w:rPr>
          <w:rFonts w:hint="cs"/>
          <w:rtl/>
        </w:rPr>
        <w:tab/>
        <w:t>6 חודשי מאסר על תנאי לבל יעבור הנאשם משך 3 שנים כל עבירת נשק מסוג עוון ויורשע בגינה.</w:t>
      </w:r>
    </w:p>
    <w:p w14:paraId="21B8A454" w14:textId="77777777" w:rsidR="005E1AC3" w:rsidRDefault="005E1AC3" w:rsidP="005E1AC3">
      <w:pPr>
        <w:spacing w:line="360" w:lineRule="auto"/>
        <w:ind w:hanging="1134"/>
        <w:jc w:val="both"/>
        <w:rPr>
          <w:rtl/>
        </w:rPr>
      </w:pPr>
    </w:p>
    <w:p w14:paraId="4384FB37" w14:textId="77777777" w:rsidR="005E1AC3" w:rsidRDefault="005E1AC3" w:rsidP="005E1AC3">
      <w:pPr>
        <w:spacing w:line="360" w:lineRule="auto"/>
        <w:ind w:hanging="1134"/>
        <w:jc w:val="both"/>
        <w:rPr>
          <w:rtl/>
        </w:rPr>
      </w:pPr>
      <w:r>
        <w:rPr>
          <w:rFonts w:hint="cs"/>
          <w:rtl/>
        </w:rPr>
        <w:tab/>
        <w:t xml:space="preserve">זכות ערעור לבית המשפט העליון תוך 45 ימים מהיום. </w:t>
      </w:r>
    </w:p>
    <w:p w14:paraId="5FA63882" w14:textId="77777777" w:rsidR="005E1AC3" w:rsidRDefault="005E1AC3" w:rsidP="005E1AC3">
      <w:pPr>
        <w:spacing w:line="360" w:lineRule="auto"/>
        <w:ind w:hanging="567"/>
        <w:jc w:val="both"/>
        <w:rPr>
          <w:rtl/>
        </w:rPr>
      </w:pPr>
      <w:r>
        <w:rPr>
          <w:rFonts w:hint="cs"/>
          <w:rtl/>
        </w:rPr>
        <w:tab/>
      </w:r>
    </w:p>
    <w:p w14:paraId="06D2B0AA" w14:textId="77777777" w:rsidR="005E1AC3" w:rsidRPr="00357D0D" w:rsidRDefault="00357D0D" w:rsidP="005E1AC3">
      <w:pPr>
        <w:rPr>
          <w:color w:val="FFFFFF"/>
          <w:sz w:val="2"/>
          <w:szCs w:val="2"/>
          <w:rtl/>
        </w:rPr>
      </w:pPr>
      <w:r w:rsidRPr="00357D0D">
        <w:rPr>
          <w:color w:val="FFFFFF"/>
          <w:sz w:val="2"/>
          <w:szCs w:val="2"/>
          <w:rtl/>
        </w:rPr>
        <w:t>5129371</w:t>
      </w:r>
    </w:p>
    <w:p w14:paraId="5BD030A3" w14:textId="77777777" w:rsidR="005E1AC3" w:rsidRDefault="00357D0D" w:rsidP="005E1AC3">
      <w:pPr>
        <w:rPr>
          <w:rFonts w:cs="FrankRuehl"/>
          <w:sz w:val="28"/>
          <w:szCs w:val="28"/>
          <w:rtl/>
        </w:rPr>
      </w:pPr>
      <w:r w:rsidRPr="00357D0D">
        <w:rPr>
          <w:rFonts w:ascii="Arial" w:hAnsi="Arial"/>
          <w:color w:val="FFFFFF"/>
          <w:sz w:val="2"/>
          <w:szCs w:val="2"/>
          <w:rtl/>
        </w:rPr>
        <w:t>54678313</w:t>
      </w:r>
      <w:r>
        <w:rPr>
          <w:rFonts w:ascii="Arial" w:hAnsi="Arial"/>
          <w:rtl/>
        </w:rPr>
        <w:t xml:space="preserve">ניתן היום,  כ"ג חשוון תשע"ט, 01 נובמבר 2018, בנוכחות הצדדים. </w:t>
      </w:r>
    </w:p>
    <w:p w14:paraId="5CE6D6F9" w14:textId="77777777" w:rsidR="005E1AC3" w:rsidRDefault="005E1AC3" w:rsidP="005E1A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D1EEAB" w14:textId="77777777" w:rsidR="005E1AC3" w:rsidRDefault="005E1AC3" w:rsidP="005E1AC3">
      <w:pPr>
        <w:jc w:val="center"/>
        <w:rPr>
          <w:rFonts w:ascii="Arial" w:hAnsi="Arial" w:cs="FrankRuehl"/>
          <w:sz w:val="28"/>
          <w:szCs w:val="28"/>
          <w:rtl/>
        </w:rPr>
      </w:pPr>
    </w:p>
    <w:p w14:paraId="76BDD249" w14:textId="77777777" w:rsidR="005E1AC3" w:rsidRDefault="005E1AC3" w:rsidP="005E1AC3">
      <w:pPr>
        <w:rPr>
          <w:rFonts w:cs="FrankRuehl"/>
          <w:sz w:val="28"/>
          <w:szCs w:val="28"/>
          <w:rtl/>
        </w:rPr>
      </w:pPr>
    </w:p>
    <w:p w14:paraId="6B393540" w14:textId="77777777" w:rsidR="005E1AC3" w:rsidRPr="00A73825" w:rsidRDefault="00A73825" w:rsidP="005E1AC3">
      <w:pPr>
        <w:pStyle w:val="a3"/>
        <w:jc w:val="center"/>
        <w:rPr>
          <w:color w:val="FFFFFF"/>
          <w:sz w:val="2"/>
          <w:szCs w:val="2"/>
          <w:rtl/>
        </w:rPr>
      </w:pPr>
      <w:r w:rsidRPr="00A73825">
        <w:rPr>
          <w:color w:val="FFFFFF"/>
          <w:sz w:val="2"/>
          <w:szCs w:val="2"/>
          <w:rtl/>
        </w:rPr>
        <w:t>5129371</w:t>
      </w:r>
    </w:p>
    <w:p w14:paraId="0CBCC679" w14:textId="77777777" w:rsidR="00CB6CE3" w:rsidRPr="00A73825" w:rsidRDefault="00A73825" w:rsidP="00357D0D">
      <w:pPr>
        <w:keepNext/>
        <w:rPr>
          <w:rFonts w:ascii="David" w:hAnsi="David"/>
          <w:color w:val="FFFFFF"/>
          <w:sz w:val="2"/>
          <w:szCs w:val="2"/>
          <w:rtl/>
        </w:rPr>
      </w:pPr>
      <w:r w:rsidRPr="00A73825">
        <w:rPr>
          <w:rFonts w:ascii="David" w:hAnsi="David"/>
          <w:color w:val="FFFFFF"/>
          <w:sz w:val="2"/>
          <w:szCs w:val="2"/>
          <w:rtl/>
        </w:rPr>
        <w:t>54678313</w:t>
      </w:r>
    </w:p>
    <w:p w14:paraId="4116CAED" w14:textId="77777777" w:rsidR="00357D0D" w:rsidRPr="00357D0D" w:rsidRDefault="00357D0D" w:rsidP="00357D0D">
      <w:pPr>
        <w:keepNext/>
        <w:rPr>
          <w:rFonts w:ascii="David" w:hAnsi="David"/>
          <w:color w:val="000000"/>
          <w:sz w:val="22"/>
          <w:szCs w:val="22"/>
          <w:rtl/>
        </w:rPr>
      </w:pPr>
      <w:r w:rsidRPr="00357D0D">
        <w:rPr>
          <w:rFonts w:ascii="David" w:hAnsi="David"/>
          <w:color w:val="000000"/>
          <w:sz w:val="22"/>
          <w:szCs w:val="22"/>
          <w:rtl/>
        </w:rPr>
        <w:t>אמיר טובי 54678313</w:t>
      </w:r>
    </w:p>
    <w:p w14:paraId="2273BE11" w14:textId="77777777" w:rsidR="00357D0D" w:rsidRDefault="00357D0D" w:rsidP="00357D0D">
      <w:r w:rsidRPr="00357D0D">
        <w:rPr>
          <w:color w:val="000000"/>
          <w:rtl/>
        </w:rPr>
        <w:t>נוסח מסמך זה כפוף לשינויי ניסוח ועריכה</w:t>
      </w:r>
    </w:p>
    <w:p w14:paraId="4D4F4F18" w14:textId="77777777" w:rsidR="00357D0D" w:rsidRDefault="00357D0D" w:rsidP="00357D0D">
      <w:pPr>
        <w:rPr>
          <w:rtl/>
        </w:rPr>
      </w:pPr>
    </w:p>
    <w:p w14:paraId="769A190B" w14:textId="77777777" w:rsidR="00357D0D" w:rsidRDefault="00357D0D" w:rsidP="00357D0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0BFA639" w14:textId="77777777" w:rsidR="00357D0D" w:rsidRPr="00357D0D" w:rsidRDefault="00357D0D" w:rsidP="00A73825">
      <w:pPr>
        <w:rPr>
          <w:color w:val="0000FF"/>
          <w:u w:val="single"/>
        </w:rPr>
      </w:pPr>
    </w:p>
    <w:sectPr w:rsidR="00357D0D" w:rsidRPr="00357D0D" w:rsidSect="00A7382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D7F6" w14:textId="77777777" w:rsidR="009203F3" w:rsidRDefault="009203F3" w:rsidP="001327AE">
      <w:r>
        <w:separator/>
      </w:r>
    </w:p>
  </w:endnote>
  <w:endnote w:type="continuationSeparator" w:id="0">
    <w:p w14:paraId="120846EC" w14:textId="77777777" w:rsidR="009203F3" w:rsidRDefault="009203F3" w:rsidP="0013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1837" w14:textId="77777777" w:rsidR="00A73825" w:rsidRDefault="00A73825" w:rsidP="00A738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5BBAB1" w14:textId="77777777" w:rsidR="00E54AC2" w:rsidRPr="00A73825" w:rsidRDefault="00A73825" w:rsidP="00A73825">
    <w:pPr>
      <w:pStyle w:val="a5"/>
      <w:pBdr>
        <w:top w:val="single" w:sz="4" w:space="1" w:color="auto"/>
        <w:between w:val="single" w:sz="4" w:space="0" w:color="auto"/>
      </w:pBdr>
      <w:spacing w:after="60"/>
      <w:jc w:val="center"/>
      <w:rPr>
        <w:rFonts w:ascii="FrankRuehl" w:hAnsi="FrankRuehl" w:cs="FrankRuehl"/>
        <w:color w:val="000000"/>
      </w:rPr>
    </w:pPr>
    <w:r w:rsidRPr="00A738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1D98" w14:textId="77777777" w:rsidR="00A73825" w:rsidRDefault="00A73825" w:rsidP="00A738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E10">
      <w:rPr>
        <w:rFonts w:ascii="FrankRuehl" w:hAnsi="FrankRuehl" w:cs="FrankRuehl"/>
        <w:noProof/>
        <w:rtl/>
      </w:rPr>
      <w:t>1</w:t>
    </w:r>
    <w:r>
      <w:rPr>
        <w:rFonts w:ascii="FrankRuehl" w:hAnsi="FrankRuehl" w:cs="FrankRuehl"/>
        <w:rtl/>
      </w:rPr>
      <w:fldChar w:fldCharType="end"/>
    </w:r>
  </w:p>
  <w:p w14:paraId="075A0186" w14:textId="77777777" w:rsidR="00E54AC2" w:rsidRPr="00A73825" w:rsidRDefault="00A73825" w:rsidP="00A73825">
    <w:pPr>
      <w:pStyle w:val="a5"/>
      <w:pBdr>
        <w:top w:val="single" w:sz="4" w:space="1" w:color="auto"/>
        <w:between w:val="single" w:sz="4" w:space="0" w:color="auto"/>
      </w:pBdr>
      <w:spacing w:after="60"/>
      <w:jc w:val="center"/>
      <w:rPr>
        <w:rFonts w:ascii="FrankRuehl" w:hAnsi="FrankRuehl" w:cs="FrankRuehl"/>
        <w:color w:val="000000"/>
      </w:rPr>
    </w:pPr>
    <w:r w:rsidRPr="00A73825">
      <w:rPr>
        <w:rFonts w:ascii="FrankRuehl" w:hAnsi="FrankRuehl" w:cs="FrankRuehl"/>
        <w:color w:val="000000"/>
      </w:rPr>
      <w:pict w14:anchorId="51E34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3D68" w14:textId="77777777" w:rsidR="009203F3" w:rsidRDefault="009203F3" w:rsidP="001327AE">
      <w:r>
        <w:separator/>
      </w:r>
    </w:p>
  </w:footnote>
  <w:footnote w:type="continuationSeparator" w:id="0">
    <w:p w14:paraId="7C6E6937" w14:textId="77777777" w:rsidR="009203F3" w:rsidRDefault="009203F3" w:rsidP="00132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C5E2" w14:textId="77777777" w:rsidR="00357D0D" w:rsidRPr="00A73825" w:rsidRDefault="00A73825" w:rsidP="00A738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42697-05-18</w:t>
    </w:r>
    <w:r>
      <w:rPr>
        <w:rFonts w:ascii="David" w:hAnsi="David"/>
        <w:color w:val="000000"/>
        <w:sz w:val="22"/>
        <w:szCs w:val="22"/>
        <w:rtl/>
      </w:rPr>
      <w:tab/>
      <w:t xml:space="preserve"> מדינת ישראל נ' אמיר בוקאעי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F3E0" w14:textId="77777777" w:rsidR="00357D0D" w:rsidRPr="00A73825" w:rsidRDefault="00A73825" w:rsidP="00A738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42697-05-18</w:t>
    </w:r>
    <w:r>
      <w:rPr>
        <w:rFonts w:ascii="David" w:hAnsi="David"/>
        <w:color w:val="000000"/>
        <w:sz w:val="22"/>
        <w:szCs w:val="22"/>
        <w:rtl/>
      </w:rPr>
      <w:tab/>
      <w:t xml:space="preserve"> מדינת ישראל נ' אמיר בוקאעי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1AC3"/>
    <w:rsid w:val="001327AE"/>
    <w:rsid w:val="001428EB"/>
    <w:rsid w:val="00357D0D"/>
    <w:rsid w:val="0044208B"/>
    <w:rsid w:val="005E1AC3"/>
    <w:rsid w:val="00635BE9"/>
    <w:rsid w:val="006F3D28"/>
    <w:rsid w:val="00733F86"/>
    <w:rsid w:val="009203F3"/>
    <w:rsid w:val="009D2F63"/>
    <w:rsid w:val="00A73825"/>
    <w:rsid w:val="00CB6CE3"/>
    <w:rsid w:val="00E54AC2"/>
    <w:rsid w:val="00F45E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CE8482"/>
  <w15:chartTrackingRefBased/>
  <w15:docId w15:val="{CE600744-C60A-4114-AF2D-278157AC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1A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1AC3"/>
    <w:pPr>
      <w:tabs>
        <w:tab w:val="center" w:pos="4153"/>
        <w:tab w:val="right" w:pos="8306"/>
      </w:tabs>
    </w:pPr>
  </w:style>
  <w:style w:type="character" w:customStyle="1" w:styleId="a4">
    <w:name w:val="כותרת עליונה תו"/>
    <w:link w:val="a3"/>
    <w:rsid w:val="005E1AC3"/>
    <w:rPr>
      <w:rFonts w:ascii="Times New Roman" w:eastAsia="Times New Roman" w:hAnsi="Times New Roman" w:cs="David"/>
      <w:sz w:val="24"/>
      <w:szCs w:val="24"/>
    </w:rPr>
  </w:style>
  <w:style w:type="paragraph" w:styleId="a5">
    <w:name w:val="footer"/>
    <w:basedOn w:val="a"/>
    <w:link w:val="a6"/>
    <w:rsid w:val="005E1AC3"/>
    <w:pPr>
      <w:tabs>
        <w:tab w:val="center" w:pos="4153"/>
        <w:tab w:val="right" w:pos="8306"/>
      </w:tabs>
    </w:pPr>
  </w:style>
  <w:style w:type="character" w:customStyle="1" w:styleId="a6">
    <w:name w:val="כותרת תחתונה תו"/>
    <w:link w:val="a5"/>
    <w:rsid w:val="005E1AC3"/>
    <w:rPr>
      <w:rFonts w:ascii="Times New Roman" w:eastAsia="Times New Roman" w:hAnsi="Times New Roman" w:cs="David"/>
      <w:sz w:val="24"/>
      <w:szCs w:val="24"/>
    </w:rPr>
  </w:style>
  <w:style w:type="table" w:styleId="a7">
    <w:name w:val="Table Grid"/>
    <w:basedOn w:val="a1"/>
    <w:rsid w:val="005E1A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1AC3"/>
  </w:style>
  <w:style w:type="paragraph" w:customStyle="1" w:styleId="12">
    <w:name w:val="רגיל + ‏12 נק'"/>
    <w:aliases w:val="מיושר לשני הצדדים,מרווח בין שורות:  שורה וחצי"/>
    <w:basedOn w:val="a"/>
    <w:rsid w:val="005E1AC3"/>
    <w:rPr>
      <w:b/>
      <w:bCs/>
      <w:u w:val="single"/>
    </w:rPr>
  </w:style>
  <w:style w:type="character" w:customStyle="1" w:styleId="TimesNewRomanTimesNewRoman">
    <w:name w:val="סגנון (לטיני) Times New Roman (עברית ושפות אחרות) Times New Roman..."/>
    <w:rsid w:val="005E1AC3"/>
    <w:rPr>
      <w:rFonts w:ascii="Times New Roman" w:hAnsi="Times New Roman" w:cs="David" w:hint="default"/>
      <w:b/>
      <w:bCs/>
      <w:sz w:val="26"/>
      <w:szCs w:val="26"/>
    </w:rPr>
  </w:style>
  <w:style w:type="paragraph" w:styleId="a9">
    <w:name w:val="Quote"/>
    <w:basedOn w:val="a"/>
    <w:next w:val="a"/>
    <w:link w:val="aa"/>
    <w:qFormat/>
    <w:rsid w:val="005E1AC3"/>
    <w:pPr>
      <w:tabs>
        <w:tab w:val="left" w:pos="567"/>
        <w:tab w:val="left" w:pos="1134"/>
        <w:tab w:val="left" w:pos="1701"/>
      </w:tabs>
      <w:spacing w:before="200" w:after="160" w:line="360" w:lineRule="auto"/>
      <w:ind w:left="864" w:right="864"/>
      <w:jc w:val="center"/>
    </w:pPr>
    <w:rPr>
      <w:rFonts w:ascii="Calibri" w:eastAsia="Calibri" w:hAnsi="Calibri"/>
      <w:i/>
      <w:iCs/>
      <w:color w:val="404040"/>
    </w:rPr>
  </w:style>
  <w:style w:type="character" w:customStyle="1" w:styleId="aa">
    <w:name w:val="ציטוט תו"/>
    <w:link w:val="a9"/>
    <w:rsid w:val="005E1AC3"/>
    <w:rPr>
      <w:rFonts w:ascii="Calibri" w:eastAsia="Calibri" w:hAnsi="Calibri" w:cs="David"/>
      <w:i/>
      <w:iCs/>
      <w:color w:val="404040"/>
      <w:sz w:val="24"/>
      <w:szCs w:val="24"/>
    </w:rPr>
  </w:style>
  <w:style w:type="character" w:styleId="Hyperlink">
    <w:name w:val="Hyperlink"/>
    <w:rsid w:val="005E1AC3"/>
    <w:rPr>
      <w:color w:val="0000FF"/>
      <w:u w:val="single"/>
    </w:rPr>
  </w:style>
  <w:style w:type="paragraph" w:styleId="ab">
    <w:name w:val="Balloon Text"/>
    <w:basedOn w:val="a"/>
    <w:link w:val="ac"/>
    <w:rsid w:val="005E1AC3"/>
    <w:rPr>
      <w:rFonts w:ascii="Tahoma" w:hAnsi="Tahoma" w:cs="Tahoma"/>
      <w:sz w:val="16"/>
      <w:szCs w:val="16"/>
    </w:rPr>
  </w:style>
  <w:style w:type="character" w:customStyle="1" w:styleId="ac">
    <w:name w:val="טקסט בלונים תו"/>
    <w:link w:val="ab"/>
    <w:rsid w:val="005E1A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817891" TargetMode="External"/><Relationship Id="rId39" Type="http://schemas.openxmlformats.org/officeDocument/2006/relationships/header" Target="header2.xml"/><Relationship Id="rId21" Type="http://schemas.openxmlformats.org/officeDocument/2006/relationships/hyperlink" Target="http://www.nevo.co.il/case/21771409" TargetMode="External"/><Relationship Id="rId34" Type="http://schemas.openxmlformats.org/officeDocument/2006/relationships/hyperlink" Target="http://www.nevo.co.il/case/6950458" TargetMode="External"/><Relationship Id="rId42"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yperlink" Target="http://www.nevo.co.il/case/6473037" TargetMode="External"/><Relationship Id="rId29" Type="http://schemas.openxmlformats.org/officeDocument/2006/relationships/hyperlink" Target="http://www.nevo.co.il/case/13093744"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5594385" TargetMode="External"/><Relationship Id="rId32" Type="http://schemas.openxmlformats.org/officeDocument/2006/relationships/hyperlink" Target="http://www.nevo.co.il/case/2200650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615155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473037" TargetMode="External"/><Relationship Id="rId4" Type="http://schemas.openxmlformats.org/officeDocument/2006/relationships/footnotes" Target="footnotes.xml"/><Relationship Id="rId9" Type="http://schemas.openxmlformats.org/officeDocument/2006/relationships/hyperlink" Target="http://www.nevo.co.il/law/70301/3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17954222" TargetMode="External"/><Relationship Id="rId30" Type="http://schemas.openxmlformats.org/officeDocument/2006/relationships/hyperlink" Target="http://www.nevo.co.il/case/6824952" TargetMode="External"/><Relationship Id="rId35" Type="http://schemas.openxmlformats.org/officeDocument/2006/relationships/hyperlink" Target="http://www.nevo.co.il/case/7791493"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1309091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Words>
  <Characters>9484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11358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3145841</vt:i4>
      </vt:variant>
      <vt:variant>
        <vt:i4>90</vt:i4>
      </vt:variant>
      <vt:variant>
        <vt:i4>0</vt:i4>
      </vt:variant>
      <vt:variant>
        <vt:i4>5</vt:i4>
      </vt:variant>
      <vt:variant>
        <vt:lpwstr>http://www.nevo.co.il/case/6151556</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3145847</vt:i4>
      </vt:variant>
      <vt:variant>
        <vt:i4>81</vt:i4>
      </vt:variant>
      <vt:variant>
        <vt:i4>0</vt:i4>
      </vt:variant>
      <vt:variant>
        <vt:i4>5</vt:i4>
      </vt:variant>
      <vt:variant>
        <vt:lpwstr>http://www.nevo.co.il/case/13090914</vt:lpwstr>
      </vt:variant>
      <vt:variant>
        <vt:lpwstr/>
      </vt:variant>
      <vt:variant>
        <vt:i4>3407987</vt:i4>
      </vt:variant>
      <vt:variant>
        <vt:i4>78</vt:i4>
      </vt:variant>
      <vt:variant>
        <vt:i4>0</vt:i4>
      </vt:variant>
      <vt:variant>
        <vt:i4>5</vt:i4>
      </vt:variant>
      <vt:variant>
        <vt:lpwstr>http://www.nevo.co.il/case/22006503</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3473532</vt:i4>
      </vt:variant>
      <vt:variant>
        <vt:i4>66</vt:i4>
      </vt:variant>
      <vt:variant>
        <vt:i4>0</vt:i4>
      </vt:variant>
      <vt:variant>
        <vt:i4>5</vt:i4>
      </vt:variant>
      <vt:variant>
        <vt:lpwstr>http://www.nevo.co.il/case/6000182</vt:lpwstr>
      </vt:variant>
      <vt:variant>
        <vt:lpwstr/>
      </vt:variant>
      <vt:variant>
        <vt:i4>4063348</vt:i4>
      </vt:variant>
      <vt:variant>
        <vt:i4>63</vt:i4>
      </vt:variant>
      <vt:variant>
        <vt:i4>0</vt:i4>
      </vt:variant>
      <vt:variant>
        <vt:i4>5</vt:i4>
      </vt:variant>
      <vt:variant>
        <vt:lpwstr>http://www.nevo.co.il/case/17954222</vt:lpwstr>
      </vt:variant>
      <vt:variant>
        <vt:lpwstr/>
      </vt:variant>
      <vt:variant>
        <vt:i4>3407997</vt:i4>
      </vt:variant>
      <vt:variant>
        <vt:i4>60</vt:i4>
      </vt:variant>
      <vt:variant>
        <vt:i4>0</vt:i4>
      </vt:variant>
      <vt:variant>
        <vt:i4>5</vt:i4>
      </vt:variant>
      <vt:variant>
        <vt:lpwstr>http://www.nevo.co.il/case/20817891</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3801213</vt:i4>
      </vt:variant>
      <vt:variant>
        <vt:i4>54</vt:i4>
      </vt:variant>
      <vt:variant>
        <vt:i4>0</vt:i4>
      </vt:variant>
      <vt:variant>
        <vt:i4>5</vt:i4>
      </vt:variant>
      <vt:variant>
        <vt:lpwstr>http://www.nevo.co.il/case/5594385</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3407990</vt:i4>
      </vt:variant>
      <vt:variant>
        <vt:i4>45</vt:i4>
      </vt:variant>
      <vt:variant>
        <vt:i4>0</vt:i4>
      </vt:variant>
      <vt:variant>
        <vt:i4>5</vt:i4>
      </vt:variant>
      <vt:variant>
        <vt:lpwstr>http://www.nevo.co.il/case/21771409</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86</vt:i4>
      </vt:variant>
      <vt:variant>
        <vt:i4>30</vt:i4>
      </vt:variant>
      <vt:variant>
        <vt:i4>0</vt:i4>
      </vt:variant>
      <vt:variant>
        <vt:i4>5</vt:i4>
      </vt:variant>
      <vt:variant>
        <vt:lpwstr>http://www.nevo.co.il/law/70301/340a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86</vt:i4>
      </vt:variant>
      <vt:variant>
        <vt:i4>21</vt:i4>
      </vt:variant>
      <vt:variant>
        <vt:i4>0</vt:i4>
      </vt:variant>
      <vt:variant>
        <vt:i4>5</vt:i4>
      </vt:variant>
      <vt:variant>
        <vt:lpwstr>http://www.nevo.co.il/law/70301/340a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2023-12-07T11:49:00Z</dcterms:created>
  <dcterms:modified xsi:type="dcterms:W3CDTF">2023-12-07T11:49:00Z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42697</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בוקאעי  </vt:lpwstr>
  </property>
  <property fmtid="{D5CDD505-2E9C-101B-9397-08002B2CF9AE}" pid="10" name="LAWYER">
    <vt:lpwstr>יוסי גימפל;ליאוניד פרחובניק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20181101</vt:lpwstr>
  </property>
  <property fmtid="{D5CDD505-2E9C-101B-9397-08002B2CF9AE}" pid="14" name="TYPE_N_DATE">
    <vt:lpwstr>39020181101</vt:lpwstr>
  </property>
  <property fmtid="{D5CDD505-2E9C-101B-9397-08002B2CF9AE}" pid="15" name="WORDNUMPAGES">
    <vt:lpwstr>6</vt:lpwstr>
  </property>
  <property fmtid="{D5CDD505-2E9C-101B-9397-08002B2CF9AE}" pid="16" name="TYPE_ABS_DATE">
    <vt:lpwstr>390020181101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6473037:3;21771409;7791493:2;5821327;5594385;20817891;17954222;6000182;13093744;6824952;22006503;13090914;6950458;6151556</vt:lpwstr>
  </property>
  <property fmtid="{D5CDD505-2E9C-101B-9397-08002B2CF9AE}" pid="36" name="LAWLISTTMP1">
    <vt:lpwstr>70301/040i;144.b;340a</vt:lpwstr>
  </property>
</Properties>
</file>