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9"/>
        <w:gridCol w:w="3662"/>
      </w:tblGrid>
      <w:tr w:rsidR="00183B8A" w:rsidRPr="003933E4" w14:paraId="4A692C2C" w14:textId="77777777" w:rsidTr="00FD3783">
        <w:trPr>
          <w:trHeight w:hRule="exact" w:val="418"/>
          <w:jc w:val="center"/>
        </w:trPr>
        <w:tc>
          <w:tcPr>
            <w:tcW w:w="8721" w:type="dxa"/>
            <w:gridSpan w:val="2"/>
          </w:tcPr>
          <w:p w14:paraId="070448CA" w14:textId="77777777" w:rsidR="00183B8A" w:rsidRPr="003933E4" w:rsidRDefault="00183B8A" w:rsidP="00AC50BF">
            <w:pPr>
              <w:pStyle w:val="a3"/>
              <w:jc w:val="center"/>
              <w:rPr>
                <w:rFonts w:ascii="Tahoma" w:hAnsi="Tahoma" w:cs="Tahoma"/>
                <w:color w:val="000080"/>
                <w:rtl/>
              </w:rPr>
            </w:pPr>
            <w:bookmarkStart w:id="0" w:name="LastJudge"/>
            <w:r w:rsidRPr="003933E4">
              <w:rPr>
                <w:rFonts w:ascii="Tahoma" w:hAnsi="Tahoma" w:cs="Tahoma"/>
                <w:b/>
                <w:bCs/>
                <w:color w:val="000080"/>
                <w:rtl/>
              </w:rPr>
              <w:t>בית המשפט המחוזי בחיפה</w:t>
            </w:r>
          </w:p>
        </w:tc>
      </w:tr>
      <w:tr w:rsidR="00183B8A" w:rsidRPr="003933E4" w14:paraId="3EBFAF07" w14:textId="77777777" w:rsidTr="00FD3783">
        <w:trPr>
          <w:trHeight w:val="337"/>
          <w:jc w:val="center"/>
        </w:trPr>
        <w:tc>
          <w:tcPr>
            <w:tcW w:w="5059" w:type="dxa"/>
          </w:tcPr>
          <w:p w14:paraId="3FD07611" w14:textId="77777777" w:rsidR="00183B8A" w:rsidRPr="003933E4" w:rsidRDefault="00183B8A" w:rsidP="00AC50BF">
            <w:pPr>
              <w:rPr>
                <w:rFonts w:cs="FrankRuehl"/>
                <w:sz w:val="28"/>
                <w:szCs w:val="28"/>
                <w:rtl/>
              </w:rPr>
            </w:pPr>
            <w:r w:rsidRPr="003933E4">
              <w:rPr>
                <w:rFonts w:cs="FrankRuehl"/>
                <w:sz w:val="28"/>
                <w:szCs w:val="28"/>
                <w:rtl/>
              </w:rPr>
              <w:t>ת"פ</w:t>
            </w:r>
            <w:r w:rsidRPr="003933E4">
              <w:rPr>
                <w:rFonts w:cs="FrankRuehl" w:hint="cs"/>
                <w:sz w:val="28"/>
                <w:szCs w:val="28"/>
                <w:rtl/>
              </w:rPr>
              <w:t xml:space="preserve"> </w:t>
            </w:r>
            <w:r w:rsidRPr="003933E4">
              <w:rPr>
                <w:rFonts w:cs="FrankRuehl"/>
                <w:sz w:val="28"/>
                <w:szCs w:val="28"/>
                <w:rtl/>
              </w:rPr>
              <w:t>47161-08-17</w:t>
            </w:r>
            <w:r w:rsidRPr="003933E4">
              <w:rPr>
                <w:rFonts w:cs="FrankRuehl" w:hint="cs"/>
                <w:sz w:val="28"/>
                <w:szCs w:val="28"/>
                <w:rtl/>
              </w:rPr>
              <w:t xml:space="preserve"> </w:t>
            </w:r>
            <w:r w:rsidRPr="003933E4">
              <w:rPr>
                <w:rFonts w:cs="FrankRuehl"/>
                <w:sz w:val="28"/>
                <w:szCs w:val="28"/>
                <w:rtl/>
              </w:rPr>
              <w:t>מדינת ישראל נ' עאסלה(עציר)</w:t>
            </w:r>
          </w:p>
          <w:p w14:paraId="3B4E3B19" w14:textId="77777777" w:rsidR="00183B8A" w:rsidRPr="003933E4" w:rsidRDefault="00183B8A" w:rsidP="00AC50BF">
            <w:pPr>
              <w:pStyle w:val="a3"/>
              <w:rPr>
                <w:rFonts w:cs="FrankRuehl"/>
                <w:sz w:val="28"/>
                <w:szCs w:val="28"/>
                <w:rtl/>
              </w:rPr>
            </w:pPr>
          </w:p>
        </w:tc>
        <w:tc>
          <w:tcPr>
            <w:tcW w:w="3662" w:type="dxa"/>
          </w:tcPr>
          <w:p w14:paraId="433E0E84" w14:textId="77777777" w:rsidR="00183B8A" w:rsidRPr="003933E4" w:rsidRDefault="00183B8A" w:rsidP="00AC50BF">
            <w:pPr>
              <w:pStyle w:val="a3"/>
              <w:jc w:val="right"/>
              <w:rPr>
                <w:rFonts w:cs="FrankRuehl"/>
                <w:sz w:val="28"/>
                <w:szCs w:val="28"/>
                <w:rtl/>
              </w:rPr>
            </w:pPr>
          </w:p>
        </w:tc>
      </w:tr>
    </w:tbl>
    <w:p w14:paraId="5AAA678C" w14:textId="77777777" w:rsidR="00183B8A" w:rsidRPr="003933E4" w:rsidRDefault="00183B8A" w:rsidP="00183B8A">
      <w:pPr>
        <w:pStyle w:val="a3"/>
        <w:rPr>
          <w:rtl/>
        </w:rPr>
      </w:pPr>
      <w:r w:rsidRPr="003933E4">
        <w:rPr>
          <w:rFonts w:hint="cs"/>
          <w:rtl/>
        </w:rPr>
        <w:t xml:space="preserve"> </w:t>
      </w:r>
    </w:p>
    <w:p w14:paraId="5653550D" w14:textId="77777777" w:rsidR="00183B8A" w:rsidRPr="003933E4" w:rsidRDefault="00183B8A" w:rsidP="00183B8A">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AC50BF" w:rsidRPr="003933E4" w14:paraId="5D299A41" w14:textId="77777777" w:rsidTr="00183B8A">
        <w:trPr>
          <w:gridAfter w:val="1"/>
          <w:wAfter w:w="56" w:type="dxa"/>
        </w:trPr>
        <w:tc>
          <w:tcPr>
            <w:tcW w:w="8718" w:type="dxa"/>
            <w:gridSpan w:val="2"/>
            <w:shd w:val="clear" w:color="auto" w:fill="auto"/>
          </w:tcPr>
          <w:p w14:paraId="55F2C2D7" w14:textId="77777777" w:rsidR="00183B8A" w:rsidRPr="003933E4" w:rsidRDefault="00183B8A" w:rsidP="00AC50BF">
            <w:pPr>
              <w:rPr>
                <w:b/>
                <w:bCs/>
                <w:sz w:val="26"/>
                <w:szCs w:val="26"/>
                <w:rtl/>
              </w:rPr>
            </w:pPr>
            <w:r w:rsidRPr="003933E4">
              <w:rPr>
                <w:rFonts w:hint="cs"/>
                <w:b/>
                <w:bCs/>
                <w:sz w:val="26"/>
                <w:szCs w:val="26"/>
                <w:rtl/>
              </w:rPr>
              <w:t>לפני כבוד השופט אמיר טובי</w:t>
            </w:r>
            <w:r w:rsidRPr="003933E4">
              <w:rPr>
                <w:rStyle w:val="TimesNewRomanTimesNewRoman"/>
                <w:rFonts w:hint="cs"/>
                <w:rtl/>
              </w:rPr>
              <w:t xml:space="preserve"> </w:t>
            </w:r>
          </w:p>
        </w:tc>
      </w:tr>
      <w:tr w:rsidR="00AC50BF" w:rsidRPr="003933E4" w14:paraId="67CBB074" w14:textId="77777777" w:rsidTr="00183B8A">
        <w:trPr>
          <w:cantSplit/>
          <w:trHeight w:val="724"/>
        </w:trPr>
        <w:tc>
          <w:tcPr>
            <w:tcW w:w="2880" w:type="dxa"/>
            <w:shd w:val="clear" w:color="auto" w:fill="auto"/>
          </w:tcPr>
          <w:p w14:paraId="200F9BE3" w14:textId="77777777" w:rsidR="00183B8A" w:rsidRPr="003933E4" w:rsidRDefault="00183B8A" w:rsidP="00183B8A">
            <w:pPr>
              <w:ind w:left="26"/>
              <w:rPr>
                <w:b/>
                <w:bCs/>
                <w:sz w:val="26"/>
                <w:szCs w:val="26"/>
                <w:rtl/>
              </w:rPr>
            </w:pPr>
            <w:bookmarkStart w:id="1" w:name="FirstAppellant"/>
          </w:p>
          <w:p w14:paraId="11DC1900" w14:textId="77777777" w:rsidR="00183B8A" w:rsidRPr="003933E4" w:rsidRDefault="00183B8A" w:rsidP="00183B8A">
            <w:pPr>
              <w:ind w:left="26"/>
              <w:rPr>
                <w:b/>
                <w:bCs/>
                <w:sz w:val="26"/>
                <w:szCs w:val="26"/>
                <w:rtl/>
              </w:rPr>
            </w:pPr>
            <w:r w:rsidRPr="003933E4">
              <w:rPr>
                <w:rFonts w:hint="cs"/>
                <w:b/>
                <w:bCs/>
                <w:sz w:val="26"/>
                <w:szCs w:val="26"/>
                <w:rtl/>
              </w:rPr>
              <w:t>המאשימה</w:t>
            </w:r>
          </w:p>
        </w:tc>
        <w:tc>
          <w:tcPr>
            <w:tcW w:w="5922" w:type="dxa"/>
            <w:gridSpan w:val="2"/>
            <w:shd w:val="clear" w:color="auto" w:fill="auto"/>
          </w:tcPr>
          <w:p w14:paraId="43B7DE0E" w14:textId="77777777" w:rsidR="00183B8A" w:rsidRPr="003933E4" w:rsidRDefault="00183B8A" w:rsidP="00AC50BF">
            <w:pPr>
              <w:rPr>
                <w:rtl/>
              </w:rPr>
            </w:pPr>
          </w:p>
          <w:p w14:paraId="7FCE9CBE" w14:textId="77777777" w:rsidR="00183B8A" w:rsidRPr="003933E4" w:rsidRDefault="00183B8A" w:rsidP="00AC50BF">
            <w:pPr>
              <w:rPr>
                <w:b/>
                <w:bCs/>
                <w:sz w:val="26"/>
                <w:szCs w:val="26"/>
                <w:rtl/>
              </w:rPr>
            </w:pPr>
            <w:r w:rsidRPr="003933E4">
              <w:rPr>
                <w:rtl/>
              </w:rPr>
              <w:t xml:space="preserve"> </w:t>
            </w:r>
            <w:r w:rsidRPr="003933E4">
              <w:rPr>
                <w:rFonts w:hint="cs"/>
                <w:b/>
                <w:bCs/>
                <w:sz w:val="26"/>
                <w:szCs w:val="26"/>
                <w:rtl/>
              </w:rPr>
              <w:t>מדינת ישראל</w:t>
            </w:r>
          </w:p>
          <w:p w14:paraId="3460272D" w14:textId="77777777" w:rsidR="00183B8A" w:rsidRPr="003933E4" w:rsidRDefault="00183B8A" w:rsidP="00AC50BF">
            <w:pPr>
              <w:rPr>
                <w:b/>
                <w:bCs/>
                <w:sz w:val="26"/>
                <w:szCs w:val="26"/>
                <w:rtl/>
              </w:rPr>
            </w:pPr>
          </w:p>
        </w:tc>
      </w:tr>
      <w:bookmarkEnd w:id="1"/>
      <w:tr w:rsidR="00AC50BF" w:rsidRPr="003933E4" w14:paraId="5E24A6A3" w14:textId="77777777" w:rsidTr="00183B8A">
        <w:tc>
          <w:tcPr>
            <w:tcW w:w="8802" w:type="dxa"/>
            <w:gridSpan w:val="3"/>
            <w:shd w:val="clear" w:color="auto" w:fill="auto"/>
            <w:vAlign w:val="center"/>
          </w:tcPr>
          <w:p w14:paraId="0C3D3A72" w14:textId="77777777" w:rsidR="00183B8A" w:rsidRPr="003933E4" w:rsidRDefault="00183B8A" w:rsidP="00183B8A">
            <w:pPr>
              <w:jc w:val="center"/>
              <w:rPr>
                <w:rFonts w:ascii="Arial" w:hAnsi="Arial"/>
                <w:b/>
                <w:bCs/>
                <w:sz w:val="26"/>
                <w:szCs w:val="26"/>
                <w:rtl/>
              </w:rPr>
            </w:pPr>
          </w:p>
          <w:p w14:paraId="23F7D4E6" w14:textId="77777777" w:rsidR="00183B8A" w:rsidRPr="003933E4" w:rsidRDefault="00183B8A" w:rsidP="00183B8A">
            <w:pPr>
              <w:jc w:val="center"/>
              <w:rPr>
                <w:rFonts w:ascii="Arial" w:hAnsi="Arial"/>
                <w:b/>
                <w:bCs/>
                <w:sz w:val="26"/>
                <w:szCs w:val="26"/>
                <w:rtl/>
              </w:rPr>
            </w:pPr>
            <w:r w:rsidRPr="003933E4">
              <w:rPr>
                <w:rFonts w:ascii="Arial" w:hAnsi="Arial" w:hint="cs"/>
                <w:b/>
                <w:bCs/>
                <w:sz w:val="26"/>
                <w:szCs w:val="26"/>
                <w:rtl/>
              </w:rPr>
              <w:t>נגד</w:t>
            </w:r>
          </w:p>
          <w:p w14:paraId="75AF38D8" w14:textId="77777777" w:rsidR="00183B8A" w:rsidRPr="003933E4" w:rsidRDefault="00183B8A" w:rsidP="00AC50BF">
            <w:pPr>
              <w:rPr>
                <w:rFonts w:ascii="Arial" w:hAnsi="Arial"/>
                <w:b/>
                <w:bCs/>
                <w:sz w:val="26"/>
                <w:szCs w:val="26"/>
                <w:rtl/>
              </w:rPr>
            </w:pPr>
          </w:p>
        </w:tc>
      </w:tr>
      <w:tr w:rsidR="00AC50BF" w:rsidRPr="003933E4" w14:paraId="27DA8B76" w14:textId="77777777" w:rsidTr="00183B8A">
        <w:tc>
          <w:tcPr>
            <w:tcW w:w="2880" w:type="dxa"/>
            <w:shd w:val="clear" w:color="auto" w:fill="auto"/>
          </w:tcPr>
          <w:p w14:paraId="3F1991E8" w14:textId="77777777" w:rsidR="00183B8A" w:rsidRPr="003933E4" w:rsidRDefault="00183B8A" w:rsidP="00183B8A">
            <w:pPr>
              <w:ind w:left="26"/>
              <w:rPr>
                <w:b/>
                <w:bCs/>
                <w:sz w:val="26"/>
                <w:szCs w:val="26"/>
              </w:rPr>
            </w:pPr>
            <w:r w:rsidRPr="003933E4">
              <w:rPr>
                <w:rFonts w:hint="cs"/>
                <w:b/>
                <w:bCs/>
                <w:sz w:val="26"/>
                <w:szCs w:val="26"/>
                <w:rtl/>
              </w:rPr>
              <w:t>הנאשם</w:t>
            </w:r>
          </w:p>
        </w:tc>
        <w:tc>
          <w:tcPr>
            <w:tcW w:w="5922" w:type="dxa"/>
            <w:gridSpan w:val="2"/>
            <w:shd w:val="clear" w:color="auto" w:fill="auto"/>
          </w:tcPr>
          <w:p w14:paraId="52FF5130" w14:textId="77777777" w:rsidR="00183B8A" w:rsidRPr="003933E4" w:rsidRDefault="00183B8A" w:rsidP="00AC50BF">
            <w:pPr>
              <w:rPr>
                <w:b/>
                <w:bCs/>
                <w:sz w:val="26"/>
                <w:szCs w:val="26"/>
                <w:rtl/>
              </w:rPr>
            </w:pPr>
            <w:r w:rsidRPr="003933E4">
              <w:rPr>
                <w:rtl/>
              </w:rPr>
              <w:t xml:space="preserve"> </w:t>
            </w:r>
            <w:r w:rsidRPr="003933E4">
              <w:rPr>
                <w:rFonts w:hint="cs"/>
                <w:b/>
                <w:bCs/>
                <w:sz w:val="26"/>
                <w:szCs w:val="26"/>
                <w:rtl/>
              </w:rPr>
              <w:t>עאמר עאסלה (עציר)</w:t>
            </w:r>
            <w:r w:rsidRPr="003933E4">
              <w:rPr>
                <w:rtl/>
              </w:rPr>
              <w:t xml:space="preserve"> </w:t>
            </w:r>
            <w:r w:rsidRPr="003933E4">
              <w:rPr>
                <w:rFonts w:hint="cs"/>
                <w:b/>
                <w:bCs/>
                <w:sz w:val="26"/>
                <w:szCs w:val="26"/>
                <w:rtl/>
              </w:rPr>
              <w:t xml:space="preserve">ת.ז.  </w:t>
            </w:r>
            <w:r w:rsidR="003933E4">
              <w:rPr>
                <w:b/>
                <w:bCs/>
                <w:sz w:val="26"/>
                <w:szCs w:val="26"/>
              </w:rPr>
              <w:t>xxxxxxxxxx</w:t>
            </w:r>
          </w:p>
        </w:tc>
      </w:tr>
    </w:tbl>
    <w:p w14:paraId="0624EC5C" w14:textId="77777777" w:rsidR="00183B8A" w:rsidRPr="003933E4" w:rsidRDefault="00183B8A" w:rsidP="00183B8A">
      <w:pPr>
        <w:spacing w:line="360" w:lineRule="auto"/>
        <w:jc w:val="both"/>
        <w:rPr>
          <w:rFonts w:ascii="David" w:hAnsi="David"/>
          <w:sz w:val="6"/>
          <w:szCs w:val="6"/>
          <w:rtl/>
        </w:rPr>
      </w:pPr>
      <w:r w:rsidRPr="003933E4">
        <w:rPr>
          <w:rFonts w:hint="cs"/>
          <w:sz w:val="6"/>
          <w:szCs w:val="6"/>
          <w:rtl/>
        </w:rPr>
        <w:t>&lt;#1#&gt;</w:t>
      </w:r>
    </w:p>
    <w:p w14:paraId="518C4BA1" w14:textId="77777777" w:rsidR="00183B8A" w:rsidRPr="003933E4" w:rsidRDefault="00183B8A" w:rsidP="00183B8A">
      <w:pPr>
        <w:pStyle w:val="12"/>
        <w:rPr>
          <w:b w:val="0"/>
          <w:bCs w:val="0"/>
          <w:u w:val="none"/>
          <w:rtl/>
        </w:rPr>
      </w:pPr>
    </w:p>
    <w:p w14:paraId="0E3E40E6" w14:textId="77777777" w:rsidR="00183B8A" w:rsidRPr="003933E4" w:rsidRDefault="00183B8A" w:rsidP="00183B8A">
      <w:pPr>
        <w:pStyle w:val="12"/>
        <w:rPr>
          <w:u w:val="none"/>
          <w:rtl/>
        </w:rPr>
      </w:pPr>
      <w:r w:rsidRPr="003933E4">
        <w:rPr>
          <w:rFonts w:hint="cs"/>
          <w:u w:val="none"/>
          <w:rtl/>
        </w:rPr>
        <w:t>נוכחים:</w:t>
      </w:r>
    </w:p>
    <w:p w14:paraId="054C7021" w14:textId="77777777" w:rsidR="00183B8A" w:rsidRPr="003933E4" w:rsidRDefault="00183B8A" w:rsidP="00183B8A">
      <w:pPr>
        <w:pStyle w:val="12"/>
        <w:rPr>
          <w:b w:val="0"/>
          <w:bCs w:val="0"/>
          <w:u w:val="none"/>
          <w:rtl/>
        </w:rPr>
      </w:pPr>
      <w:bookmarkStart w:id="2" w:name="FirstLawyer"/>
      <w:r w:rsidRPr="003933E4">
        <w:rPr>
          <w:rFonts w:hint="cs"/>
          <w:b w:val="0"/>
          <w:bCs w:val="0"/>
          <w:u w:val="none"/>
          <w:rtl/>
        </w:rPr>
        <w:t>ב"כ</w:t>
      </w:r>
      <w:bookmarkEnd w:id="2"/>
      <w:r w:rsidRPr="003933E4">
        <w:rPr>
          <w:rFonts w:hint="cs"/>
          <w:b w:val="0"/>
          <w:bCs w:val="0"/>
          <w:u w:val="none"/>
          <w:rtl/>
        </w:rPr>
        <w:t xml:space="preserve"> המאשימה: עו"ד גב' טל גרשון </w:t>
      </w:r>
    </w:p>
    <w:p w14:paraId="60765AC8" w14:textId="77777777" w:rsidR="00183B8A" w:rsidRPr="003933E4" w:rsidRDefault="00183B8A" w:rsidP="00183B8A">
      <w:pPr>
        <w:pStyle w:val="12"/>
        <w:rPr>
          <w:b w:val="0"/>
          <w:bCs w:val="0"/>
          <w:u w:val="none"/>
          <w:rtl/>
        </w:rPr>
      </w:pPr>
      <w:r w:rsidRPr="003933E4">
        <w:rPr>
          <w:rFonts w:hint="cs"/>
          <w:b w:val="0"/>
          <w:bCs w:val="0"/>
          <w:u w:val="none"/>
          <w:rtl/>
        </w:rPr>
        <w:t xml:space="preserve">ב"כ הנאשם: עו"ד יאסין בכר </w:t>
      </w:r>
    </w:p>
    <w:p w14:paraId="37859EB9" w14:textId="77777777" w:rsidR="00183B8A" w:rsidRPr="003933E4" w:rsidRDefault="00183B8A" w:rsidP="00183B8A">
      <w:pPr>
        <w:pStyle w:val="12"/>
        <w:rPr>
          <w:b w:val="0"/>
          <w:bCs w:val="0"/>
          <w:u w:val="none"/>
          <w:rtl/>
        </w:rPr>
      </w:pPr>
      <w:r w:rsidRPr="003933E4">
        <w:rPr>
          <w:rFonts w:hint="cs"/>
          <w:b w:val="0"/>
          <w:bCs w:val="0"/>
          <w:u w:val="none"/>
          <w:rtl/>
        </w:rPr>
        <w:t xml:space="preserve">הנאשם באמצעות הליווי </w:t>
      </w:r>
    </w:p>
    <w:p w14:paraId="1C26E08C" w14:textId="77777777" w:rsidR="00FD3783" w:rsidRDefault="00FD3783" w:rsidP="00183B8A">
      <w:pPr>
        <w:rPr>
          <w:rtl/>
        </w:rPr>
      </w:pPr>
      <w:bookmarkStart w:id="3" w:name="LawTable"/>
      <w:bookmarkEnd w:id="3"/>
    </w:p>
    <w:p w14:paraId="1A811D53" w14:textId="77777777" w:rsidR="00FD3783" w:rsidRPr="00FD3783" w:rsidRDefault="00FD3783" w:rsidP="00FD3783">
      <w:pPr>
        <w:spacing w:after="120" w:line="240" w:lineRule="exact"/>
        <w:ind w:left="283" w:hanging="283"/>
        <w:jc w:val="both"/>
        <w:rPr>
          <w:rFonts w:ascii="FrankRuehl" w:hAnsi="FrankRuehl" w:cs="FrankRuehl"/>
          <w:rtl/>
        </w:rPr>
      </w:pPr>
    </w:p>
    <w:p w14:paraId="664EB10C" w14:textId="77777777" w:rsidR="00FD3783" w:rsidRPr="00FD3783" w:rsidRDefault="00FD3783" w:rsidP="00FD3783">
      <w:pPr>
        <w:spacing w:after="120" w:line="240" w:lineRule="exact"/>
        <w:ind w:left="283" w:hanging="283"/>
        <w:jc w:val="both"/>
        <w:rPr>
          <w:rFonts w:ascii="FrankRuehl" w:hAnsi="FrankRuehl" w:cs="FrankRuehl"/>
          <w:rtl/>
        </w:rPr>
      </w:pPr>
      <w:r w:rsidRPr="00FD3783">
        <w:rPr>
          <w:rFonts w:ascii="FrankRuehl" w:hAnsi="FrankRuehl" w:cs="FrankRuehl"/>
          <w:rtl/>
        </w:rPr>
        <w:t xml:space="preserve">חקיקה שאוזכרה: </w:t>
      </w:r>
    </w:p>
    <w:p w14:paraId="73EB0687" w14:textId="77777777" w:rsidR="00FD3783" w:rsidRPr="00FD3783" w:rsidRDefault="00FD3783" w:rsidP="00FD3783">
      <w:pPr>
        <w:spacing w:after="120" w:line="240" w:lineRule="exact"/>
        <w:ind w:left="283" w:hanging="283"/>
        <w:jc w:val="both"/>
        <w:rPr>
          <w:rFonts w:ascii="FrankRuehl" w:hAnsi="FrankRuehl" w:cs="FrankRuehl"/>
          <w:rtl/>
        </w:rPr>
      </w:pPr>
      <w:hyperlink r:id="rId6" w:history="1">
        <w:r w:rsidRPr="00FD3783">
          <w:rPr>
            <w:rFonts w:ascii="FrankRuehl" w:hAnsi="FrankRuehl" w:cs="FrankRuehl"/>
            <w:color w:val="0000FF"/>
            <w:u w:val="single"/>
            <w:rtl/>
          </w:rPr>
          <w:t>חוק העונשין, תשל"ז-1977</w:t>
        </w:r>
      </w:hyperlink>
      <w:r w:rsidRPr="00FD3783">
        <w:rPr>
          <w:rFonts w:ascii="FrankRuehl" w:hAnsi="FrankRuehl" w:cs="FrankRuehl"/>
          <w:rtl/>
        </w:rPr>
        <w:t xml:space="preserve">: סע'  </w:t>
      </w:r>
      <w:hyperlink r:id="rId7" w:history="1">
        <w:r w:rsidRPr="00FD3783">
          <w:rPr>
            <w:rFonts w:ascii="FrankRuehl" w:hAnsi="FrankRuehl" w:cs="FrankRuehl"/>
            <w:color w:val="0000FF"/>
            <w:u w:val="single"/>
            <w:rtl/>
          </w:rPr>
          <w:t>40ט (א)</w:t>
        </w:r>
      </w:hyperlink>
      <w:r w:rsidRPr="00FD3783">
        <w:rPr>
          <w:rFonts w:ascii="FrankRuehl" w:hAnsi="FrankRuehl" w:cs="FrankRuehl"/>
          <w:rtl/>
        </w:rPr>
        <w:t xml:space="preserve">, </w:t>
      </w:r>
      <w:hyperlink r:id="rId8" w:history="1">
        <w:r w:rsidRPr="00FD3783">
          <w:rPr>
            <w:rFonts w:ascii="FrankRuehl" w:hAnsi="FrankRuehl" w:cs="FrankRuehl"/>
            <w:color w:val="0000FF"/>
            <w:u w:val="single"/>
            <w:rtl/>
          </w:rPr>
          <w:t>144(א)</w:t>
        </w:r>
      </w:hyperlink>
      <w:r w:rsidRPr="00FD3783">
        <w:rPr>
          <w:rFonts w:ascii="FrankRuehl" w:hAnsi="FrankRuehl" w:cs="FrankRuehl"/>
          <w:rtl/>
        </w:rPr>
        <w:t xml:space="preserve">, </w:t>
      </w:r>
      <w:hyperlink r:id="rId9" w:history="1">
        <w:r w:rsidRPr="00FD3783">
          <w:rPr>
            <w:rFonts w:ascii="FrankRuehl" w:hAnsi="FrankRuehl" w:cs="FrankRuehl"/>
            <w:color w:val="0000FF"/>
            <w:u w:val="single"/>
            <w:rtl/>
          </w:rPr>
          <w:t>144(ב)</w:t>
        </w:r>
      </w:hyperlink>
    </w:p>
    <w:p w14:paraId="1A665BD6" w14:textId="77777777" w:rsidR="003933E4" w:rsidRPr="003933E4" w:rsidRDefault="003933E4" w:rsidP="00FD3783">
      <w:pPr>
        <w:spacing w:after="120" w:line="240" w:lineRule="exact"/>
        <w:jc w:val="both"/>
        <w:rPr>
          <w:rFonts w:ascii="FrankRuehl" w:hAnsi="FrankRuehl" w:cs="FrankRuehl" w:hint="cs"/>
          <w:rtl/>
        </w:rPr>
      </w:pPr>
      <w:bookmarkStart w:id="4" w:name="LawTable_End"/>
      <w:bookmarkEnd w:id="4"/>
    </w:p>
    <w:p w14:paraId="63DDDEB5" w14:textId="77777777" w:rsidR="00183B8A" w:rsidRPr="003933E4" w:rsidRDefault="00183B8A" w:rsidP="00183B8A">
      <w:pPr>
        <w:spacing w:line="360" w:lineRule="auto"/>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C50BF" w14:paraId="6F31FD14" w14:textId="77777777" w:rsidTr="00183B8A">
        <w:trPr>
          <w:trHeight w:val="355"/>
          <w:jc w:val="center"/>
        </w:trPr>
        <w:tc>
          <w:tcPr>
            <w:tcW w:w="8820" w:type="dxa"/>
            <w:tcBorders>
              <w:top w:val="nil"/>
              <w:left w:val="nil"/>
              <w:bottom w:val="nil"/>
              <w:right w:val="nil"/>
            </w:tcBorders>
            <w:shd w:val="clear" w:color="auto" w:fill="auto"/>
          </w:tcPr>
          <w:p w14:paraId="51B5A7E9" w14:textId="77777777" w:rsidR="003933E4" w:rsidRPr="003933E4" w:rsidRDefault="003933E4" w:rsidP="003933E4">
            <w:pPr>
              <w:jc w:val="center"/>
              <w:rPr>
                <w:rFonts w:ascii="Arial" w:hAnsi="Arial" w:cs="FrankRuehl"/>
                <w:b/>
                <w:bCs/>
                <w:sz w:val="32"/>
                <w:szCs w:val="32"/>
                <w:u w:val="single"/>
                <w:rtl/>
              </w:rPr>
            </w:pPr>
            <w:bookmarkStart w:id="5" w:name="PsakDin" w:colFirst="0" w:colLast="0"/>
            <w:bookmarkEnd w:id="0"/>
            <w:r w:rsidRPr="003933E4">
              <w:rPr>
                <w:rFonts w:ascii="Arial" w:hAnsi="Arial" w:cs="FrankRuehl"/>
                <w:b/>
                <w:bCs/>
                <w:sz w:val="32"/>
                <w:szCs w:val="32"/>
                <w:u w:val="single"/>
                <w:rtl/>
              </w:rPr>
              <w:t>גזר דין</w:t>
            </w:r>
          </w:p>
          <w:p w14:paraId="40F76D89" w14:textId="77777777" w:rsidR="00183B8A" w:rsidRPr="003933E4" w:rsidRDefault="00183B8A" w:rsidP="003933E4">
            <w:pPr>
              <w:jc w:val="center"/>
              <w:rPr>
                <w:rFonts w:ascii="Arial" w:hAnsi="Arial" w:cs="FrankRuehl"/>
                <w:bCs/>
                <w:sz w:val="32"/>
                <w:szCs w:val="32"/>
                <w:u w:val="single"/>
                <w:rtl/>
              </w:rPr>
            </w:pPr>
          </w:p>
        </w:tc>
      </w:tr>
      <w:bookmarkEnd w:id="5"/>
    </w:tbl>
    <w:p w14:paraId="6BC6E013" w14:textId="77777777" w:rsidR="00183B8A" w:rsidRPr="00B05847" w:rsidRDefault="00183B8A" w:rsidP="00183B8A">
      <w:pPr>
        <w:spacing w:line="360" w:lineRule="auto"/>
        <w:jc w:val="both"/>
        <w:rPr>
          <w:rtl/>
        </w:rPr>
      </w:pPr>
    </w:p>
    <w:p w14:paraId="478F23D3" w14:textId="77777777" w:rsidR="00183B8A" w:rsidRDefault="00183B8A" w:rsidP="00183B8A">
      <w:pPr>
        <w:spacing w:line="360" w:lineRule="auto"/>
        <w:ind w:left="720" w:hanging="720"/>
        <w:jc w:val="both"/>
        <w:rPr>
          <w:rtl/>
        </w:rPr>
      </w:pPr>
      <w:r>
        <w:rPr>
          <w:rFonts w:hint="cs"/>
          <w:rtl/>
        </w:rPr>
        <w:t>1.</w:t>
      </w:r>
      <w:r>
        <w:rPr>
          <w:rtl/>
        </w:rPr>
        <w:tab/>
      </w:r>
      <w:r>
        <w:rPr>
          <w:rFonts w:hint="cs"/>
          <w:rtl/>
        </w:rPr>
        <w:t xml:space="preserve">הנאשם </w:t>
      </w:r>
      <w:bookmarkStart w:id="6" w:name="ABSTRACT_START"/>
      <w:bookmarkEnd w:id="6"/>
      <w:r>
        <w:rPr>
          <w:rFonts w:hint="cs"/>
          <w:rtl/>
        </w:rPr>
        <w:t xml:space="preserve">הורשע על סמך הודייתו, בעבירה של החזקת נשק, לפי </w:t>
      </w:r>
      <w:hyperlink r:id="rId10" w:history="1">
        <w:r w:rsidR="00FD3783" w:rsidRPr="00FD3783">
          <w:rPr>
            <w:color w:val="0000FF"/>
            <w:u w:val="single"/>
            <w:rtl/>
          </w:rPr>
          <w:t>סעיף 144(א)</w:t>
        </w:r>
      </w:hyperlink>
      <w:r>
        <w:rPr>
          <w:rFonts w:hint="cs"/>
          <w:rtl/>
        </w:rPr>
        <w:t xml:space="preserve"> רישא וסיפא ל</w:t>
      </w:r>
      <w:hyperlink r:id="rId11" w:history="1">
        <w:r w:rsidR="003933E4" w:rsidRPr="003933E4">
          <w:rPr>
            <w:color w:val="0000FF"/>
            <w:u w:val="single"/>
            <w:rtl/>
          </w:rPr>
          <w:t>חוק העונשין</w:t>
        </w:r>
      </w:hyperlink>
      <w:r>
        <w:rPr>
          <w:rFonts w:hint="cs"/>
          <w:rtl/>
        </w:rPr>
        <w:t xml:space="preserve">, התשל"ז-1977 (להלן: "חוק העונשין") ועבירת הובלה ונשיאה של נשק, לפי </w:t>
      </w:r>
      <w:hyperlink r:id="rId12" w:history="1">
        <w:r w:rsidR="00FD3783" w:rsidRPr="00FD3783">
          <w:rPr>
            <w:color w:val="0000FF"/>
            <w:u w:val="single"/>
            <w:rtl/>
          </w:rPr>
          <w:t>סעיף 144(ב)</w:t>
        </w:r>
      </w:hyperlink>
      <w:r>
        <w:rPr>
          <w:rFonts w:hint="cs"/>
          <w:rtl/>
        </w:rPr>
        <w:t xml:space="preserve"> רישא וסיפא לחוק העונשין. ההודייה ניתנה במסגרת הסדר טיעון אליו הגיעו הצדדים, לאחר שכתב האישום תוקן, ואולם ההסדר לא כלל הסכמה לעניין העונש.</w:t>
      </w:r>
    </w:p>
    <w:p w14:paraId="595E3748" w14:textId="77777777" w:rsidR="00183B8A" w:rsidRDefault="00183B8A" w:rsidP="00183B8A">
      <w:pPr>
        <w:spacing w:line="360" w:lineRule="auto"/>
        <w:ind w:left="720" w:hanging="720"/>
        <w:jc w:val="both"/>
        <w:rPr>
          <w:rtl/>
        </w:rPr>
      </w:pPr>
    </w:p>
    <w:p w14:paraId="0E7BB900" w14:textId="77777777" w:rsidR="00183B8A" w:rsidRPr="00B41599" w:rsidRDefault="00183B8A" w:rsidP="00183B8A">
      <w:pPr>
        <w:spacing w:line="360" w:lineRule="auto"/>
        <w:ind w:left="720" w:hanging="720"/>
        <w:jc w:val="both"/>
        <w:rPr>
          <w:u w:val="single"/>
          <w:rtl/>
        </w:rPr>
      </w:pPr>
      <w:r>
        <w:rPr>
          <w:rFonts w:hint="cs"/>
          <w:u w:val="single"/>
          <w:rtl/>
        </w:rPr>
        <w:t>עובדות כתב האישום</w:t>
      </w:r>
    </w:p>
    <w:p w14:paraId="3B74E16F" w14:textId="77777777" w:rsidR="00183B8A" w:rsidRDefault="00183B8A" w:rsidP="00183B8A">
      <w:pPr>
        <w:spacing w:line="360" w:lineRule="auto"/>
        <w:ind w:left="720" w:hanging="720"/>
        <w:jc w:val="both"/>
        <w:rPr>
          <w:rtl/>
        </w:rPr>
      </w:pPr>
    </w:p>
    <w:p w14:paraId="0DF92E27" w14:textId="77777777" w:rsidR="00183B8A" w:rsidRDefault="00183B8A" w:rsidP="00183B8A">
      <w:pPr>
        <w:spacing w:line="360" w:lineRule="auto"/>
        <w:ind w:left="720" w:hanging="720"/>
        <w:jc w:val="both"/>
        <w:rPr>
          <w:rtl/>
        </w:rPr>
      </w:pPr>
      <w:r>
        <w:rPr>
          <w:rFonts w:hint="cs"/>
          <w:rtl/>
        </w:rPr>
        <w:t>2.</w:t>
      </w:r>
      <w:r>
        <w:rPr>
          <w:rFonts w:hint="cs"/>
          <w:rtl/>
        </w:rPr>
        <w:tab/>
        <w:t xml:space="preserve">בעובדות כתב האישום המתוקן (להלן: "כתב האישום") נאמר כי הנאשם התגורר בביתו הנמצא בעיר עראבה. במהלך חודש יולי 2017, בסמוך לבית ספר "אל זהראא" שנמצא בסמוך לביתו של הנאשם, רכש הלה מאחר, שזהותו אינה ידועה למאשימה, בלא רשות על פי דין, נשק מאולתר מסוג קרל גוסטב, ובתוכו מחסנית כשהיא ריקה מתחמושת. כמו כן, רכש הנאשם מאותו אחר, בלא רשות על פי דין, 105 כדורים בקוטר 9 מ"מ. בתמורה לנשק, המחסנית והכדורים, שילם הנאשם לאחר סך של 8,000 ₪. </w:t>
      </w:r>
    </w:p>
    <w:p w14:paraId="2B6C44F1" w14:textId="77777777" w:rsidR="00183B8A" w:rsidRDefault="00183B8A" w:rsidP="00183B8A">
      <w:pPr>
        <w:spacing w:line="360" w:lineRule="auto"/>
        <w:ind w:left="720" w:hanging="720"/>
        <w:jc w:val="both"/>
        <w:rPr>
          <w:rtl/>
        </w:rPr>
      </w:pPr>
    </w:p>
    <w:p w14:paraId="739DA2EC" w14:textId="77777777" w:rsidR="00183B8A" w:rsidRDefault="00183B8A" w:rsidP="00183B8A">
      <w:pPr>
        <w:spacing w:line="360" w:lineRule="auto"/>
        <w:ind w:left="720" w:hanging="720"/>
        <w:jc w:val="both"/>
        <w:rPr>
          <w:rtl/>
        </w:rPr>
      </w:pPr>
      <w:bookmarkStart w:id="7" w:name="ABSTRACT_END"/>
      <w:bookmarkEnd w:id="7"/>
      <w:r>
        <w:rPr>
          <w:rtl/>
        </w:rPr>
        <w:lastRenderedPageBreak/>
        <w:tab/>
      </w:r>
      <w:r>
        <w:rPr>
          <w:rFonts w:hint="cs"/>
          <w:rtl/>
        </w:rPr>
        <w:t>לאחר מכן, הוביל הנאשם ונשא את הנשק, המחסנית והכדורים בתוך רכב מסוג מזדה שבו נהג בתוך העיר עראבה, עד שהגיע לביתו.</w:t>
      </w:r>
    </w:p>
    <w:p w14:paraId="01801B9E" w14:textId="77777777" w:rsidR="00183B8A" w:rsidRDefault="00183B8A" w:rsidP="00183B8A">
      <w:pPr>
        <w:spacing w:line="360" w:lineRule="auto"/>
        <w:ind w:left="720" w:hanging="720"/>
        <w:jc w:val="both"/>
        <w:rPr>
          <w:rtl/>
        </w:rPr>
      </w:pPr>
    </w:p>
    <w:p w14:paraId="2AB034D2" w14:textId="77777777" w:rsidR="00183B8A" w:rsidRDefault="00183B8A" w:rsidP="00183B8A">
      <w:pPr>
        <w:spacing w:line="360" w:lineRule="auto"/>
        <w:ind w:left="720" w:hanging="720"/>
        <w:jc w:val="both"/>
        <w:rPr>
          <w:rtl/>
        </w:rPr>
      </w:pPr>
      <w:r>
        <w:rPr>
          <w:rFonts w:hint="cs"/>
          <w:rtl/>
        </w:rPr>
        <w:t>3.</w:t>
      </w:r>
      <w:r>
        <w:rPr>
          <w:rFonts w:hint="cs"/>
          <w:rtl/>
        </w:rPr>
        <w:tab/>
        <w:t>מספר ימים לאחר מכן, עטף הנאשם את הנשק, המחסנית ו-23 כדורים בנפרד בניילון נצמד והסתירם על ארון בגדים בחדר השינה בביתו. מאותו מועד ועד למעצרו ביום 14.8.17, החזיק הנאשם את הנשק, המחסנית והכדורים בלא רשות על פי דין.</w:t>
      </w:r>
    </w:p>
    <w:p w14:paraId="44E72D83" w14:textId="77777777" w:rsidR="00183B8A" w:rsidRDefault="00183B8A" w:rsidP="00183B8A">
      <w:pPr>
        <w:spacing w:line="360" w:lineRule="auto"/>
        <w:ind w:left="720" w:hanging="720"/>
        <w:jc w:val="both"/>
        <w:rPr>
          <w:rtl/>
        </w:rPr>
      </w:pPr>
    </w:p>
    <w:p w14:paraId="73C9DC08" w14:textId="77777777" w:rsidR="00183B8A" w:rsidRDefault="00183B8A" w:rsidP="00183B8A">
      <w:pPr>
        <w:spacing w:line="360" w:lineRule="auto"/>
        <w:ind w:left="720" w:hanging="720"/>
        <w:jc w:val="both"/>
        <w:rPr>
          <w:rtl/>
        </w:rPr>
      </w:pPr>
      <w:r>
        <w:rPr>
          <w:rFonts w:hint="cs"/>
          <w:rtl/>
        </w:rPr>
        <w:t>4.</w:t>
      </w:r>
      <w:r>
        <w:rPr>
          <w:rFonts w:hint="cs"/>
          <w:rtl/>
        </w:rPr>
        <w:tab/>
        <w:t xml:space="preserve">כאמור, כתב האישום ייחס לנאשם החזקת נשק, הובלתו ונשיאתו בלא רשות על פי דין. </w:t>
      </w:r>
    </w:p>
    <w:p w14:paraId="220B148C" w14:textId="77777777" w:rsidR="00183B8A" w:rsidRDefault="00183B8A" w:rsidP="00183B8A">
      <w:pPr>
        <w:spacing w:line="360" w:lineRule="auto"/>
        <w:ind w:left="720" w:hanging="720"/>
        <w:jc w:val="both"/>
        <w:rPr>
          <w:rtl/>
        </w:rPr>
      </w:pPr>
    </w:p>
    <w:p w14:paraId="1E1FF93B" w14:textId="77777777" w:rsidR="00183B8A" w:rsidRPr="00132DAF" w:rsidRDefault="00183B8A" w:rsidP="00183B8A">
      <w:pPr>
        <w:spacing w:line="360" w:lineRule="auto"/>
        <w:ind w:left="720" w:hanging="720"/>
        <w:jc w:val="both"/>
        <w:rPr>
          <w:u w:val="single"/>
          <w:rtl/>
        </w:rPr>
      </w:pPr>
      <w:r>
        <w:rPr>
          <w:rFonts w:hint="cs"/>
          <w:u w:val="single"/>
          <w:rtl/>
        </w:rPr>
        <w:t>תסקיר שירות המבחן</w:t>
      </w:r>
    </w:p>
    <w:p w14:paraId="4BA91304" w14:textId="77777777" w:rsidR="00183B8A" w:rsidRDefault="00183B8A" w:rsidP="00183B8A">
      <w:pPr>
        <w:spacing w:line="360" w:lineRule="auto"/>
        <w:ind w:left="720" w:hanging="720"/>
        <w:jc w:val="both"/>
        <w:rPr>
          <w:rtl/>
        </w:rPr>
      </w:pPr>
    </w:p>
    <w:p w14:paraId="304B5E57" w14:textId="77777777" w:rsidR="00183B8A" w:rsidRDefault="00183B8A" w:rsidP="00183B8A">
      <w:pPr>
        <w:spacing w:line="360" w:lineRule="auto"/>
        <w:ind w:left="720" w:hanging="720"/>
        <w:jc w:val="both"/>
        <w:rPr>
          <w:rtl/>
        </w:rPr>
      </w:pPr>
      <w:r>
        <w:rPr>
          <w:rFonts w:hint="cs"/>
          <w:rtl/>
        </w:rPr>
        <w:t>5.</w:t>
      </w:r>
      <w:r>
        <w:rPr>
          <w:rFonts w:hint="cs"/>
          <w:rtl/>
        </w:rPr>
        <w:tab/>
        <w:t>בטרם נשמעו טיעוני הצדדים לעונש התבקש שירות המבחן לערוך תסקיר בעניינו של הנאשם.  בתסקיר שהוגש מיום 12.2.18 נאמר כי מדובר בנאשם בן 29, נשוי ואב לשלושה ילדים שהתגורר טרם מעצרו עם משפחתו בעראבה ועבד כעצמאי בתחום השיפוצים. תפקודו במישור התעסוקתי תואר כיציב לאורך השנים.</w:t>
      </w:r>
    </w:p>
    <w:p w14:paraId="566EF9EF" w14:textId="77777777" w:rsidR="00183B8A" w:rsidRDefault="00183B8A" w:rsidP="00183B8A">
      <w:pPr>
        <w:spacing w:line="360" w:lineRule="auto"/>
        <w:ind w:left="720" w:hanging="720"/>
        <w:jc w:val="both"/>
        <w:rPr>
          <w:rtl/>
        </w:rPr>
      </w:pPr>
    </w:p>
    <w:p w14:paraId="7A7726DA" w14:textId="77777777" w:rsidR="00183B8A" w:rsidRDefault="00183B8A" w:rsidP="00183B8A">
      <w:pPr>
        <w:spacing w:line="360" w:lineRule="auto"/>
        <w:ind w:left="720" w:hanging="720"/>
        <w:jc w:val="both"/>
        <w:rPr>
          <w:rtl/>
        </w:rPr>
      </w:pPr>
      <w:r>
        <w:rPr>
          <w:rFonts w:hint="cs"/>
          <w:rtl/>
        </w:rPr>
        <w:t>6.</w:t>
      </w:r>
      <w:r>
        <w:rPr>
          <w:rFonts w:hint="cs"/>
          <w:rtl/>
        </w:rPr>
        <w:tab/>
        <w:t xml:space="preserve">מעיון בגיליון הרישום הפלילי עולה כי לחובת הנאשם הרשעה בגין עבירת אלימות, בעטיה נידון למאסר אותו ריצה בעבודות שירות ולתקופת מבחן. בנוסף, לחובתו עבירה של אי קיום צו בית משפט בעבירות מתחום התכנון והבנייה. </w:t>
      </w:r>
    </w:p>
    <w:p w14:paraId="481A8204" w14:textId="77777777" w:rsidR="00183B8A" w:rsidRDefault="00183B8A" w:rsidP="00183B8A">
      <w:pPr>
        <w:spacing w:line="360" w:lineRule="auto"/>
        <w:ind w:left="720" w:hanging="720"/>
        <w:jc w:val="both"/>
        <w:rPr>
          <w:rtl/>
        </w:rPr>
      </w:pPr>
    </w:p>
    <w:p w14:paraId="3BFAA101" w14:textId="77777777" w:rsidR="00183B8A" w:rsidRDefault="00183B8A" w:rsidP="00183B8A">
      <w:pPr>
        <w:spacing w:line="360" w:lineRule="auto"/>
        <w:ind w:left="720" w:hanging="720"/>
        <w:jc w:val="both"/>
        <w:rPr>
          <w:rtl/>
        </w:rPr>
      </w:pPr>
      <w:r>
        <w:rPr>
          <w:rFonts w:hint="cs"/>
          <w:rtl/>
        </w:rPr>
        <w:t>7.</w:t>
      </w:r>
      <w:r>
        <w:rPr>
          <w:rFonts w:hint="cs"/>
          <w:rtl/>
        </w:rPr>
        <w:tab/>
        <w:t>בהתייחסו לעבירות נשוא הדיון, הודה הנאשם בביצוען ונטל אחריות על מעשיו. לדבריו, ברקע ביצוע העבירות עומד סכסוך עם דודו שאיים עליו ועל משפחתו. בנוסף, ציין כי אלמונים זרקו על ביתו אבנים. בגין הסכנה המוחשית שנשקפה למשפחתו, החליט, לדבריו, לרכוש נשק לשם הגנה עצמית.  לדבריו, הוא החביא את הנשק בביתו ולא עשה בו כל שימוש.</w:t>
      </w:r>
    </w:p>
    <w:p w14:paraId="18FF7D21" w14:textId="77777777" w:rsidR="00183B8A" w:rsidRDefault="00183B8A" w:rsidP="00183B8A">
      <w:pPr>
        <w:spacing w:line="360" w:lineRule="auto"/>
        <w:ind w:left="720" w:hanging="720"/>
        <w:jc w:val="both"/>
        <w:rPr>
          <w:rtl/>
        </w:rPr>
      </w:pPr>
    </w:p>
    <w:p w14:paraId="1C7025B2" w14:textId="77777777" w:rsidR="00183B8A" w:rsidRDefault="00183B8A" w:rsidP="00183B8A">
      <w:pPr>
        <w:spacing w:line="360" w:lineRule="auto"/>
        <w:ind w:left="720" w:hanging="720"/>
        <w:jc w:val="both"/>
        <w:rPr>
          <w:rtl/>
        </w:rPr>
      </w:pPr>
      <w:r>
        <w:rPr>
          <w:rFonts w:hint="cs"/>
          <w:rtl/>
        </w:rPr>
        <w:t>8.</w:t>
      </w:r>
      <w:r>
        <w:rPr>
          <w:rFonts w:hint="cs"/>
          <w:rtl/>
        </w:rPr>
        <w:tab/>
        <w:t>שירות המבחן העריך כי העבירה הנדונה, כמו גם העבירה הקודמת, משקפת קשיי נפרדות של הנאשם ממשפחת מוצאו והעדר יכולת לקבל החלטות באופן שקול תוך בחינת השלכות התנהגותו. הנאשם ציין כי התהליך הטיפולי שעבר בקבוצה טיפולית במסגרת שירות המבחן הצליח לחזק את הנפרדות שלו מהוריו וסייע לו לפתח זהות עצמאית שהתבטאה בהקמת משפחה גרעינית ובהקמת עסק עצמאי.</w:t>
      </w:r>
    </w:p>
    <w:p w14:paraId="1562D4D0" w14:textId="77777777" w:rsidR="00183B8A" w:rsidRDefault="00183B8A" w:rsidP="00183B8A">
      <w:pPr>
        <w:spacing w:line="360" w:lineRule="auto"/>
        <w:ind w:left="720" w:hanging="720"/>
        <w:jc w:val="both"/>
        <w:rPr>
          <w:rtl/>
        </w:rPr>
      </w:pPr>
    </w:p>
    <w:p w14:paraId="0B8AFD6B" w14:textId="77777777" w:rsidR="00183B8A" w:rsidRDefault="00183B8A" w:rsidP="00183B8A">
      <w:pPr>
        <w:spacing w:line="360" w:lineRule="auto"/>
        <w:ind w:left="720" w:hanging="720"/>
        <w:jc w:val="both"/>
        <w:rPr>
          <w:rtl/>
        </w:rPr>
      </w:pPr>
      <w:r>
        <w:rPr>
          <w:rtl/>
        </w:rPr>
        <w:tab/>
      </w:r>
      <w:r>
        <w:rPr>
          <w:rFonts w:hint="cs"/>
          <w:rtl/>
        </w:rPr>
        <w:t xml:space="preserve">בבואו להעריך את הסיכוי להישנות של מעשים דומים אל מול הסיכוי לשיקום, ציין שירות המבחן כי גורמי הסיכון מתבטאים במעורבות חוזרת בעבירות בעלות רקע דומה של סכסוך משפחתי. על אף השתלבותו בהליך טיפולי, התקשה הנאשם להפנים וליישם את תכני </w:t>
      </w:r>
      <w:r>
        <w:rPr>
          <w:rFonts w:hint="cs"/>
          <w:rtl/>
        </w:rPr>
        <w:lastRenderedPageBreak/>
        <w:t>הטיפול ולהימנע מהסתבכות בעבירה דומה. בנוסף, התרשם שירות המבחן מקשרים אותם מקיים הנאשם עם גורמים שוליים, קשיי נפרדות וקבלת החלטות פזיזה. מהמידע שעמד בפני שירות המבחן, עלה כי במצבים בהם הנאשם חש איום על חייו או על חיי הקרובים לו, הוא התקשה לפעול באופן יעיל ותגובתו מגלמת מסוכנות. לצד זאת, קיימים גם גורמי סיכוי לשיקום המתבטאים בתפקודו התעסוקתי היציב והתקין של הנאשם, תפקודו התקין במעצר ושיתוף הפעולה מצדו בהליך הטיפולי שעבר במסגרת שירות המבחן. מכאן עולה רמת סיכון בינונית להישנות התנהגות אלימה ורמת חומרה בינונית.</w:t>
      </w:r>
    </w:p>
    <w:p w14:paraId="6E289AC8" w14:textId="77777777" w:rsidR="00183B8A" w:rsidRDefault="00183B8A" w:rsidP="00183B8A">
      <w:pPr>
        <w:spacing w:line="360" w:lineRule="auto"/>
        <w:ind w:left="720" w:hanging="720"/>
        <w:jc w:val="both"/>
        <w:rPr>
          <w:rtl/>
        </w:rPr>
      </w:pPr>
      <w:r>
        <w:rPr>
          <w:rtl/>
        </w:rPr>
        <w:tab/>
      </w:r>
      <w:r>
        <w:rPr>
          <w:rFonts w:hint="cs"/>
          <w:rtl/>
        </w:rPr>
        <w:t xml:space="preserve">לאור העובדה שההתערבות הטיפולית שניתנה לנאשם בעבר לא תרמה להימנעות ממעורבות נוספת בפלילים, ונוכח חומרת העבירות וריבוי גורמי הסיכון, לא בא שירות המבחן בהמלצה שתסייע בהפחתת הסיכון. </w:t>
      </w:r>
    </w:p>
    <w:p w14:paraId="26C6CB3E" w14:textId="77777777" w:rsidR="00183B8A" w:rsidRDefault="00183B8A" w:rsidP="00183B8A">
      <w:pPr>
        <w:spacing w:line="360" w:lineRule="auto"/>
        <w:ind w:left="720" w:hanging="720"/>
        <w:jc w:val="both"/>
        <w:rPr>
          <w:rtl/>
        </w:rPr>
      </w:pPr>
    </w:p>
    <w:p w14:paraId="336FC23F" w14:textId="77777777" w:rsidR="00183B8A" w:rsidRPr="00133068" w:rsidRDefault="00183B8A" w:rsidP="00183B8A">
      <w:pPr>
        <w:spacing w:line="360" w:lineRule="auto"/>
        <w:ind w:left="720" w:hanging="720"/>
        <w:jc w:val="both"/>
        <w:rPr>
          <w:u w:val="single"/>
          <w:rtl/>
        </w:rPr>
      </w:pPr>
      <w:r>
        <w:rPr>
          <w:rFonts w:hint="cs"/>
          <w:u w:val="single"/>
          <w:rtl/>
        </w:rPr>
        <w:t>טיעוני הצדדים לעונש</w:t>
      </w:r>
    </w:p>
    <w:p w14:paraId="617BB19E" w14:textId="77777777" w:rsidR="00183B8A" w:rsidRDefault="00183B8A" w:rsidP="00183B8A">
      <w:pPr>
        <w:spacing w:line="360" w:lineRule="auto"/>
        <w:ind w:left="720" w:hanging="720"/>
        <w:jc w:val="both"/>
        <w:rPr>
          <w:rtl/>
        </w:rPr>
      </w:pPr>
    </w:p>
    <w:p w14:paraId="6159E638" w14:textId="77777777" w:rsidR="00183B8A" w:rsidRDefault="00183B8A" w:rsidP="00183B8A">
      <w:pPr>
        <w:spacing w:line="360" w:lineRule="auto"/>
        <w:ind w:left="720" w:hanging="720"/>
        <w:jc w:val="both"/>
        <w:rPr>
          <w:rtl/>
        </w:rPr>
      </w:pPr>
      <w:r>
        <w:rPr>
          <w:rFonts w:hint="cs"/>
          <w:rtl/>
        </w:rPr>
        <w:t>9.</w:t>
      </w:r>
      <w:r>
        <w:rPr>
          <w:rFonts w:hint="cs"/>
          <w:rtl/>
        </w:rPr>
        <w:tab/>
        <w:t xml:space="preserve">בפתח טיעוניה לעונש, הפנתה המאשימה לחומרת העבירות בהן הורשע הנאשם בציינה כי העונש המרבי הקבוע בגין עבירה של החזקת נשק הוא 7 שנות מאסר ואילו בעבירה של נשיאה והובלת נשק, העונש המרבי עומד על 10 שנות מאסר. בהקשר זה ציינה המאשימה את תפקידו של בית המשפט במלחמה בתופעת האלימות הגואה באמצעות שימוש בנשק, בראש ובראשונה בדרך של הטלת עונשים מחמירים בעבירות החזקת נשק על נגזרותיהן. נאמר כי העבירות בהן הורשע הנאשם פוגעות בערכים מוגנים חשובים ביותר ובהם הגנה על שלמות גופו של אדם, הגנה על בריאות הציבור, מלחמה בהחזקת כלי נשק בלתי חוקי בידי גורמים עבריינים ומניעת העברת נשק לגורמים עוינים. </w:t>
      </w:r>
    </w:p>
    <w:p w14:paraId="50E1DACB" w14:textId="77777777" w:rsidR="00183B8A" w:rsidRDefault="00183B8A" w:rsidP="00183B8A">
      <w:pPr>
        <w:spacing w:line="360" w:lineRule="auto"/>
        <w:ind w:left="720" w:hanging="720"/>
        <w:jc w:val="both"/>
        <w:rPr>
          <w:rtl/>
        </w:rPr>
      </w:pPr>
    </w:p>
    <w:p w14:paraId="03937F88" w14:textId="77777777" w:rsidR="00183B8A" w:rsidRDefault="00183B8A" w:rsidP="00183B8A">
      <w:pPr>
        <w:spacing w:line="360" w:lineRule="auto"/>
        <w:ind w:left="720" w:hanging="720"/>
        <w:jc w:val="both"/>
        <w:rPr>
          <w:rtl/>
        </w:rPr>
      </w:pPr>
      <w:r>
        <w:rPr>
          <w:rFonts w:hint="cs"/>
          <w:rtl/>
        </w:rPr>
        <w:t>10.</w:t>
      </w:r>
      <w:r>
        <w:rPr>
          <w:rFonts w:hint="cs"/>
          <w:rtl/>
        </w:rPr>
        <w:tab/>
        <w:t xml:space="preserve">בנסיבות הקשורות בביצוע העבירה, מנתה המאשימה את התכנון שקדם לה העולה מעובדות כתב האישום ובכלל זאת האופן בו השיג הנאשם את הנשק והתחמושת, הובילם לביתו, ארז אותם בניילון נצמד והניחם על ארון הבגדים. עוד הפנתה המאשימה לנזקים הפוטנציאליים שעלולים היו להיגרם מביצוע העבירות, בשים לב לכך שמדובר בנשק אוטומטי בעל פוטנציאל נזק גדול ביותר. </w:t>
      </w:r>
    </w:p>
    <w:p w14:paraId="4C903974" w14:textId="77777777" w:rsidR="00183B8A" w:rsidRDefault="00183B8A" w:rsidP="00183B8A">
      <w:pPr>
        <w:ind w:left="720" w:hanging="720"/>
        <w:jc w:val="both"/>
        <w:rPr>
          <w:rtl/>
        </w:rPr>
      </w:pPr>
    </w:p>
    <w:p w14:paraId="53F9080F" w14:textId="77777777" w:rsidR="00183B8A" w:rsidRDefault="00183B8A" w:rsidP="00183B8A">
      <w:pPr>
        <w:spacing w:line="360" w:lineRule="auto"/>
        <w:ind w:left="720" w:hanging="720"/>
        <w:jc w:val="both"/>
        <w:rPr>
          <w:rtl/>
        </w:rPr>
      </w:pPr>
      <w:r>
        <w:rPr>
          <w:rtl/>
        </w:rPr>
        <w:tab/>
      </w:r>
      <w:r>
        <w:rPr>
          <w:rFonts w:hint="cs"/>
          <w:rtl/>
        </w:rPr>
        <w:t xml:space="preserve">באשר לנסיבות שאינן קשורות בביצוע העבירות נשוא הדיון בענייננו, הפנתה המאשימה להרשעותיו הקודמות של הנאשם ובכללן הרשעה בעבירות אלימות חמורות של חבלה חמורה כשהעבריין מזויין.  </w:t>
      </w:r>
    </w:p>
    <w:p w14:paraId="13B6F707" w14:textId="77777777" w:rsidR="00183B8A" w:rsidRDefault="00183B8A" w:rsidP="00183B8A">
      <w:pPr>
        <w:ind w:left="720" w:hanging="720"/>
        <w:jc w:val="both"/>
        <w:rPr>
          <w:rtl/>
        </w:rPr>
      </w:pPr>
    </w:p>
    <w:p w14:paraId="6D2F7745" w14:textId="77777777" w:rsidR="00183B8A" w:rsidRDefault="00183B8A" w:rsidP="00183B8A">
      <w:pPr>
        <w:spacing w:line="360" w:lineRule="auto"/>
        <w:ind w:left="720" w:hanging="720"/>
        <w:jc w:val="both"/>
        <w:rPr>
          <w:rtl/>
        </w:rPr>
      </w:pPr>
      <w:r>
        <w:rPr>
          <w:rFonts w:hint="cs"/>
          <w:rtl/>
        </w:rPr>
        <w:t>11.</w:t>
      </w:r>
      <w:r>
        <w:rPr>
          <w:rFonts w:hint="cs"/>
          <w:rtl/>
        </w:rPr>
        <w:tab/>
        <w:t>בהתייחס לתסקיר שירות המבחן ציינה המאשימה כי ההסבר שנשמע מפי הנאשם כאילו רכש את הנשק לצורך הגנה עצמית הינו גרסה עובדתית שאינה מוסכמת על המאשימה ואין לעמדה זו ביטוי בעובדות כתב האישום המתוקן, בו הודה הנאשם. המאשימה הפנתה לכך שבסיכומו של דבר לא בא שירות המבחן בכל המלצה טיפולית בעניינו של הנאשם.</w:t>
      </w:r>
    </w:p>
    <w:p w14:paraId="50FF86F4" w14:textId="77777777" w:rsidR="00183B8A" w:rsidRDefault="00183B8A" w:rsidP="00183B8A">
      <w:pPr>
        <w:ind w:left="720" w:hanging="720"/>
        <w:jc w:val="both"/>
        <w:rPr>
          <w:rtl/>
        </w:rPr>
      </w:pPr>
    </w:p>
    <w:p w14:paraId="75E92643" w14:textId="77777777" w:rsidR="00183B8A" w:rsidRDefault="00183B8A" w:rsidP="00183B8A">
      <w:pPr>
        <w:spacing w:line="360" w:lineRule="auto"/>
        <w:ind w:left="720" w:hanging="720"/>
        <w:jc w:val="both"/>
        <w:rPr>
          <w:rtl/>
        </w:rPr>
      </w:pPr>
      <w:r>
        <w:rPr>
          <w:rFonts w:hint="cs"/>
          <w:rtl/>
        </w:rPr>
        <w:t>12.</w:t>
      </w:r>
      <w:r>
        <w:rPr>
          <w:rFonts w:hint="cs"/>
          <w:rtl/>
        </w:rPr>
        <w:tab/>
        <w:t>בהתחשב במקבץ האמור, סבורה המאשימה כי מתחם העונש ההולם המתחייב בגין העבירות בהן הורשע הנאשם נע בין מאסר בפועל למשך שנתיים וחצי ועד חמש שנות מאסר. זאת, לצד מאסר מותנה וחיוב בקנס כספי. לדעת המאשימה, בשקלול הנסיבות, ראוי שהעונש שיושת על הנאשם יהיה במרכז מתחם הענישה המוצע בצירוף מאסר מותנה ארוך ומשמעותי ותשלום קנס לאוצר המדינה.</w:t>
      </w:r>
    </w:p>
    <w:p w14:paraId="0C6DE090" w14:textId="77777777" w:rsidR="00183B8A" w:rsidRDefault="00183B8A" w:rsidP="00183B8A">
      <w:pPr>
        <w:spacing w:line="360" w:lineRule="auto"/>
        <w:ind w:left="720" w:hanging="720"/>
        <w:jc w:val="both"/>
        <w:rPr>
          <w:rtl/>
        </w:rPr>
      </w:pPr>
    </w:p>
    <w:p w14:paraId="6E4CB07A" w14:textId="77777777" w:rsidR="00183B8A" w:rsidRDefault="00183B8A" w:rsidP="00183B8A">
      <w:pPr>
        <w:spacing w:line="360" w:lineRule="auto"/>
        <w:ind w:left="720" w:hanging="720"/>
        <w:jc w:val="both"/>
        <w:rPr>
          <w:rtl/>
        </w:rPr>
      </w:pPr>
      <w:r>
        <w:rPr>
          <w:rFonts w:hint="cs"/>
          <w:rtl/>
        </w:rPr>
        <w:t>13.</w:t>
      </w:r>
      <w:r>
        <w:rPr>
          <w:rFonts w:hint="cs"/>
          <w:rtl/>
        </w:rPr>
        <w:tab/>
        <w:t>בראשית דבריו, ציין הסנגור כי כאשר הגיעה המשטרה לביתו של הנאשם, הוא כיוון את השוטרים, עוד בטרם החלו בביצוע החיפוש, לערוך את החיפוש בתוך חדר השינה שלו מעל ארון הבגדים. נאמר כי החל מהודעתו הראשונה במשטרה, לאחר תפיסת הנשק, שיתף הנאשם פעולה באופן מלא עם חוקריו ומסר גרסה מפורטת מבלי להסתיר או להחסיר דבר. הנאשם לא ניסה להרחיק עצמו ממעשה העבירה, לא התנער ממעשיו ולא הקשה על חוקריו אלא אישר כי הנשק שייך לו וכי הוא החזיק בו במקום שבו נתפס. בנוסף, סיפק הנאשם פרטים שהיו אך בידיעתו כגון נקודת המפגש בה פגש את האחר ממנו רכש את הנשק, המרחק אותו עשה עד שהגיע לביתו, המחיר ששילם תמורת הנשק ועוד כהנה פרטים. לטענת הסנגור, התנהלות זו מצביעה על יושרו וכנותו של הנאשם ועל הכבוד אותו הוא רוחש לרשויות האכיפה והחוק.</w:t>
      </w:r>
    </w:p>
    <w:p w14:paraId="0F1B330E" w14:textId="77777777" w:rsidR="00183B8A" w:rsidRDefault="00183B8A" w:rsidP="00183B8A">
      <w:pPr>
        <w:spacing w:line="360" w:lineRule="auto"/>
        <w:ind w:left="720" w:hanging="720"/>
        <w:jc w:val="both"/>
        <w:rPr>
          <w:rtl/>
        </w:rPr>
      </w:pPr>
    </w:p>
    <w:p w14:paraId="218267F2" w14:textId="77777777" w:rsidR="00183B8A" w:rsidRDefault="00183B8A" w:rsidP="00183B8A">
      <w:pPr>
        <w:spacing w:line="360" w:lineRule="auto"/>
        <w:ind w:left="720" w:hanging="720"/>
        <w:jc w:val="both"/>
        <w:rPr>
          <w:rtl/>
        </w:rPr>
      </w:pPr>
      <w:r>
        <w:rPr>
          <w:rtl/>
        </w:rPr>
        <w:tab/>
      </w:r>
      <w:r>
        <w:rPr>
          <w:rFonts w:hint="cs"/>
          <w:rtl/>
        </w:rPr>
        <w:t xml:space="preserve">אף בהליכים בפני בית המשפט, הודה הנאשם בשלב מוקדם במיוחס לו וביטא בכך חרטה אמיתית וכנה על מעשה העבירה ונטילת אחריות מלאה מצידו על מעשיו. </w:t>
      </w:r>
    </w:p>
    <w:p w14:paraId="22DA69CF" w14:textId="77777777" w:rsidR="00183B8A" w:rsidRDefault="00183B8A" w:rsidP="00183B8A">
      <w:pPr>
        <w:spacing w:line="360" w:lineRule="auto"/>
        <w:ind w:left="720" w:hanging="720"/>
        <w:jc w:val="both"/>
        <w:rPr>
          <w:rtl/>
        </w:rPr>
      </w:pPr>
    </w:p>
    <w:p w14:paraId="3019FB33" w14:textId="77777777" w:rsidR="00183B8A" w:rsidRDefault="00183B8A" w:rsidP="00183B8A">
      <w:pPr>
        <w:spacing w:line="360" w:lineRule="auto"/>
        <w:ind w:left="720" w:hanging="720"/>
        <w:jc w:val="both"/>
        <w:rPr>
          <w:rtl/>
        </w:rPr>
      </w:pPr>
      <w:r>
        <w:rPr>
          <w:rFonts w:hint="cs"/>
          <w:rtl/>
        </w:rPr>
        <w:t>14.</w:t>
      </w:r>
      <w:r>
        <w:rPr>
          <w:rFonts w:hint="cs"/>
          <w:rtl/>
        </w:rPr>
        <w:tab/>
        <w:t>ב"כ הנאשם עמד על הערך החברתי שנפגע כתוצאה מביצוע עבירות נשק. יחד עם זאת, ציין כי עבירות אלה מכילות מדרג רחב של חומרה וכי המקרה העומד לפנינו נמנה על הרף הנמוך המצוי בתחתית סולם החומרה. מדובר באירוע אחד ובודד, מדובר בהובלה ונשיאת נשק למרחק קצר ביותר בין נקודת המפגש הסמוכה לביתו של הנאשם ועד לביתו, אין כל עבירות נלוות כגון שימוש בנשק או ביצוע ירי ולא נגרם כל נזק לרכוש או לאדם. לטענת הסנגור, המקום בו הוחזק הנשק, בתוך חדר השינה בביתו של הנאשם, הוא בבחינת נסיבה לקולא, שכן במקום נעול ושמור כגון זה לא היה כל חשש שהנשק יגיע לידיים זרות ובלתי רצויות. מקום הימצאות הנשק מצביע על כך שלא היתה כל תכנית עבריינית מצד הנאשם ביחס לנשק, אחרת היה דואג להרחיקו מעצמו ומביתו.</w:t>
      </w:r>
      <w:r>
        <w:rPr>
          <w:rFonts w:hint="cs"/>
        </w:rPr>
        <w:t xml:space="preserve"> </w:t>
      </w:r>
    </w:p>
    <w:p w14:paraId="6FC69490" w14:textId="77777777" w:rsidR="00183B8A" w:rsidRDefault="00183B8A" w:rsidP="00183B8A">
      <w:pPr>
        <w:spacing w:line="360" w:lineRule="auto"/>
        <w:ind w:left="720" w:hanging="720"/>
        <w:jc w:val="both"/>
        <w:rPr>
          <w:rtl/>
        </w:rPr>
      </w:pPr>
    </w:p>
    <w:p w14:paraId="303E4BA1" w14:textId="77777777" w:rsidR="00183B8A" w:rsidRDefault="00183B8A" w:rsidP="00183B8A">
      <w:pPr>
        <w:spacing w:line="360" w:lineRule="auto"/>
        <w:ind w:left="720" w:hanging="720"/>
        <w:jc w:val="both"/>
        <w:rPr>
          <w:rtl/>
        </w:rPr>
      </w:pPr>
      <w:r>
        <w:rPr>
          <w:rFonts w:hint="cs"/>
          <w:rtl/>
        </w:rPr>
        <w:tab/>
        <w:t>זאת ועוד, העובדה שהנשק נתפס עם המחסנית וכל הכדורים וכי אלה מצויים בידי המשטרה ללא חסרים מלמדת על כך שהנאשם לא ירה ולו כדור אחד. גם תקופת ההחזקה בנשק, חודש ימים בקירוב, היא בבחינת נסיבה מקלה. העובדה שמדובר בנשק מאולתר אף היא מלמדת, לשיטת הסנגור, על מסוכנות מופחתת. נאמר כי מבלי לזלזל בנשק מסוג זה, הרי הוא פחות מסוכן מכלים משוכללים כגון רובים אוטומטיים או אקדחים.</w:t>
      </w:r>
    </w:p>
    <w:p w14:paraId="60E827F1" w14:textId="77777777" w:rsidR="00183B8A" w:rsidRDefault="00183B8A" w:rsidP="00183B8A">
      <w:pPr>
        <w:spacing w:line="360" w:lineRule="auto"/>
        <w:ind w:left="720" w:hanging="720"/>
        <w:jc w:val="both"/>
        <w:rPr>
          <w:rtl/>
        </w:rPr>
      </w:pPr>
    </w:p>
    <w:p w14:paraId="45513B31" w14:textId="77777777" w:rsidR="00183B8A" w:rsidRDefault="00183B8A" w:rsidP="00183B8A">
      <w:pPr>
        <w:spacing w:line="360" w:lineRule="auto"/>
        <w:ind w:left="720" w:hanging="720"/>
        <w:jc w:val="both"/>
        <w:rPr>
          <w:rtl/>
        </w:rPr>
      </w:pPr>
    </w:p>
    <w:p w14:paraId="58589D31" w14:textId="77777777" w:rsidR="00183B8A" w:rsidRDefault="00183B8A" w:rsidP="00183B8A">
      <w:pPr>
        <w:spacing w:line="360" w:lineRule="auto"/>
        <w:ind w:left="720" w:hanging="720"/>
        <w:jc w:val="both"/>
        <w:rPr>
          <w:rtl/>
        </w:rPr>
      </w:pPr>
    </w:p>
    <w:p w14:paraId="5A934B33" w14:textId="77777777" w:rsidR="00183B8A" w:rsidRDefault="00183B8A" w:rsidP="00183B8A">
      <w:pPr>
        <w:spacing w:line="360" w:lineRule="auto"/>
        <w:ind w:left="720" w:hanging="720"/>
        <w:jc w:val="both"/>
        <w:rPr>
          <w:rtl/>
        </w:rPr>
      </w:pPr>
      <w:r>
        <w:rPr>
          <w:rFonts w:hint="cs"/>
          <w:rtl/>
        </w:rPr>
        <w:t>15.</w:t>
      </w:r>
      <w:r>
        <w:rPr>
          <w:rFonts w:hint="cs"/>
          <w:rtl/>
        </w:rPr>
        <w:tab/>
        <w:t xml:space="preserve">לגבי עבירת הנשיאה וההובלה, טען הסנגור כי כל מעשה עבירה של החזקת נשק כרוך בו מעצם טיבו אלמנט של הובלה ונשיאה. לפי עובדות כתב האישום המתוקן, הנאשם עשה מרחק קצר מהנקודה בה קיבל את הנשק לידיו ועד שהגיע לביתו. לא מדובר במי שיצא מרחובותיה של העיר או אפילו ממתחם שכונת מגוריו, כשהוא נושא ומוביל את הנשק. </w:t>
      </w:r>
    </w:p>
    <w:p w14:paraId="5FB8BAAB" w14:textId="77777777" w:rsidR="00183B8A" w:rsidRDefault="00183B8A" w:rsidP="00183B8A">
      <w:pPr>
        <w:spacing w:line="360" w:lineRule="auto"/>
        <w:ind w:left="720" w:hanging="720"/>
        <w:jc w:val="both"/>
        <w:rPr>
          <w:rtl/>
        </w:rPr>
      </w:pPr>
    </w:p>
    <w:p w14:paraId="4CDE157A" w14:textId="77777777" w:rsidR="00183B8A" w:rsidRDefault="00183B8A" w:rsidP="00183B8A">
      <w:pPr>
        <w:spacing w:line="360" w:lineRule="auto"/>
        <w:ind w:left="720" w:hanging="720"/>
        <w:jc w:val="both"/>
        <w:rPr>
          <w:rtl/>
        </w:rPr>
      </w:pPr>
      <w:r>
        <w:rPr>
          <w:rFonts w:hint="cs"/>
          <w:rtl/>
        </w:rPr>
        <w:t>16.</w:t>
      </w:r>
      <w:r>
        <w:rPr>
          <w:rFonts w:hint="cs"/>
          <w:rtl/>
        </w:rPr>
        <w:tab/>
        <w:t xml:space="preserve">ב"כ הנאשם הציג אסופת פסיקה המצביעה על עונשים קלים בהרבה מאלו אליהם הפנתה המאשימה. נאמר כי מתחם העונש כפי שהוצג בטיעוני המאשימה הוא מוגזם, קיצוני ואינו תואם את נסיבותיו של הנאשם. </w:t>
      </w:r>
    </w:p>
    <w:p w14:paraId="7EEABD9C" w14:textId="77777777" w:rsidR="00183B8A" w:rsidRDefault="00183B8A" w:rsidP="00183B8A">
      <w:pPr>
        <w:spacing w:line="360" w:lineRule="auto"/>
        <w:ind w:left="720" w:hanging="720"/>
        <w:jc w:val="both"/>
        <w:rPr>
          <w:rtl/>
        </w:rPr>
      </w:pPr>
    </w:p>
    <w:p w14:paraId="0E791724" w14:textId="77777777" w:rsidR="00183B8A" w:rsidRDefault="00183B8A" w:rsidP="00183B8A">
      <w:pPr>
        <w:spacing w:line="360" w:lineRule="auto"/>
        <w:ind w:left="720" w:hanging="720"/>
        <w:jc w:val="both"/>
        <w:rPr>
          <w:rtl/>
        </w:rPr>
      </w:pPr>
      <w:r>
        <w:rPr>
          <w:rFonts w:hint="cs"/>
          <w:rtl/>
        </w:rPr>
        <w:t>17.</w:t>
      </w:r>
      <w:r>
        <w:rPr>
          <w:rFonts w:hint="cs"/>
          <w:rtl/>
        </w:rPr>
        <w:tab/>
        <w:t>בהתייחס לנסיבותיו האישיות של הנאשם, ציין סנגורו כי לבד משתי עבירות בתחום הבנייה, עומדת לחובתו הרשעה מלפני שנים רבות בעבירת אלימות. בנסיבות, לא ניתן לומר כי מדובר בעבריין מועד או מי שסיגל לעצמו התנהגות פלילית. עוד נאמר כי הנאשם מצוי מזה זמן רב במעצר ולמרות הקושי בתנאי המעצר, התנהגותו היתה חיובית למדי. עוד במסגרת הנסיבות האישיות מנה הסנגור את העובדה כי לנאשם שני ילדים קטינים בני שנה וחצי ושלוש וחצי ותינוק שלישי בן חודשים אחדים שנולד במהלך מעצרו. הנאשם הינו המפרנס העיקרי במשפחתו והפגיעה שתגרם למשפחתו הגרעינית מעונש מחמיר הינה קשה.</w:t>
      </w:r>
    </w:p>
    <w:p w14:paraId="56797128" w14:textId="77777777" w:rsidR="00183B8A" w:rsidRDefault="00183B8A" w:rsidP="00183B8A">
      <w:pPr>
        <w:spacing w:line="360" w:lineRule="auto"/>
        <w:ind w:left="720" w:hanging="720"/>
        <w:jc w:val="both"/>
        <w:rPr>
          <w:rtl/>
        </w:rPr>
      </w:pPr>
    </w:p>
    <w:p w14:paraId="0BF6E466" w14:textId="77777777" w:rsidR="00183B8A" w:rsidRDefault="00183B8A" w:rsidP="00183B8A">
      <w:pPr>
        <w:spacing w:line="360" w:lineRule="auto"/>
        <w:ind w:left="720" w:hanging="720"/>
        <w:jc w:val="both"/>
        <w:rPr>
          <w:rtl/>
        </w:rPr>
      </w:pPr>
      <w:r>
        <w:rPr>
          <w:rtl/>
        </w:rPr>
        <w:tab/>
      </w:r>
      <w:r>
        <w:rPr>
          <w:rFonts w:hint="cs"/>
          <w:rtl/>
        </w:rPr>
        <w:t xml:space="preserve">לפיכך, הוצע להסתפק בתקופת המעצר שבה היה הנאשם נתון ולחלופין, להשית עליו מאסר שלא יחרוג מעשרה חודשים לכל היותר. </w:t>
      </w:r>
    </w:p>
    <w:p w14:paraId="19A4E0DE" w14:textId="77777777" w:rsidR="00183B8A" w:rsidRDefault="00183B8A" w:rsidP="00183B8A">
      <w:pPr>
        <w:spacing w:line="360" w:lineRule="auto"/>
        <w:ind w:left="720" w:hanging="720"/>
        <w:jc w:val="both"/>
        <w:rPr>
          <w:rtl/>
        </w:rPr>
      </w:pPr>
    </w:p>
    <w:p w14:paraId="655366E2" w14:textId="77777777" w:rsidR="00183B8A" w:rsidRDefault="00183B8A" w:rsidP="00183B8A">
      <w:pPr>
        <w:spacing w:line="360" w:lineRule="auto"/>
        <w:ind w:left="720" w:hanging="720"/>
        <w:jc w:val="both"/>
        <w:rPr>
          <w:u w:val="single"/>
          <w:rtl/>
        </w:rPr>
      </w:pPr>
      <w:r>
        <w:rPr>
          <w:rFonts w:hint="cs"/>
          <w:u w:val="single"/>
          <w:rtl/>
        </w:rPr>
        <w:t>דברו האחרון של הנאשם</w:t>
      </w:r>
    </w:p>
    <w:p w14:paraId="4B9EDBD2" w14:textId="77777777" w:rsidR="00183B8A" w:rsidRDefault="00183B8A" w:rsidP="00183B8A">
      <w:pPr>
        <w:spacing w:line="360" w:lineRule="auto"/>
        <w:ind w:left="720" w:hanging="720"/>
        <w:jc w:val="both"/>
        <w:rPr>
          <w:u w:val="single"/>
          <w:rtl/>
        </w:rPr>
      </w:pPr>
    </w:p>
    <w:p w14:paraId="2863DA76" w14:textId="77777777" w:rsidR="00183B8A" w:rsidRDefault="00183B8A" w:rsidP="00183B8A">
      <w:pPr>
        <w:spacing w:line="360" w:lineRule="auto"/>
        <w:ind w:left="720" w:hanging="720"/>
        <w:jc w:val="both"/>
        <w:rPr>
          <w:rtl/>
        </w:rPr>
      </w:pPr>
      <w:r>
        <w:rPr>
          <w:rFonts w:hint="cs"/>
          <w:rtl/>
        </w:rPr>
        <w:t>18.</w:t>
      </w:r>
      <w:r>
        <w:rPr>
          <w:rFonts w:hint="cs"/>
          <w:rtl/>
        </w:rPr>
        <w:tab/>
        <w:t>בדברו האחרון, הביע הנאשם צער על מעשיו ובקש מבית המשפט להסתפק בתקופת מעצרו, בציינו כי הוא עבד על עצמו בתקופה זו והשתקם. עוד הוסיף כי הוא לא ראה את בנו מאז נולד, נוכח היותו נתון במעצר.</w:t>
      </w:r>
    </w:p>
    <w:p w14:paraId="19C0AC2C" w14:textId="77777777" w:rsidR="00183B8A" w:rsidRDefault="00183B8A" w:rsidP="00183B8A">
      <w:pPr>
        <w:spacing w:line="360" w:lineRule="auto"/>
        <w:ind w:left="720" w:hanging="720"/>
        <w:jc w:val="both"/>
        <w:rPr>
          <w:rtl/>
        </w:rPr>
      </w:pPr>
    </w:p>
    <w:p w14:paraId="0F99DC85" w14:textId="77777777" w:rsidR="00183B8A" w:rsidRDefault="00183B8A" w:rsidP="00183B8A">
      <w:pPr>
        <w:spacing w:line="360" w:lineRule="auto"/>
        <w:ind w:left="720" w:hanging="720"/>
        <w:jc w:val="both"/>
        <w:rPr>
          <w:u w:val="single"/>
          <w:rtl/>
        </w:rPr>
      </w:pPr>
      <w:r>
        <w:rPr>
          <w:rFonts w:hint="cs"/>
          <w:u w:val="single"/>
          <w:rtl/>
        </w:rPr>
        <w:t>דיון והכרעה</w:t>
      </w:r>
    </w:p>
    <w:p w14:paraId="1CAD8733" w14:textId="77777777" w:rsidR="00183B8A" w:rsidRDefault="00183B8A" w:rsidP="00183B8A">
      <w:pPr>
        <w:spacing w:line="360" w:lineRule="auto"/>
        <w:ind w:left="720" w:hanging="720"/>
        <w:jc w:val="both"/>
        <w:rPr>
          <w:u w:val="single"/>
          <w:rtl/>
        </w:rPr>
      </w:pPr>
    </w:p>
    <w:p w14:paraId="482881CC" w14:textId="77777777" w:rsidR="00183B8A" w:rsidRDefault="00183B8A" w:rsidP="00183B8A">
      <w:pPr>
        <w:spacing w:line="360" w:lineRule="auto"/>
        <w:ind w:left="720" w:hanging="720"/>
        <w:jc w:val="both"/>
        <w:rPr>
          <w:rtl/>
        </w:rPr>
      </w:pPr>
      <w:r>
        <w:rPr>
          <w:rFonts w:hint="cs"/>
          <w:rtl/>
        </w:rPr>
        <w:t>19.</w:t>
      </w:r>
      <w:r>
        <w:rPr>
          <w:rFonts w:hint="cs"/>
          <w:rtl/>
        </w:rPr>
        <w:tab/>
        <w:t xml:space="preserve">בבואו לקבוע את מתחם העונש ההולם, על בית המשפט להתחשב בערכים החברתיים שנפגעו מביצוע העבירה, במידת הפגיעה בהם, במדיניות הענישה הנהוגה ובנסיבות הקשורות בביצוע העבירה, כמפורט </w:t>
      </w:r>
      <w:hyperlink r:id="rId13" w:history="1">
        <w:r w:rsidR="00FD3783" w:rsidRPr="00FD3783">
          <w:rPr>
            <w:rStyle w:val="Hyperlink"/>
            <w:rFonts w:hint="eastAsia"/>
            <w:color w:val="0000FF"/>
            <w:rtl/>
          </w:rPr>
          <w:t>בסעיף</w:t>
        </w:r>
        <w:r w:rsidR="00FD3783" w:rsidRPr="00FD3783">
          <w:rPr>
            <w:rStyle w:val="Hyperlink"/>
            <w:color w:val="0000FF"/>
            <w:rtl/>
          </w:rPr>
          <w:t xml:space="preserve"> 40ט (א)</w:t>
        </w:r>
      </w:hyperlink>
      <w:r>
        <w:rPr>
          <w:rFonts w:hint="cs"/>
          <w:rtl/>
        </w:rPr>
        <w:t xml:space="preserve"> ל</w:t>
      </w:r>
      <w:hyperlink r:id="rId14" w:history="1">
        <w:r w:rsidR="003933E4" w:rsidRPr="003933E4">
          <w:rPr>
            <w:color w:val="0000FF"/>
            <w:u w:val="single"/>
            <w:rtl/>
          </w:rPr>
          <w:t>חוק העונשין</w:t>
        </w:r>
      </w:hyperlink>
      <w:r>
        <w:rPr>
          <w:rFonts w:hint="cs"/>
          <w:rtl/>
        </w:rPr>
        <w:t>.</w:t>
      </w:r>
    </w:p>
    <w:p w14:paraId="550859E2" w14:textId="77777777" w:rsidR="00183B8A" w:rsidRDefault="00183B8A" w:rsidP="00183B8A">
      <w:pPr>
        <w:spacing w:line="360" w:lineRule="auto"/>
        <w:ind w:left="720" w:hanging="720"/>
        <w:jc w:val="both"/>
        <w:rPr>
          <w:rtl/>
        </w:rPr>
      </w:pPr>
    </w:p>
    <w:p w14:paraId="3C6D06B9" w14:textId="77777777" w:rsidR="00183B8A" w:rsidRDefault="00183B8A" w:rsidP="00183B8A">
      <w:pPr>
        <w:spacing w:line="360" w:lineRule="auto"/>
        <w:ind w:left="720" w:hanging="720"/>
        <w:jc w:val="both"/>
        <w:rPr>
          <w:rtl/>
        </w:rPr>
      </w:pPr>
    </w:p>
    <w:p w14:paraId="3DA7B5F5" w14:textId="77777777" w:rsidR="00183B8A" w:rsidRDefault="00183B8A" w:rsidP="00183B8A">
      <w:pPr>
        <w:spacing w:line="360" w:lineRule="auto"/>
        <w:ind w:left="720" w:hanging="720"/>
        <w:jc w:val="both"/>
        <w:rPr>
          <w:rtl/>
        </w:rPr>
      </w:pPr>
      <w:r>
        <w:rPr>
          <w:rFonts w:hint="cs"/>
          <w:rtl/>
        </w:rPr>
        <w:t>20.</w:t>
      </w:r>
      <w:r>
        <w:rPr>
          <w:rFonts w:hint="cs"/>
          <w:rtl/>
        </w:rPr>
        <w:tab/>
        <w:t>הערכים החברתיים שנפגעו מביצוע העבירות בענייננו, הם בראש ובראשונה הערך העליון של שמירה על חיי אדם ושלמות גופו ושלום הציבור וביטחונו. מדובר בעבירות שעלולות להוביל לפגיעה אנושה בערך קדושת החיים ומכאן מתחייבת ענישה מחמירה על מנת למגר העבירות בנשק שהפכו זה מכבר למכת מדינה. בפסיקה הודגש במספר רב של הזדמנויות הצורך שבית המשפט יתרום את תרומתו למיגור תופעה זו, בדרך של הטלת עונשים מרתיעים. עמד על כך בית המשפט ב</w:t>
      </w:r>
      <w:hyperlink r:id="rId15" w:history="1">
        <w:r w:rsidR="003933E4" w:rsidRPr="003933E4">
          <w:rPr>
            <w:color w:val="0000FF"/>
            <w:u w:val="single"/>
            <w:rtl/>
          </w:rPr>
          <w:t>ע"פ 1323/13</w:t>
        </w:r>
      </w:hyperlink>
      <w:r>
        <w:rPr>
          <w:rFonts w:hint="cs"/>
          <w:rtl/>
        </w:rPr>
        <w:t xml:space="preserve"> </w:t>
      </w:r>
      <w:r>
        <w:rPr>
          <w:rFonts w:hint="cs"/>
          <w:b/>
          <w:bCs/>
          <w:rtl/>
        </w:rPr>
        <w:t>חסין נ' מדינת ישראל</w:t>
      </w:r>
      <w:r>
        <w:rPr>
          <w:rFonts w:hint="cs"/>
          <w:rtl/>
        </w:rPr>
        <w:t xml:space="preserve"> (5.6.2013) בקבעו:</w:t>
      </w:r>
    </w:p>
    <w:p w14:paraId="65FC4E2B" w14:textId="77777777" w:rsidR="00183B8A" w:rsidRDefault="00183B8A" w:rsidP="00183B8A">
      <w:pPr>
        <w:spacing w:line="360" w:lineRule="auto"/>
        <w:ind w:left="720" w:hanging="720"/>
        <w:jc w:val="both"/>
        <w:rPr>
          <w:rtl/>
        </w:rPr>
      </w:pPr>
    </w:p>
    <w:p w14:paraId="1B4FC37B" w14:textId="77777777" w:rsidR="00183B8A" w:rsidRDefault="00183B8A" w:rsidP="00183B8A">
      <w:pPr>
        <w:pStyle w:val="a9"/>
        <w:rPr>
          <w:rtl/>
        </w:rPr>
      </w:pPr>
      <w:r>
        <w:rPr>
          <w:rFonts w:hint="cs"/>
          <w:rtl/>
        </w:rPr>
        <w:t>"</w:t>
      </w:r>
      <w:r w:rsidRPr="00C81A24">
        <w:rPr>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r>
        <w:rPr>
          <w:rFonts w:hint="cs"/>
          <w:rtl/>
        </w:rPr>
        <w:t>"</w:t>
      </w:r>
      <w:r w:rsidRPr="00C81A24">
        <w:rPr>
          <w:rtl/>
        </w:rPr>
        <w:t>.</w:t>
      </w:r>
    </w:p>
    <w:p w14:paraId="5E0B02D3" w14:textId="77777777" w:rsidR="00183B8A" w:rsidRDefault="00183B8A" w:rsidP="00183B8A">
      <w:pPr>
        <w:spacing w:line="360" w:lineRule="auto"/>
        <w:jc w:val="both"/>
        <w:rPr>
          <w:rtl/>
        </w:rPr>
      </w:pPr>
    </w:p>
    <w:p w14:paraId="67783AE2" w14:textId="77777777" w:rsidR="00183B8A" w:rsidRDefault="00183B8A" w:rsidP="00183B8A">
      <w:pPr>
        <w:spacing w:line="360" w:lineRule="auto"/>
        <w:jc w:val="both"/>
        <w:rPr>
          <w:rtl/>
        </w:rPr>
      </w:pPr>
      <w:r>
        <w:rPr>
          <w:rtl/>
        </w:rPr>
        <w:tab/>
      </w:r>
      <w:r>
        <w:rPr>
          <w:rFonts w:hint="cs"/>
          <w:rtl/>
        </w:rPr>
        <w:t>ב</w:t>
      </w:r>
      <w:hyperlink r:id="rId16" w:history="1">
        <w:r w:rsidR="003933E4" w:rsidRPr="003933E4">
          <w:rPr>
            <w:color w:val="0000FF"/>
            <w:u w:val="single"/>
            <w:rtl/>
          </w:rPr>
          <w:t>ע"פ 27/17</w:t>
        </w:r>
      </w:hyperlink>
      <w:r>
        <w:rPr>
          <w:rFonts w:hint="cs"/>
          <w:rtl/>
        </w:rPr>
        <w:t xml:space="preserve"> </w:t>
      </w:r>
      <w:r>
        <w:rPr>
          <w:rFonts w:hint="cs"/>
          <w:b/>
          <w:bCs/>
          <w:rtl/>
        </w:rPr>
        <w:t>בסל נ' מדינת ישראל</w:t>
      </w:r>
      <w:r>
        <w:rPr>
          <w:rFonts w:hint="cs"/>
          <w:rtl/>
        </w:rPr>
        <w:t xml:space="preserve"> (12.12.2017) מהעת האחרונה נאמר כי:</w:t>
      </w:r>
    </w:p>
    <w:p w14:paraId="0A77CEF7" w14:textId="77777777" w:rsidR="00183B8A" w:rsidRDefault="00183B8A" w:rsidP="00183B8A">
      <w:pPr>
        <w:spacing w:line="360" w:lineRule="auto"/>
        <w:jc w:val="both"/>
        <w:rPr>
          <w:rtl/>
        </w:rPr>
      </w:pPr>
    </w:p>
    <w:p w14:paraId="314B8B8F" w14:textId="77777777" w:rsidR="00183B8A" w:rsidRDefault="00183B8A" w:rsidP="00183B8A">
      <w:pPr>
        <w:pStyle w:val="a9"/>
        <w:rPr>
          <w:rtl/>
        </w:rPr>
      </w:pPr>
      <w:r>
        <w:rPr>
          <w:rFonts w:hint="cs"/>
          <w:rtl/>
        </w:rPr>
        <w:t>"</w:t>
      </w:r>
      <w:r w:rsidRPr="005E42EC">
        <w:rPr>
          <w:rtl/>
        </w:rPr>
        <w:t xml:space="preserve">אין להקל ראש בחומרתן של העבירות שאותן ביצע המערער. בית משפט זה פסק בעבר כי לא ניתן להשלים עם עבירות בכלי נשק, והדגיש את חומרתן הרבה של עבירות אלו, על הסכנות הטמונות בהחזקת נשק שלא כדין, ועל אחת כמה וכמה ברכישה, בנשיאה ובהובלה של נשק שלא כדין, אשר לעיתים משמש לא רק לפעילות עבריינית אלא גם לפעילות חבלנית עוינת על רקע ביטחוני. ואכן, המגמה בשנים האחרונות ביחס לעבירות נשק היא של החמרה ברמת ענישתם של המעורבים בהן, תוך מתן ביטוי עונשי הולם לסכנה הנשקפת מהן (ראו למשל: </w:t>
      </w:r>
      <w:hyperlink r:id="rId17" w:history="1">
        <w:r w:rsidR="003933E4" w:rsidRPr="003933E4">
          <w:rPr>
            <w:color w:val="0000FF"/>
            <w:u w:val="single"/>
            <w:rtl/>
          </w:rPr>
          <w:t>ע"פ 4154/16</w:t>
        </w:r>
      </w:hyperlink>
      <w:r w:rsidRPr="005E42EC">
        <w:rPr>
          <w:rtl/>
        </w:rPr>
        <w:t xml:space="preserve"> </w:t>
      </w:r>
      <w:r w:rsidRPr="005E42EC">
        <w:rPr>
          <w:rFonts w:hint="eastAsia"/>
          <w:b/>
          <w:rtl/>
        </w:rPr>
        <w:t>דהוד</w:t>
      </w:r>
      <w:r w:rsidRPr="005E42EC">
        <w:rPr>
          <w:b/>
          <w:rtl/>
        </w:rPr>
        <w:t xml:space="preserve"> </w:t>
      </w:r>
      <w:r w:rsidRPr="005E42EC">
        <w:rPr>
          <w:rFonts w:hint="eastAsia"/>
          <w:b/>
          <w:rtl/>
        </w:rPr>
        <w:t>נ</w:t>
      </w:r>
      <w:r w:rsidRPr="005E42EC">
        <w:rPr>
          <w:b/>
          <w:rtl/>
        </w:rPr>
        <w:t xml:space="preserve">' </w:t>
      </w:r>
      <w:r w:rsidRPr="005E42EC">
        <w:rPr>
          <w:rFonts w:hint="eastAsia"/>
          <w:b/>
          <w:rtl/>
        </w:rPr>
        <w:t>מדינת</w:t>
      </w:r>
      <w:r w:rsidRPr="005E42EC">
        <w:rPr>
          <w:b/>
          <w:rtl/>
        </w:rPr>
        <w:t xml:space="preserve"> </w:t>
      </w:r>
      <w:r w:rsidRPr="005E42EC">
        <w:rPr>
          <w:rFonts w:hint="eastAsia"/>
          <w:b/>
          <w:rtl/>
        </w:rPr>
        <w:t>ישראל</w:t>
      </w:r>
      <w:r w:rsidRPr="005E42EC">
        <w:rPr>
          <w:rtl/>
        </w:rPr>
        <w:t>, [פורסם בנבו] פסקה 11 (19.1.2017))</w:t>
      </w:r>
      <w:r>
        <w:rPr>
          <w:rFonts w:hint="cs"/>
          <w:rtl/>
        </w:rPr>
        <w:t>"</w:t>
      </w:r>
      <w:r w:rsidRPr="005E42EC">
        <w:rPr>
          <w:rtl/>
        </w:rPr>
        <w:t>.</w:t>
      </w:r>
    </w:p>
    <w:p w14:paraId="3A35BEC6" w14:textId="77777777" w:rsidR="00183B8A" w:rsidRDefault="00183B8A" w:rsidP="00183B8A">
      <w:pPr>
        <w:spacing w:line="360" w:lineRule="auto"/>
        <w:jc w:val="both"/>
        <w:rPr>
          <w:rtl/>
        </w:rPr>
      </w:pPr>
    </w:p>
    <w:p w14:paraId="3AE472E5" w14:textId="77777777" w:rsidR="00183B8A" w:rsidRDefault="00183B8A" w:rsidP="00183B8A">
      <w:pPr>
        <w:spacing w:line="360" w:lineRule="auto"/>
        <w:ind w:left="567" w:hanging="567"/>
        <w:jc w:val="both"/>
        <w:rPr>
          <w:rtl/>
        </w:rPr>
      </w:pPr>
      <w:r>
        <w:rPr>
          <w:rFonts w:hint="cs"/>
          <w:rtl/>
        </w:rPr>
        <w:t>21.</w:t>
      </w:r>
      <w:r>
        <w:rPr>
          <w:rtl/>
        </w:rPr>
        <w:tab/>
      </w:r>
      <w:r>
        <w:rPr>
          <w:rFonts w:hint="cs"/>
          <w:rtl/>
        </w:rPr>
        <w:t>בבואי לבחון את הנסיבות הקשורות בביצוע העבירה ראיתי ליתן משקל לעובדה שמדובר בעבירות שקדם להן תכנון מוקדם. מעובדות כתב האישום עולה בבירור כי הנאשם תאם את רכישת הנשק מאותו אדם שמסר אותו לידיו, נערך כספית לאותה רכישה ונקט בפעולות המתחייבות להשלמת העסקה. במובן זה לא מדובר במעידה רגעית או ספונטאנית. עוד ראיתי להביא בחשבון את הנזק הפוטנציאלי העצום שעלול היה להיגרם מביצוע העבירות. מדובר בנשק אוטומטי שעל אף שהוא מאולתר, הרי שיש בו פוטנציאל לפגיעה רבת עוצמה והוא עלול להביא לפגיעות קשות בגוף ובנפש. יפים לעניין זה דברי בית המשפט ב</w:t>
      </w:r>
      <w:hyperlink r:id="rId18" w:history="1">
        <w:r w:rsidR="003933E4" w:rsidRPr="003933E4">
          <w:rPr>
            <w:color w:val="0000FF"/>
            <w:u w:val="single"/>
            <w:rtl/>
          </w:rPr>
          <w:t>ע"פ 761/07</w:t>
        </w:r>
      </w:hyperlink>
      <w:r>
        <w:rPr>
          <w:rFonts w:hint="cs"/>
          <w:rtl/>
        </w:rPr>
        <w:t xml:space="preserve"> </w:t>
      </w:r>
      <w:r>
        <w:rPr>
          <w:rFonts w:hint="cs"/>
          <w:b/>
          <w:bCs/>
          <w:rtl/>
        </w:rPr>
        <w:t xml:space="preserve">מדינת ישראל נ' אדרי </w:t>
      </w:r>
      <w:r>
        <w:rPr>
          <w:rFonts w:hint="cs"/>
          <w:rtl/>
        </w:rPr>
        <w:t>(22.2.2007) שם נקבע כי:</w:t>
      </w:r>
    </w:p>
    <w:p w14:paraId="6918812C" w14:textId="77777777" w:rsidR="00183B8A" w:rsidRDefault="00183B8A" w:rsidP="00183B8A">
      <w:pPr>
        <w:spacing w:line="360" w:lineRule="auto"/>
        <w:ind w:left="567" w:hanging="567"/>
        <w:jc w:val="both"/>
        <w:rPr>
          <w:rtl/>
        </w:rPr>
      </w:pPr>
    </w:p>
    <w:p w14:paraId="6C2067D9" w14:textId="77777777" w:rsidR="00183B8A" w:rsidRDefault="00183B8A" w:rsidP="00183B8A">
      <w:pPr>
        <w:pStyle w:val="a9"/>
        <w:rPr>
          <w:rtl/>
        </w:rPr>
      </w:pPr>
      <w:r>
        <w:rPr>
          <w:rFonts w:hint="cs"/>
          <w:rtl/>
        </w:rPr>
        <w:t>"</w:t>
      </w:r>
      <w:r w:rsidRPr="002D1DC2">
        <w:rPr>
          <w:rtl/>
        </w:rPr>
        <w:t>ניסיון השנים האחרונות מלמד שנשק המוחזק שלא כדין מוצא את דרכו לעתים לידיים עוינות, ולעתים נעשה בו שימוש למטרות פליליות, ואלה גם אלה כבר גרמו לא אחת לאובדן חיי אדם, ולפגיעה בחפים מפשע שכל "חטאם" נבע מכך שהם נקלעו בדרך מקרה לזירת הפשע. כדי להלחם בכל אלה צריך העונש לבטא את סלידתה של החברה ודעתה הנחרצת שלא להשלים עם עבריינות בכלל, ומסוג זה בפרט</w:t>
      </w:r>
      <w:r>
        <w:rPr>
          <w:rFonts w:hint="cs"/>
          <w:rtl/>
        </w:rPr>
        <w:t>"</w:t>
      </w:r>
      <w:r w:rsidRPr="002D1DC2">
        <w:rPr>
          <w:rtl/>
        </w:rPr>
        <w:t>.</w:t>
      </w:r>
    </w:p>
    <w:p w14:paraId="323CDB21" w14:textId="77777777" w:rsidR="00183B8A" w:rsidRDefault="00183B8A" w:rsidP="00183B8A">
      <w:pPr>
        <w:spacing w:line="360" w:lineRule="auto"/>
        <w:jc w:val="both"/>
        <w:rPr>
          <w:rtl/>
        </w:rPr>
      </w:pPr>
    </w:p>
    <w:p w14:paraId="63AF5F05" w14:textId="77777777" w:rsidR="00183B8A" w:rsidRDefault="00183B8A" w:rsidP="00183B8A">
      <w:pPr>
        <w:spacing w:line="360" w:lineRule="auto"/>
        <w:jc w:val="both"/>
        <w:rPr>
          <w:rtl/>
        </w:rPr>
      </w:pPr>
      <w:r>
        <w:rPr>
          <w:rtl/>
        </w:rPr>
        <w:tab/>
      </w:r>
      <w:r>
        <w:rPr>
          <w:rFonts w:hint="cs"/>
          <w:rtl/>
        </w:rPr>
        <w:t>ב</w:t>
      </w:r>
      <w:hyperlink r:id="rId19" w:history="1">
        <w:r w:rsidR="003933E4" w:rsidRPr="003933E4">
          <w:rPr>
            <w:color w:val="0000FF"/>
            <w:u w:val="single"/>
            <w:rtl/>
          </w:rPr>
          <w:t>ע"פ 8416/09</w:t>
        </w:r>
      </w:hyperlink>
      <w:r>
        <w:rPr>
          <w:rFonts w:hint="cs"/>
          <w:rtl/>
        </w:rPr>
        <w:t xml:space="preserve"> </w:t>
      </w:r>
      <w:r>
        <w:rPr>
          <w:rFonts w:hint="cs"/>
          <w:b/>
          <w:bCs/>
          <w:rtl/>
        </w:rPr>
        <w:t>מדינת ישראל נ' חרבוש</w:t>
      </w:r>
      <w:r>
        <w:rPr>
          <w:rFonts w:hint="cs"/>
          <w:rtl/>
        </w:rPr>
        <w:t xml:space="preserve"> (9.6.2010) נאמר:</w:t>
      </w:r>
    </w:p>
    <w:p w14:paraId="59DD4172" w14:textId="77777777" w:rsidR="00183B8A" w:rsidRDefault="00183B8A" w:rsidP="00183B8A">
      <w:pPr>
        <w:spacing w:line="360" w:lineRule="auto"/>
        <w:jc w:val="both"/>
        <w:rPr>
          <w:rtl/>
        </w:rPr>
      </w:pPr>
    </w:p>
    <w:p w14:paraId="18248B35" w14:textId="77777777" w:rsidR="00183B8A" w:rsidRPr="00A543EB" w:rsidRDefault="00183B8A" w:rsidP="00183B8A">
      <w:pPr>
        <w:pStyle w:val="a9"/>
        <w:rPr>
          <w:rtl/>
        </w:rPr>
      </w:pPr>
      <w:r>
        <w:rPr>
          <w:rFonts w:hint="cs"/>
          <w:rtl/>
        </w:rPr>
        <w:t>"</w:t>
      </w:r>
      <w:r w:rsidRPr="00A543EB">
        <w:rPr>
          <w:rFonts w:hint="eastAsia"/>
          <w:rtl/>
        </w:rPr>
        <w:t>חומרתה</w:t>
      </w:r>
      <w:r w:rsidRPr="00A543EB">
        <w:rPr>
          <w:rtl/>
        </w:rPr>
        <w:t xml:space="preserve"> </w:t>
      </w:r>
      <w:r w:rsidRPr="00A543EB">
        <w:rPr>
          <w:rFonts w:hint="eastAsia"/>
          <w:rtl/>
        </w:rPr>
        <w:t>של</w:t>
      </w:r>
      <w:r w:rsidRPr="00A543EB">
        <w:rPr>
          <w:rtl/>
        </w:rPr>
        <w:t xml:space="preserve"> </w:t>
      </w:r>
      <w:r w:rsidRPr="00A543EB">
        <w:rPr>
          <w:rFonts w:hint="eastAsia"/>
          <w:rtl/>
        </w:rPr>
        <w:t>עבירת</w:t>
      </w:r>
      <w:r w:rsidRPr="00A543EB">
        <w:rPr>
          <w:rtl/>
        </w:rPr>
        <w:t xml:space="preserve"> </w:t>
      </w:r>
      <w:r w:rsidRPr="00A543EB">
        <w:rPr>
          <w:rFonts w:hint="eastAsia"/>
          <w:rtl/>
        </w:rPr>
        <w:t>החזקת</w:t>
      </w:r>
      <w:r w:rsidRPr="00A543EB">
        <w:rPr>
          <w:rtl/>
        </w:rPr>
        <w:t xml:space="preserve"> </w:t>
      </w:r>
      <w:r w:rsidRPr="00A543EB">
        <w:rPr>
          <w:rFonts w:hint="eastAsia"/>
          <w:rtl/>
        </w:rPr>
        <w:t>הנשק</w:t>
      </w:r>
      <w:r w:rsidRPr="00A543EB">
        <w:rPr>
          <w:rtl/>
        </w:rPr>
        <w:t xml:space="preserve">, </w:t>
      </w:r>
      <w:r w:rsidRPr="00A543EB">
        <w:rPr>
          <w:rFonts w:hint="eastAsia"/>
          <w:rtl/>
        </w:rPr>
        <w:t>מקורה</w:t>
      </w:r>
      <w:r w:rsidRPr="00A543EB">
        <w:rPr>
          <w:rtl/>
        </w:rPr>
        <w:t xml:space="preserve"> </w:t>
      </w:r>
      <w:r w:rsidRPr="00A543EB">
        <w:rPr>
          <w:rFonts w:hint="eastAsia"/>
          <w:rtl/>
        </w:rPr>
        <w:t>בכך</w:t>
      </w:r>
      <w:r w:rsidRPr="00A543EB">
        <w:rPr>
          <w:rtl/>
        </w:rPr>
        <w:t xml:space="preserve"> </w:t>
      </w:r>
      <w:r w:rsidRPr="00A543EB">
        <w:rPr>
          <w:rFonts w:hint="eastAsia"/>
          <w:rtl/>
        </w:rPr>
        <w:t>שעבירה</w:t>
      </w:r>
      <w:r w:rsidRPr="00A543EB">
        <w:rPr>
          <w:rtl/>
        </w:rPr>
        <w:t xml:space="preserve"> </w:t>
      </w:r>
      <w:r w:rsidRPr="00A543EB">
        <w:rPr>
          <w:rFonts w:hint="eastAsia"/>
          <w:rtl/>
        </w:rPr>
        <w:t>זאת</w:t>
      </w:r>
      <w:r w:rsidRPr="00A543EB">
        <w:rPr>
          <w:rtl/>
        </w:rPr>
        <w:t xml:space="preserve"> </w:t>
      </w:r>
      <w:r w:rsidRPr="00A543EB">
        <w:rPr>
          <w:rFonts w:hint="eastAsia"/>
          <w:rtl/>
        </w:rPr>
        <w:t>אינה</w:t>
      </w:r>
      <w:r w:rsidRPr="00A543EB">
        <w:rPr>
          <w:rtl/>
        </w:rPr>
        <w:t xml:space="preserve"> </w:t>
      </w:r>
      <w:r w:rsidRPr="00A543EB">
        <w:rPr>
          <w:rFonts w:hint="eastAsia"/>
          <w:rtl/>
        </w:rPr>
        <w:t>נעשית</w:t>
      </w:r>
      <w:r w:rsidRPr="00A543EB">
        <w:rPr>
          <w:rtl/>
        </w:rPr>
        <w:t xml:space="preserve"> </w:t>
      </w:r>
      <w:r w:rsidRPr="00A543EB">
        <w:rPr>
          <w:rFonts w:hint="eastAsia"/>
          <w:rtl/>
        </w:rPr>
        <w:t>לרוב</w:t>
      </w:r>
      <w:r w:rsidRPr="00A543EB">
        <w:rPr>
          <w:rtl/>
        </w:rPr>
        <w:t xml:space="preserve"> </w:t>
      </w:r>
      <w:r w:rsidRPr="00A543EB">
        <w:rPr>
          <w:rFonts w:hint="eastAsia"/>
          <w:rtl/>
        </w:rPr>
        <w:t>אלא</w:t>
      </w:r>
      <w:r w:rsidRPr="00A543EB">
        <w:rPr>
          <w:rtl/>
        </w:rPr>
        <w:t xml:space="preserve"> </w:t>
      </w:r>
      <w:r w:rsidRPr="00A543EB">
        <w:rPr>
          <w:rFonts w:hint="eastAsia"/>
          <w:rtl/>
        </w:rPr>
        <w:t>כדי</w:t>
      </w:r>
      <w:r w:rsidRPr="00A543EB">
        <w:rPr>
          <w:rtl/>
        </w:rPr>
        <w:t xml:space="preserve"> </w:t>
      </w:r>
      <w:r w:rsidRPr="00A543EB">
        <w:rPr>
          <w:rFonts w:hint="eastAsia"/>
          <w:rtl/>
        </w:rPr>
        <w:t>לאפשר</w:t>
      </w:r>
      <w:r w:rsidRPr="00A543EB">
        <w:rPr>
          <w:rtl/>
        </w:rPr>
        <w:t xml:space="preserve"> </w:t>
      </w:r>
      <w:r w:rsidRPr="00A543EB">
        <w:rPr>
          <w:rFonts w:hint="eastAsia"/>
          <w:rtl/>
        </w:rPr>
        <w:t>ביצוען</w:t>
      </w:r>
      <w:r w:rsidRPr="00A543EB">
        <w:rPr>
          <w:rtl/>
        </w:rPr>
        <w:t xml:space="preserve"> </w:t>
      </w:r>
      <w:r w:rsidRPr="00A543EB">
        <w:rPr>
          <w:rFonts w:hint="eastAsia"/>
          <w:rtl/>
        </w:rPr>
        <w:t>של</w:t>
      </w:r>
      <w:r w:rsidRPr="00A543EB">
        <w:rPr>
          <w:rtl/>
        </w:rPr>
        <w:t xml:space="preserve"> </w:t>
      </w:r>
      <w:r w:rsidRPr="00A543EB">
        <w:rPr>
          <w:rFonts w:hint="eastAsia"/>
          <w:rtl/>
        </w:rPr>
        <w:t>עבירות</w:t>
      </w:r>
      <w:r w:rsidRPr="00A543EB">
        <w:rPr>
          <w:rtl/>
        </w:rPr>
        <w:t xml:space="preserve"> </w:t>
      </w:r>
      <w:r w:rsidRPr="00A543EB">
        <w:rPr>
          <w:rFonts w:hint="eastAsia"/>
          <w:rtl/>
        </w:rPr>
        <w:t>אחרות</w:t>
      </w:r>
      <w:r w:rsidRPr="00A543EB">
        <w:rPr>
          <w:rtl/>
        </w:rPr>
        <w:t xml:space="preserve">, </w:t>
      </w:r>
      <w:r w:rsidRPr="00A543EB">
        <w:rPr>
          <w:rFonts w:hint="eastAsia"/>
          <w:rtl/>
        </w:rPr>
        <w:t>שמעצם</w:t>
      </w:r>
      <w:r w:rsidRPr="00A543EB">
        <w:rPr>
          <w:rtl/>
        </w:rPr>
        <w:t xml:space="preserve"> </w:t>
      </w:r>
      <w:r w:rsidRPr="00A543EB">
        <w:rPr>
          <w:rFonts w:hint="eastAsia"/>
          <w:rtl/>
        </w:rPr>
        <w:t>טבעו</w:t>
      </w:r>
      <w:r w:rsidRPr="00A543EB">
        <w:rPr>
          <w:rtl/>
        </w:rPr>
        <w:t xml:space="preserve"> </w:t>
      </w:r>
      <w:r w:rsidRPr="00A543EB">
        <w:rPr>
          <w:rFonts w:hint="eastAsia"/>
          <w:rtl/>
        </w:rPr>
        <w:t>של</w:t>
      </w:r>
      <w:r w:rsidRPr="00A543EB">
        <w:rPr>
          <w:rtl/>
        </w:rPr>
        <w:t xml:space="preserve"> </w:t>
      </w:r>
      <w:r w:rsidRPr="00A543EB">
        <w:rPr>
          <w:rFonts w:hint="eastAsia"/>
          <w:rtl/>
        </w:rPr>
        <w:t>הנשק</w:t>
      </w:r>
      <w:r w:rsidRPr="00A543EB">
        <w:rPr>
          <w:rtl/>
        </w:rPr>
        <w:t xml:space="preserve">, </w:t>
      </w:r>
      <w:r w:rsidRPr="00A543EB">
        <w:rPr>
          <w:rFonts w:hint="eastAsia"/>
          <w:rtl/>
        </w:rPr>
        <w:t>כרוכות</w:t>
      </w:r>
      <w:r w:rsidRPr="00A543EB">
        <w:rPr>
          <w:rtl/>
        </w:rPr>
        <w:t xml:space="preserve"> </w:t>
      </w:r>
      <w:r w:rsidRPr="00A543EB">
        <w:rPr>
          <w:rFonts w:hint="eastAsia"/>
          <w:rtl/>
        </w:rPr>
        <w:t>באלימות</w:t>
      </w:r>
      <w:r w:rsidRPr="00A543EB">
        <w:rPr>
          <w:rtl/>
        </w:rPr>
        <w:t xml:space="preserve"> </w:t>
      </w:r>
      <w:r w:rsidRPr="00A543EB">
        <w:rPr>
          <w:rFonts w:hint="eastAsia"/>
          <w:rtl/>
        </w:rPr>
        <w:t>או</w:t>
      </w:r>
      <w:r w:rsidRPr="00A543EB">
        <w:rPr>
          <w:rtl/>
        </w:rPr>
        <w:t xml:space="preserve"> </w:t>
      </w:r>
      <w:r w:rsidRPr="00A543EB">
        <w:rPr>
          <w:rFonts w:hint="eastAsia"/>
          <w:rtl/>
        </w:rPr>
        <w:t>בהפחדה</w:t>
      </w:r>
      <w:r w:rsidRPr="00A543EB">
        <w:rPr>
          <w:rtl/>
        </w:rPr>
        <w:t xml:space="preserve">. </w:t>
      </w:r>
      <w:r w:rsidRPr="00A543EB">
        <w:rPr>
          <w:rFonts w:hint="eastAsia"/>
          <w:rtl/>
        </w:rPr>
        <w:t>כשעסקינן</w:t>
      </w:r>
      <w:r w:rsidRPr="00A543EB">
        <w:rPr>
          <w:rtl/>
        </w:rPr>
        <w:t xml:space="preserve"> </w:t>
      </w:r>
      <w:r w:rsidRPr="00A543EB">
        <w:rPr>
          <w:rFonts w:hint="eastAsia"/>
          <w:rtl/>
        </w:rPr>
        <w:t>במי</w:t>
      </w:r>
      <w:r w:rsidRPr="00A543EB">
        <w:rPr>
          <w:rtl/>
        </w:rPr>
        <w:t xml:space="preserve"> </w:t>
      </w:r>
      <w:r w:rsidRPr="00A543EB">
        <w:rPr>
          <w:rFonts w:hint="eastAsia"/>
          <w:rtl/>
        </w:rPr>
        <w:t>שהעולם</w:t>
      </w:r>
      <w:r w:rsidRPr="00A543EB">
        <w:rPr>
          <w:rtl/>
        </w:rPr>
        <w:t xml:space="preserve"> </w:t>
      </w:r>
      <w:r w:rsidRPr="00A543EB">
        <w:rPr>
          <w:rFonts w:hint="eastAsia"/>
          <w:rtl/>
        </w:rPr>
        <w:t>הפלילי</w:t>
      </w:r>
      <w:r w:rsidRPr="00A543EB">
        <w:rPr>
          <w:rtl/>
        </w:rPr>
        <w:t xml:space="preserve"> </w:t>
      </w:r>
      <w:r w:rsidRPr="00A543EB">
        <w:rPr>
          <w:rFonts w:hint="eastAsia"/>
          <w:rtl/>
        </w:rPr>
        <w:t>אינו</w:t>
      </w:r>
      <w:r w:rsidRPr="00A543EB">
        <w:rPr>
          <w:rtl/>
        </w:rPr>
        <w:t xml:space="preserve"> </w:t>
      </w:r>
      <w:r w:rsidRPr="00A543EB">
        <w:rPr>
          <w:rFonts w:hint="eastAsia"/>
          <w:rtl/>
        </w:rPr>
        <w:t>זר</w:t>
      </w:r>
      <w:r w:rsidRPr="00A543EB">
        <w:rPr>
          <w:rtl/>
        </w:rPr>
        <w:t xml:space="preserve"> </w:t>
      </w:r>
      <w:r w:rsidRPr="00A543EB">
        <w:rPr>
          <w:rFonts w:hint="eastAsia"/>
          <w:rtl/>
        </w:rPr>
        <w:t>להם</w:t>
      </w:r>
      <w:r w:rsidRPr="00A543EB">
        <w:rPr>
          <w:rtl/>
        </w:rPr>
        <w:t xml:space="preserve"> – </w:t>
      </w:r>
      <w:r w:rsidRPr="00A543EB">
        <w:rPr>
          <w:rFonts w:hint="eastAsia"/>
          <w:rtl/>
        </w:rPr>
        <w:t>כמו</w:t>
      </w:r>
      <w:r w:rsidRPr="00A543EB">
        <w:rPr>
          <w:rtl/>
        </w:rPr>
        <w:t xml:space="preserve"> </w:t>
      </w:r>
      <w:r w:rsidRPr="00A543EB">
        <w:rPr>
          <w:rFonts w:hint="eastAsia"/>
          <w:rtl/>
        </w:rPr>
        <w:t>כמה</w:t>
      </w:r>
      <w:r w:rsidRPr="00A543EB">
        <w:rPr>
          <w:rtl/>
        </w:rPr>
        <w:t xml:space="preserve"> </w:t>
      </w:r>
      <w:r w:rsidRPr="00A543EB">
        <w:rPr>
          <w:rFonts w:hint="eastAsia"/>
          <w:rtl/>
        </w:rPr>
        <w:t>מן</w:t>
      </w:r>
      <w:r w:rsidRPr="00A543EB">
        <w:rPr>
          <w:rtl/>
        </w:rPr>
        <w:t xml:space="preserve"> </w:t>
      </w:r>
      <w:r w:rsidRPr="00A543EB">
        <w:rPr>
          <w:rFonts w:hint="eastAsia"/>
          <w:rtl/>
        </w:rPr>
        <w:t>המעורבים</w:t>
      </w:r>
      <w:r w:rsidRPr="00A543EB">
        <w:rPr>
          <w:rtl/>
        </w:rPr>
        <w:t xml:space="preserve"> </w:t>
      </w:r>
      <w:r w:rsidRPr="00A543EB">
        <w:rPr>
          <w:rFonts w:hint="eastAsia"/>
          <w:rtl/>
        </w:rPr>
        <w:t>בערעור</w:t>
      </w:r>
      <w:r w:rsidRPr="00A543EB">
        <w:rPr>
          <w:rtl/>
        </w:rPr>
        <w:t xml:space="preserve"> </w:t>
      </w:r>
      <w:r w:rsidRPr="00A543EB">
        <w:rPr>
          <w:rFonts w:hint="eastAsia"/>
          <w:rtl/>
        </w:rPr>
        <w:t>שלפנינו</w:t>
      </w:r>
      <w:r w:rsidRPr="00A543EB">
        <w:rPr>
          <w:rtl/>
        </w:rPr>
        <w:t xml:space="preserve"> – </w:t>
      </w:r>
      <w:r w:rsidRPr="00A543EB">
        <w:rPr>
          <w:rFonts w:hint="eastAsia"/>
          <w:rtl/>
        </w:rPr>
        <w:t>ובנשק</w:t>
      </w:r>
      <w:r w:rsidRPr="00A543EB">
        <w:rPr>
          <w:rtl/>
        </w:rPr>
        <w:t xml:space="preserve"> </w:t>
      </w:r>
      <w:r w:rsidRPr="00A543EB">
        <w:rPr>
          <w:rFonts w:hint="eastAsia"/>
          <w:rtl/>
        </w:rPr>
        <w:t>שלו</w:t>
      </w:r>
      <w:r w:rsidRPr="00A543EB">
        <w:rPr>
          <w:rtl/>
        </w:rPr>
        <w:t xml:space="preserve"> </w:t>
      </w:r>
      <w:r w:rsidRPr="00A543EB">
        <w:rPr>
          <w:rFonts w:hint="eastAsia"/>
          <w:rtl/>
        </w:rPr>
        <w:t>משתיק</w:t>
      </w:r>
      <w:r w:rsidRPr="00A543EB">
        <w:rPr>
          <w:rtl/>
        </w:rPr>
        <w:t xml:space="preserve"> </w:t>
      </w:r>
      <w:r w:rsidRPr="00A543EB">
        <w:rPr>
          <w:rFonts w:hint="eastAsia"/>
          <w:rtl/>
        </w:rPr>
        <w:t>קול</w:t>
      </w:r>
      <w:r w:rsidRPr="00A543EB">
        <w:rPr>
          <w:rtl/>
        </w:rPr>
        <w:t xml:space="preserve"> </w:t>
      </w:r>
      <w:r w:rsidRPr="00A543EB">
        <w:rPr>
          <w:rFonts w:hint="eastAsia"/>
          <w:rtl/>
        </w:rPr>
        <w:t>המוחבא</w:t>
      </w:r>
      <w:r w:rsidRPr="00A543EB">
        <w:rPr>
          <w:rtl/>
        </w:rPr>
        <w:t xml:space="preserve"> </w:t>
      </w:r>
      <w:r w:rsidRPr="00A543EB">
        <w:rPr>
          <w:rFonts w:hint="eastAsia"/>
          <w:rtl/>
        </w:rPr>
        <w:t>במקום</w:t>
      </w:r>
      <w:r w:rsidRPr="00A543EB">
        <w:rPr>
          <w:rtl/>
        </w:rPr>
        <w:t xml:space="preserve"> "</w:t>
      </w:r>
      <w:r w:rsidRPr="00A543EB">
        <w:rPr>
          <w:rFonts w:hint="eastAsia"/>
          <w:rtl/>
        </w:rPr>
        <w:t>בלתי</w:t>
      </w:r>
      <w:r w:rsidRPr="00A543EB">
        <w:rPr>
          <w:rtl/>
        </w:rPr>
        <w:t xml:space="preserve"> </w:t>
      </w:r>
      <w:r w:rsidRPr="00A543EB">
        <w:rPr>
          <w:rFonts w:hint="eastAsia"/>
          <w:rtl/>
        </w:rPr>
        <w:t>טבעי</w:t>
      </w:r>
      <w:r w:rsidRPr="00A543EB">
        <w:rPr>
          <w:rtl/>
        </w:rPr>
        <w:t xml:space="preserve">", </w:t>
      </w:r>
      <w:r w:rsidRPr="00A543EB">
        <w:rPr>
          <w:rFonts w:hint="eastAsia"/>
          <w:rtl/>
        </w:rPr>
        <w:t>מקבלים</w:t>
      </w:r>
      <w:r w:rsidRPr="00A543EB">
        <w:rPr>
          <w:rtl/>
        </w:rPr>
        <w:t xml:space="preserve"> </w:t>
      </w:r>
      <w:r w:rsidRPr="00A543EB">
        <w:rPr>
          <w:rFonts w:hint="eastAsia"/>
          <w:rtl/>
        </w:rPr>
        <w:t>הדברים</w:t>
      </w:r>
      <w:r w:rsidRPr="00A543EB">
        <w:rPr>
          <w:rtl/>
        </w:rPr>
        <w:t xml:space="preserve"> </w:t>
      </w:r>
      <w:r w:rsidRPr="00A543EB">
        <w:rPr>
          <w:rFonts w:hint="eastAsia"/>
          <w:rtl/>
        </w:rPr>
        <w:t>משנה</w:t>
      </w:r>
      <w:r w:rsidRPr="00A543EB">
        <w:rPr>
          <w:rtl/>
        </w:rPr>
        <w:t xml:space="preserve"> </w:t>
      </w:r>
      <w:r w:rsidRPr="00A543EB">
        <w:rPr>
          <w:rFonts w:hint="eastAsia"/>
          <w:rtl/>
        </w:rPr>
        <w:t>תוקף</w:t>
      </w:r>
      <w:r w:rsidRPr="00A543EB">
        <w:rPr>
          <w:rtl/>
        </w:rPr>
        <w:t xml:space="preserve">. </w:t>
      </w:r>
      <w:r w:rsidRPr="00A543EB">
        <w:rPr>
          <w:rFonts w:hint="eastAsia"/>
          <w:rtl/>
        </w:rPr>
        <w:t>כפי</w:t>
      </w:r>
      <w:r w:rsidRPr="00A543EB">
        <w:rPr>
          <w:rtl/>
        </w:rPr>
        <w:t xml:space="preserve"> </w:t>
      </w:r>
      <w:r w:rsidRPr="00A543EB">
        <w:rPr>
          <w:rFonts w:hint="eastAsia"/>
          <w:rtl/>
        </w:rPr>
        <w:t>שציינה</w:t>
      </w:r>
      <w:r w:rsidRPr="00A543EB">
        <w:rPr>
          <w:rtl/>
        </w:rPr>
        <w:t xml:space="preserve"> </w:t>
      </w:r>
      <w:r w:rsidRPr="00A543EB">
        <w:rPr>
          <w:rFonts w:hint="eastAsia"/>
          <w:rtl/>
        </w:rPr>
        <w:t>חברתי</w:t>
      </w:r>
      <w:r w:rsidRPr="00A543EB">
        <w:rPr>
          <w:rtl/>
        </w:rPr>
        <w:t xml:space="preserve"> </w:t>
      </w:r>
      <w:r w:rsidRPr="00A543EB">
        <w:rPr>
          <w:rFonts w:hint="eastAsia"/>
          <w:rtl/>
        </w:rPr>
        <w:t>הנשיאה</w:t>
      </w:r>
      <w:r w:rsidRPr="00A543EB">
        <w:rPr>
          <w:rtl/>
        </w:rPr>
        <w:t xml:space="preserve"> ד' ביניש, </w:t>
      </w:r>
      <w:r w:rsidRPr="00A543EB">
        <w:rPr>
          <w:rFonts w:hint="eastAsia"/>
          <w:rtl/>
        </w:rPr>
        <w:t>המציאות</w:t>
      </w:r>
      <w:r w:rsidRPr="00A543EB">
        <w:rPr>
          <w:rtl/>
        </w:rPr>
        <w:t xml:space="preserve"> </w:t>
      </w:r>
      <w:r w:rsidRPr="00A543EB">
        <w:rPr>
          <w:rFonts w:hint="eastAsia"/>
          <w:rtl/>
        </w:rPr>
        <w:t>השוררת</w:t>
      </w:r>
      <w:r w:rsidRPr="00A543EB">
        <w:rPr>
          <w:rtl/>
        </w:rPr>
        <w:t xml:space="preserve"> </w:t>
      </w:r>
      <w:r w:rsidRPr="00A543EB">
        <w:rPr>
          <w:rFonts w:hint="eastAsia"/>
          <w:rtl/>
        </w:rPr>
        <w:t>בארץ</w:t>
      </w:r>
      <w:r w:rsidRPr="00A543EB">
        <w:rPr>
          <w:rtl/>
        </w:rPr>
        <w:t xml:space="preserve"> </w:t>
      </w:r>
      <w:r w:rsidRPr="00A543EB">
        <w:rPr>
          <w:rFonts w:hint="eastAsia"/>
          <w:rtl/>
        </w:rPr>
        <w:t>המתבטאת</w:t>
      </w:r>
      <w:r w:rsidRPr="00A543EB">
        <w:rPr>
          <w:rtl/>
        </w:rPr>
        <w:t xml:space="preserve"> </w:t>
      </w:r>
      <w:r w:rsidRPr="00A543EB">
        <w:rPr>
          <w:rFonts w:hint="eastAsia"/>
          <w:rtl/>
        </w:rPr>
        <w:t>בזמינותו</w:t>
      </w:r>
      <w:r w:rsidRPr="00A543EB">
        <w:rPr>
          <w:rtl/>
        </w:rPr>
        <w:t xml:space="preserve"> </w:t>
      </w:r>
      <w:r w:rsidRPr="00A543EB">
        <w:rPr>
          <w:rFonts w:hint="eastAsia"/>
          <w:rtl/>
        </w:rPr>
        <w:t>של</w:t>
      </w:r>
      <w:r w:rsidRPr="00A543EB">
        <w:rPr>
          <w:rtl/>
        </w:rPr>
        <w:t xml:space="preserve"> </w:t>
      </w:r>
      <w:r w:rsidRPr="00A543EB">
        <w:rPr>
          <w:rFonts w:hint="eastAsia"/>
          <w:rtl/>
        </w:rPr>
        <w:t>נשק</w:t>
      </w:r>
      <w:r w:rsidRPr="00A543EB">
        <w:rPr>
          <w:rtl/>
        </w:rPr>
        <w:t xml:space="preserve"> </w:t>
      </w:r>
      <w:r w:rsidRPr="00A543EB">
        <w:rPr>
          <w:rFonts w:hint="eastAsia"/>
          <w:rtl/>
        </w:rPr>
        <w:t>חם</w:t>
      </w:r>
      <w:r w:rsidRPr="00A543EB">
        <w:rPr>
          <w:rtl/>
        </w:rPr>
        <w:t xml:space="preserve"> </w:t>
      </w:r>
      <w:r w:rsidRPr="00A543EB">
        <w:rPr>
          <w:rFonts w:hint="eastAsia"/>
          <w:rtl/>
        </w:rPr>
        <w:t>ורב</w:t>
      </w:r>
      <w:r w:rsidRPr="00A543EB">
        <w:rPr>
          <w:rtl/>
        </w:rPr>
        <w:t xml:space="preserve"> </w:t>
      </w:r>
      <w:r w:rsidRPr="00A543EB">
        <w:rPr>
          <w:rFonts w:hint="eastAsia"/>
          <w:rtl/>
        </w:rPr>
        <w:t>עוצמה</w:t>
      </w:r>
      <w:r w:rsidRPr="00A543EB">
        <w:rPr>
          <w:rtl/>
        </w:rPr>
        <w:t xml:space="preserve"> </w:t>
      </w:r>
      <w:r w:rsidRPr="00A543EB">
        <w:rPr>
          <w:rFonts w:hint="eastAsia"/>
          <w:rtl/>
        </w:rPr>
        <w:t>שיש</w:t>
      </w:r>
      <w:r w:rsidRPr="00A543EB">
        <w:rPr>
          <w:rtl/>
        </w:rPr>
        <w:t xml:space="preserve"> </w:t>
      </w:r>
      <w:r w:rsidRPr="00A543EB">
        <w:rPr>
          <w:rFonts w:hint="eastAsia"/>
          <w:rtl/>
        </w:rPr>
        <w:t>עמו</w:t>
      </w:r>
      <w:r w:rsidRPr="00A543EB">
        <w:rPr>
          <w:rtl/>
        </w:rPr>
        <w:t xml:space="preserve"> </w:t>
      </w:r>
      <w:r w:rsidRPr="00A543EB">
        <w:rPr>
          <w:rFonts w:hint="eastAsia"/>
          <w:rtl/>
        </w:rPr>
        <w:t>פוטנציאל</w:t>
      </w:r>
      <w:r w:rsidRPr="00A543EB">
        <w:rPr>
          <w:rtl/>
        </w:rPr>
        <w:t xml:space="preserve"> </w:t>
      </w:r>
      <w:r w:rsidRPr="00A543EB">
        <w:rPr>
          <w:rFonts w:hint="eastAsia"/>
          <w:rtl/>
        </w:rPr>
        <w:t>להסלמת</w:t>
      </w:r>
      <w:r w:rsidRPr="00A543EB">
        <w:rPr>
          <w:rtl/>
        </w:rPr>
        <w:t xml:space="preserve"> </w:t>
      </w:r>
      <w:r w:rsidRPr="00A543EB">
        <w:rPr>
          <w:rFonts w:hint="eastAsia"/>
          <w:rtl/>
        </w:rPr>
        <w:t>האלימות</w:t>
      </w:r>
      <w:r w:rsidRPr="00A543EB">
        <w:rPr>
          <w:rtl/>
        </w:rPr>
        <w:t xml:space="preserve"> </w:t>
      </w:r>
      <w:r w:rsidRPr="00A543EB">
        <w:rPr>
          <w:rFonts w:hint="eastAsia"/>
          <w:rtl/>
        </w:rPr>
        <w:t>העבריינית</w:t>
      </w:r>
      <w:r w:rsidRPr="00A543EB">
        <w:rPr>
          <w:rtl/>
        </w:rPr>
        <w:t xml:space="preserve">, </w:t>
      </w:r>
      <w:r w:rsidRPr="00A543EB">
        <w:rPr>
          <w:rFonts w:hint="eastAsia"/>
          <w:rtl/>
        </w:rPr>
        <w:t>מחייבת</w:t>
      </w:r>
      <w:r w:rsidRPr="00A543EB">
        <w:rPr>
          <w:rtl/>
        </w:rPr>
        <w:t xml:space="preserve"> </w:t>
      </w:r>
      <w:r w:rsidRPr="00A543EB">
        <w:rPr>
          <w:rFonts w:hint="eastAsia"/>
          <w:rtl/>
        </w:rPr>
        <w:t>מתן</w:t>
      </w:r>
      <w:r w:rsidRPr="00A543EB">
        <w:rPr>
          <w:rtl/>
        </w:rPr>
        <w:t xml:space="preserve"> </w:t>
      </w:r>
      <w:r w:rsidRPr="00A543EB">
        <w:rPr>
          <w:rFonts w:hint="eastAsia"/>
          <w:rtl/>
        </w:rPr>
        <w:t>ביטוי</w:t>
      </w:r>
      <w:r w:rsidRPr="00A543EB">
        <w:rPr>
          <w:rtl/>
        </w:rPr>
        <w:t xml:space="preserve"> </w:t>
      </w:r>
      <w:r w:rsidRPr="00A543EB">
        <w:rPr>
          <w:rFonts w:hint="eastAsia"/>
          <w:rtl/>
        </w:rPr>
        <w:t>עונשי</w:t>
      </w:r>
      <w:r w:rsidRPr="00A543EB">
        <w:rPr>
          <w:rtl/>
        </w:rPr>
        <w:t xml:space="preserve"> </w:t>
      </w:r>
      <w:r w:rsidRPr="00A543EB">
        <w:rPr>
          <w:rFonts w:hint="eastAsia"/>
          <w:rtl/>
        </w:rPr>
        <w:t>הולם</w:t>
      </w:r>
      <w:r w:rsidRPr="00A543EB">
        <w:rPr>
          <w:rtl/>
        </w:rPr>
        <w:t xml:space="preserve"> </w:t>
      </w:r>
      <w:r w:rsidRPr="00A543EB">
        <w:rPr>
          <w:rFonts w:hint="eastAsia"/>
          <w:rtl/>
        </w:rPr>
        <w:t>והחמרה</w:t>
      </w:r>
      <w:r w:rsidRPr="00A543EB">
        <w:rPr>
          <w:rtl/>
        </w:rPr>
        <w:t xml:space="preserve"> </w:t>
      </w:r>
      <w:r w:rsidRPr="00A543EB">
        <w:rPr>
          <w:rFonts w:hint="eastAsia"/>
          <w:rtl/>
        </w:rPr>
        <w:t>ברמת</w:t>
      </w:r>
      <w:r w:rsidRPr="00A543EB">
        <w:rPr>
          <w:rtl/>
        </w:rPr>
        <w:t xml:space="preserve"> </w:t>
      </w:r>
      <w:r w:rsidRPr="00A543EB">
        <w:rPr>
          <w:rFonts w:hint="eastAsia"/>
          <w:rtl/>
        </w:rPr>
        <w:t>הענישה</w:t>
      </w:r>
      <w:r w:rsidRPr="00A543EB">
        <w:rPr>
          <w:rtl/>
        </w:rPr>
        <w:t xml:space="preserve"> (</w:t>
      </w:r>
      <w:r w:rsidRPr="00A543EB">
        <w:rPr>
          <w:rFonts w:hint="eastAsia"/>
          <w:rtl/>
        </w:rPr>
        <w:t>ראו</w:t>
      </w:r>
      <w:r w:rsidRPr="00A543EB">
        <w:rPr>
          <w:rtl/>
        </w:rPr>
        <w:t xml:space="preserve"> </w:t>
      </w:r>
      <w:r w:rsidRPr="003933E4">
        <w:rPr>
          <w:rFonts w:hint="eastAsia"/>
          <w:color w:val="000000"/>
          <w:rtl/>
        </w:rPr>
        <w:t>ע</w:t>
      </w:r>
      <w:r w:rsidRPr="003933E4">
        <w:rPr>
          <w:color w:val="000000"/>
          <w:rtl/>
        </w:rPr>
        <w:t>"</w:t>
      </w:r>
      <w:r w:rsidRPr="003933E4">
        <w:rPr>
          <w:rFonts w:hint="eastAsia"/>
          <w:color w:val="000000"/>
          <w:rtl/>
        </w:rPr>
        <w:t>פ</w:t>
      </w:r>
      <w:r w:rsidRPr="003933E4">
        <w:rPr>
          <w:color w:val="000000"/>
          <w:rtl/>
        </w:rPr>
        <w:t xml:space="preserve"> 1332/04</w:t>
      </w:r>
      <w:r w:rsidRPr="00A543EB">
        <w:rPr>
          <w:rtl/>
        </w:rPr>
        <w:t xml:space="preserve"> מדינת ישראל נ' פס, </w:t>
      </w:r>
      <w:r w:rsidRPr="00A543EB">
        <w:rPr>
          <w:rFonts w:hint="eastAsia"/>
          <w:rtl/>
        </w:rPr>
        <w:t>סעיף</w:t>
      </w:r>
      <w:r w:rsidRPr="00A543EB">
        <w:rPr>
          <w:rtl/>
        </w:rPr>
        <w:t xml:space="preserve"> 4 ([פורסם בנבו], 19.4.04)). </w:t>
      </w:r>
      <w:r w:rsidRPr="00A543EB">
        <w:rPr>
          <w:rFonts w:hint="eastAsia"/>
          <w:rtl/>
        </w:rPr>
        <w:t>יש</w:t>
      </w:r>
      <w:r w:rsidRPr="00A543EB">
        <w:rPr>
          <w:rtl/>
        </w:rPr>
        <w:t xml:space="preserve"> </w:t>
      </w:r>
      <w:r w:rsidRPr="00A543EB">
        <w:rPr>
          <w:rFonts w:hint="eastAsia"/>
          <w:rtl/>
        </w:rPr>
        <w:t>לעשות</w:t>
      </w:r>
      <w:r w:rsidRPr="00A543EB">
        <w:rPr>
          <w:rtl/>
        </w:rPr>
        <w:t xml:space="preserve"> </w:t>
      </w:r>
      <w:r w:rsidRPr="00A543EB">
        <w:rPr>
          <w:rFonts w:hint="eastAsia"/>
          <w:rtl/>
        </w:rPr>
        <w:t>כן</w:t>
      </w:r>
      <w:r w:rsidRPr="00A543EB">
        <w:rPr>
          <w:rtl/>
        </w:rPr>
        <w:t xml:space="preserve"> </w:t>
      </w:r>
      <w:r w:rsidRPr="00A543EB">
        <w:rPr>
          <w:rFonts w:hint="eastAsia"/>
          <w:rtl/>
        </w:rPr>
        <w:t>עוד</w:t>
      </w:r>
      <w:r w:rsidRPr="00A543EB">
        <w:rPr>
          <w:rtl/>
        </w:rPr>
        <w:t xml:space="preserve"> </w:t>
      </w:r>
      <w:r w:rsidRPr="00A543EB">
        <w:rPr>
          <w:rFonts w:hint="eastAsia"/>
          <w:rtl/>
        </w:rPr>
        <w:t>בטרם</w:t>
      </w:r>
      <w:r w:rsidRPr="00A543EB">
        <w:rPr>
          <w:rtl/>
        </w:rPr>
        <w:t xml:space="preserve"> </w:t>
      </w:r>
      <w:r w:rsidRPr="00A543EB">
        <w:rPr>
          <w:rFonts w:hint="eastAsia"/>
          <w:rtl/>
        </w:rPr>
        <w:t>ייעשה</w:t>
      </w:r>
      <w:r w:rsidRPr="00A543EB">
        <w:rPr>
          <w:rtl/>
        </w:rPr>
        <w:t xml:space="preserve"> </w:t>
      </w:r>
      <w:r w:rsidRPr="00A543EB">
        <w:rPr>
          <w:rFonts w:hint="eastAsia"/>
          <w:rtl/>
        </w:rPr>
        <w:t>באקדח</w:t>
      </w:r>
      <w:r w:rsidRPr="00A543EB">
        <w:rPr>
          <w:rtl/>
        </w:rPr>
        <w:t xml:space="preserve"> </w:t>
      </w:r>
      <w:r w:rsidRPr="00A543EB">
        <w:rPr>
          <w:rFonts w:hint="eastAsia"/>
          <w:rtl/>
        </w:rPr>
        <w:t>שימוש</w:t>
      </w:r>
      <w:r w:rsidRPr="00A543EB">
        <w:rPr>
          <w:rtl/>
        </w:rPr>
        <w:t xml:space="preserve"> </w:t>
      </w:r>
      <w:r w:rsidRPr="00A543EB">
        <w:rPr>
          <w:rFonts w:hint="eastAsia"/>
          <w:rtl/>
        </w:rPr>
        <w:t>קטלני</w:t>
      </w:r>
      <w:r w:rsidRPr="00A543EB">
        <w:rPr>
          <w:rtl/>
        </w:rPr>
        <w:t xml:space="preserve">, </w:t>
      </w:r>
      <w:r w:rsidRPr="00A543EB">
        <w:rPr>
          <w:rFonts w:hint="eastAsia"/>
          <w:rtl/>
        </w:rPr>
        <w:t>באמצעות</w:t>
      </w:r>
      <w:r w:rsidRPr="00A543EB">
        <w:rPr>
          <w:rtl/>
        </w:rPr>
        <w:t xml:space="preserve"> </w:t>
      </w:r>
      <w:r w:rsidRPr="00A543EB">
        <w:rPr>
          <w:rFonts w:hint="eastAsia"/>
          <w:rtl/>
        </w:rPr>
        <w:t>הרחקת</w:t>
      </w:r>
      <w:r w:rsidRPr="00A543EB">
        <w:rPr>
          <w:rtl/>
        </w:rPr>
        <w:t xml:space="preserve"> </w:t>
      </w:r>
      <w:r w:rsidRPr="00A543EB">
        <w:rPr>
          <w:rFonts w:hint="eastAsia"/>
          <w:rtl/>
        </w:rPr>
        <w:t>המחזיק</w:t>
      </w:r>
      <w:r w:rsidRPr="00A543EB">
        <w:rPr>
          <w:rtl/>
        </w:rPr>
        <w:t xml:space="preserve"> </w:t>
      </w:r>
      <w:r w:rsidRPr="00A543EB">
        <w:rPr>
          <w:rFonts w:hint="eastAsia"/>
          <w:rtl/>
        </w:rPr>
        <w:t>בו</w:t>
      </w:r>
      <w:r w:rsidRPr="00A543EB">
        <w:rPr>
          <w:rtl/>
        </w:rPr>
        <w:t xml:space="preserve"> </w:t>
      </w:r>
      <w:r w:rsidRPr="00A543EB">
        <w:rPr>
          <w:rFonts w:hint="eastAsia"/>
          <w:rtl/>
        </w:rPr>
        <w:t>מן</w:t>
      </w:r>
      <w:r w:rsidRPr="00A543EB">
        <w:rPr>
          <w:rtl/>
        </w:rPr>
        <w:t xml:space="preserve"> </w:t>
      </w:r>
      <w:r w:rsidRPr="00A543EB">
        <w:rPr>
          <w:rFonts w:hint="eastAsia"/>
          <w:rtl/>
        </w:rPr>
        <w:t>החברה</w:t>
      </w:r>
      <w:r w:rsidRPr="00A543EB">
        <w:rPr>
          <w:rtl/>
        </w:rPr>
        <w:t xml:space="preserve"> </w:t>
      </w:r>
      <w:r w:rsidRPr="00A543EB">
        <w:rPr>
          <w:rFonts w:hint="eastAsia"/>
          <w:rtl/>
        </w:rPr>
        <w:t>לפרק</w:t>
      </w:r>
      <w:r w:rsidRPr="00A543EB">
        <w:rPr>
          <w:rtl/>
        </w:rPr>
        <w:t xml:space="preserve"> </w:t>
      </w:r>
      <w:r w:rsidRPr="00A543EB">
        <w:rPr>
          <w:rFonts w:hint="eastAsia"/>
          <w:rtl/>
        </w:rPr>
        <w:t>זמן</w:t>
      </w:r>
      <w:r w:rsidRPr="00A543EB">
        <w:rPr>
          <w:rtl/>
        </w:rPr>
        <w:t xml:space="preserve">, </w:t>
      </w:r>
      <w:r w:rsidRPr="00A543EB">
        <w:rPr>
          <w:rFonts w:hint="eastAsia"/>
          <w:rtl/>
        </w:rPr>
        <w:t>והעברת</w:t>
      </w:r>
      <w:r w:rsidRPr="00A543EB">
        <w:rPr>
          <w:rtl/>
        </w:rPr>
        <w:t xml:space="preserve"> </w:t>
      </w:r>
      <w:r w:rsidRPr="00A543EB">
        <w:rPr>
          <w:rFonts w:hint="eastAsia"/>
          <w:rtl/>
        </w:rPr>
        <w:t>מסר</w:t>
      </w:r>
      <w:r w:rsidRPr="00A543EB">
        <w:rPr>
          <w:rtl/>
        </w:rPr>
        <w:t xml:space="preserve"> </w:t>
      </w:r>
      <w:r w:rsidRPr="00A543EB">
        <w:rPr>
          <w:rFonts w:hint="eastAsia"/>
          <w:rtl/>
        </w:rPr>
        <w:t>מרתיע</w:t>
      </w:r>
      <w:r w:rsidRPr="00A543EB">
        <w:rPr>
          <w:rtl/>
        </w:rPr>
        <w:t xml:space="preserve"> </w:t>
      </w:r>
      <w:r w:rsidRPr="00A543EB">
        <w:rPr>
          <w:rFonts w:hint="eastAsia"/>
          <w:rtl/>
        </w:rPr>
        <w:t>באמצעות</w:t>
      </w:r>
      <w:r w:rsidRPr="00A543EB">
        <w:rPr>
          <w:rtl/>
        </w:rPr>
        <w:t xml:space="preserve"> </w:t>
      </w:r>
      <w:r w:rsidRPr="00A543EB">
        <w:rPr>
          <w:rFonts w:hint="eastAsia"/>
          <w:rtl/>
        </w:rPr>
        <w:t>עונש</w:t>
      </w:r>
      <w:r w:rsidRPr="00A543EB">
        <w:rPr>
          <w:rtl/>
        </w:rPr>
        <w:t xml:space="preserve"> </w:t>
      </w:r>
      <w:r w:rsidRPr="00A543EB">
        <w:rPr>
          <w:rFonts w:hint="eastAsia"/>
          <w:rtl/>
        </w:rPr>
        <w:t>מאסר</w:t>
      </w:r>
      <w:r w:rsidRPr="00A543EB">
        <w:rPr>
          <w:rtl/>
        </w:rPr>
        <w:t xml:space="preserve"> </w:t>
      </w:r>
      <w:r w:rsidRPr="00A543EB">
        <w:rPr>
          <w:rFonts w:hint="eastAsia"/>
          <w:rtl/>
        </w:rPr>
        <w:t>ממשי</w:t>
      </w:r>
      <w:r w:rsidRPr="00A543EB">
        <w:rPr>
          <w:rtl/>
        </w:rPr>
        <w:t xml:space="preserve"> </w:t>
      </w:r>
      <w:r w:rsidRPr="00A543EB">
        <w:rPr>
          <w:rFonts w:hint="eastAsia"/>
          <w:rtl/>
        </w:rPr>
        <w:t>לריצוי</w:t>
      </w:r>
      <w:r w:rsidRPr="00A543EB">
        <w:rPr>
          <w:rtl/>
        </w:rPr>
        <w:t xml:space="preserve"> </w:t>
      </w:r>
      <w:r w:rsidRPr="00A543EB">
        <w:rPr>
          <w:rFonts w:hint="eastAsia"/>
          <w:rtl/>
        </w:rPr>
        <w:t>בפועל</w:t>
      </w:r>
      <w:r w:rsidRPr="00A543EB">
        <w:rPr>
          <w:rtl/>
        </w:rPr>
        <w:t xml:space="preserve"> (</w:t>
      </w:r>
      <w:r w:rsidRPr="00A543EB">
        <w:rPr>
          <w:rFonts w:hint="eastAsia"/>
          <w:rtl/>
        </w:rPr>
        <w:t>ראו</w:t>
      </w:r>
      <w:r w:rsidRPr="00A543EB">
        <w:rPr>
          <w:rtl/>
        </w:rPr>
        <w:t xml:space="preserve"> </w:t>
      </w:r>
      <w:r w:rsidRPr="00A543EB">
        <w:rPr>
          <w:rFonts w:hint="eastAsia"/>
          <w:rtl/>
        </w:rPr>
        <w:t>למשל</w:t>
      </w:r>
      <w:r w:rsidRPr="00A543EB">
        <w:rPr>
          <w:rtl/>
        </w:rPr>
        <w:t xml:space="preserve"> </w:t>
      </w:r>
      <w:hyperlink r:id="rId20" w:history="1">
        <w:r w:rsidR="003933E4" w:rsidRPr="003933E4">
          <w:rPr>
            <w:color w:val="0000FF"/>
            <w:u w:val="single"/>
            <w:rtl/>
          </w:rPr>
          <w:t>ע"פ 3361/08</w:t>
        </w:r>
      </w:hyperlink>
      <w:r w:rsidRPr="00A543EB">
        <w:rPr>
          <w:rtl/>
        </w:rPr>
        <w:t xml:space="preserve"> ליבוביץ' נ' מדינת ישראל ([פורסם בנבו], 27.7.08) (</w:t>
      </w:r>
      <w:r w:rsidRPr="00A543EB">
        <w:rPr>
          <w:rFonts w:hint="eastAsia"/>
          <w:rtl/>
        </w:rPr>
        <w:t>להלן</w:t>
      </w:r>
      <w:r w:rsidRPr="00A543EB">
        <w:rPr>
          <w:rtl/>
        </w:rPr>
        <w:t xml:space="preserve">: </w:t>
      </w:r>
      <w:r w:rsidRPr="00A543EB">
        <w:rPr>
          <w:rFonts w:hint="eastAsia"/>
          <w:rtl/>
        </w:rPr>
        <w:t>עניין</w:t>
      </w:r>
      <w:r w:rsidRPr="00A543EB">
        <w:rPr>
          <w:rtl/>
        </w:rPr>
        <w:t xml:space="preserve"> ליבוביץ'); </w:t>
      </w:r>
      <w:hyperlink r:id="rId21" w:history="1">
        <w:r w:rsidR="003933E4" w:rsidRPr="003933E4">
          <w:rPr>
            <w:color w:val="0000FF"/>
            <w:u w:val="single"/>
            <w:rtl/>
          </w:rPr>
          <w:t>ע"פ 5220/09</w:t>
        </w:r>
      </w:hyperlink>
      <w:r w:rsidRPr="00A543EB">
        <w:rPr>
          <w:rtl/>
        </w:rPr>
        <w:t xml:space="preserve"> עוואודה נ' מדינת ישראל ([פורסם בנבו], 30.12.09))</w:t>
      </w:r>
      <w:r>
        <w:rPr>
          <w:rFonts w:hint="cs"/>
          <w:rtl/>
        </w:rPr>
        <w:t>"</w:t>
      </w:r>
      <w:r w:rsidRPr="00A543EB">
        <w:rPr>
          <w:rtl/>
        </w:rPr>
        <w:t xml:space="preserve">. </w:t>
      </w:r>
    </w:p>
    <w:p w14:paraId="4CFD2D18" w14:textId="77777777" w:rsidR="00183B8A" w:rsidRDefault="00183B8A" w:rsidP="00183B8A">
      <w:pPr>
        <w:spacing w:line="360" w:lineRule="auto"/>
        <w:jc w:val="both"/>
        <w:rPr>
          <w:rtl/>
        </w:rPr>
      </w:pPr>
    </w:p>
    <w:p w14:paraId="27B7DE71" w14:textId="77777777" w:rsidR="00183B8A" w:rsidRDefault="00183B8A" w:rsidP="00183B8A">
      <w:pPr>
        <w:spacing w:line="360" w:lineRule="auto"/>
        <w:jc w:val="both"/>
        <w:rPr>
          <w:rtl/>
        </w:rPr>
      </w:pPr>
    </w:p>
    <w:p w14:paraId="53DD5E08" w14:textId="77777777" w:rsidR="00183B8A" w:rsidRPr="00DF22CC" w:rsidRDefault="00183B8A" w:rsidP="00183B8A">
      <w:pPr>
        <w:spacing w:line="360" w:lineRule="auto"/>
        <w:ind w:left="567" w:hanging="567"/>
        <w:jc w:val="both"/>
        <w:rPr>
          <w:rtl/>
        </w:rPr>
      </w:pPr>
      <w:r>
        <w:rPr>
          <w:rtl/>
        </w:rPr>
        <w:tab/>
      </w:r>
      <w:r>
        <w:rPr>
          <w:rFonts w:hint="cs"/>
          <w:rtl/>
        </w:rPr>
        <w:t xml:space="preserve">בנוסף אני מוצא להתחשב לחומרא בכמות הגדולה של התחמושת אותה רכש הנאשם. מדובר ברכישה של 105 כדורים המהווים כמות בלתי מבוטלת של תחמושת שפוטנציאל הפגיעה שלה עצום. </w:t>
      </w:r>
    </w:p>
    <w:p w14:paraId="6E6D2F99" w14:textId="77777777" w:rsidR="00183B8A" w:rsidRPr="00DF22CC" w:rsidRDefault="00183B8A" w:rsidP="00183B8A">
      <w:pPr>
        <w:spacing w:line="360" w:lineRule="auto"/>
        <w:jc w:val="both"/>
        <w:rPr>
          <w:rtl/>
        </w:rPr>
      </w:pPr>
    </w:p>
    <w:p w14:paraId="6DC7E07D" w14:textId="77777777" w:rsidR="00183B8A" w:rsidRDefault="00183B8A" w:rsidP="00183B8A">
      <w:pPr>
        <w:spacing w:line="360" w:lineRule="auto"/>
        <w:ind w:left="567" w:hanging="567"/>
        <w:jc w:val="both"/>
        <w:rPr>
          <w:rtl/>
        </w:rPr>
      </w:pPr>
      <w:r>
        <w:rPr>
          <w:rFonts w:hint="cs"/>
          <w:rtl/>
        </w:rPr>
        <w:t>22.</w:t>
      </w:r>
      <w:r>
        <w:rPr>
          <w:rtl/>
        </w:rPr>
        <w:tab/>
      </w:r>
      <w:r>
        <w:rPr>
          <w:rFonts w:hint="cs"/>
          <w:rtl/>
        </w:rPr>
        <w:t xml:space="preserve">מנגד, לא נעלמה מעיניי העובדה שכתב האישום אינו מייחס לנאשם עבירות נלוות ולא נטען כי נעשה שימוש כלשהו בכלי הנשק. יתר על כן, התחמושת נתפסה במלואה והועברה לידי המשטרה ללא חסרים, עובדה המלמדת על כך שלא נעשה בה כל שימוש. עוד עולה מעובדות כתב האישום כי העסקה של רכישת הנשק התבצעה בסמוך לביתו של הנאשם. ומכאן שההובלה והנשיאה נעשו לפרק זמן קצר ולמרחק לא רב. גם בכך אני רואה משום נסיבה לקולא. </w:t>
      </w:r>
    </w:p>
    <w:p w14:paraId="27FC086F" w14:textId="77777777" w:rsidR="00183B8A" w:rsidRDefault="00183B8A" w:rsidP="00183B8A">
      <w:pPr>
        <w:spacing w:line="360" w:lineRule="auto"/>
        <w:ind w:left="567" w:hanging="567"/>
        <w:jc w:val="both"/>
        <w:rPr>
          <w:rtl/>
        </w:rPr>
      </w:pPr>
    </w:p>
    <w:p w14:paraId="0ADC48E5" w14:textId="77777777" w:rsidR="00183B8A" w:rsidRDefault="00183B8A" w:rsidP="00183B8A">
      <w:pPr>
        <w:spacing w:line="360" w:lineRule="auto"/>
        <w:ind w:left="567" w:hanging="567"/>
        <w:jc w:val="both"/>
        <w:rPr>
          <w:rtl/>
        </w:rPr>
      </w:pPr>
      <w:r>
        <w:rPr>
          <w:rFonts w:hint="cs"/>
          <w:rtl/>
        </w:rPr>
        <w:t>23.</w:t>
      </w:r>
      <w:r>
        <w:rPr>
          <w:rFonts w:hint="cs"/>
          <w:rtl/>
        </w:rPr>
        <w:tab/>
        <w:t xml:space="preserve">בהביאי בחשבון את הערכים החברתיים שנפגעו כתוצאה מביצוע העבירות נשוא ענייננו, את מידת הפגיעה בהם, את נסיבות ביצוע העבירות כמפורט לעיל ואת מדיניות הענישה הנהוגה, אני סבור כי מתחם העונש ההולם במקרה דידן נע בין 10 - 36 חודשי מאסר בפועל. </w:t>
      </w:r>
    </w:p>
    <w:p w14:paraId="3FE52001" w14:textId="77777777" w:rsidR="00183B8A" w:rsidRDefault="00183B8A" w:rsidP="00183B8A">
      <w:pPr>
        <w:spacing w:line="360" w:lineRule="auto"/>
        <w:ind w:left="567" w:hanging="567"/>
        <w:jc w:val="both"/>
        <w:rPr>
          <w:rtl/>
        </w:rPr>
      </w:pPr>
    </w:p>
    <w:p w14:paraId="5409A3A6" w14:textId="77777777" w:rsidR="00183B8A" w:rsidRDefault="00183B8A" w:rsidP="00183B8A">
      <w:pPr>
        <w:spacing w:line="360" w:lineRule="auto"/>
        <w:ind w:left="567" w:hanging="567"/>
        <w:jc w:val="both"/>
        <w:rPr>
          <w:u w:val="single"/>
          <w:rtl/>
        </w:rPr>
      </w:pPr>
      <w:r w:rsidRPr="002B598B">
        <w:rPr>
          <w:rFonts w:hint="cs"/>
          <w:u w:val="single"/>
          <w:rtl/>
        </w:rPr>
        <w:t>הנסיבות שאינן</w:t>
      </w:r>
      <w:r>
        <w:rPr>
          <w:rFonts w:hint="cs"/>
          <w:u w:val="single"/>
          <w:rtl/>
        </w:rPr>
        <w:t xml:space="preserve"> קשורות בביצוע העבירה</w:t>
      </w:r>
    </w:p>
    <w:p w14:paraId="10D7F69E" w14:textId="77777777" w:rsidR="00183B8A" w:rsidRDefault="00183B8A" w:rsidP="00183B8A">
      <w:pPr>
        <w:spacing w:line="360" w:lineRule="auto"/>
        <w:ind w:left="567" w:hanging="567"/>
        <w:jc w:val="both"/>
        <w:rPr>
          <w:u w:val="single"/>
          <w:rtl/>
        </w:rPr>
      </w:pPr>
    </w:p>
    <w:p w14:paraId="481CC0AC" w14:textId="77777777" w:rsidR="00183B8A" w:rsidRDefault="00183B8A" w:rsidP="00183B8A">
      <w:pPr>
        <w:spacing w:line="360" w:lineRule="auto"/>
        <w:ind w:left="567" w:hanging="567"/>
        <w:jc w:val="both"/>
        <w:rPr>
          <w:rtl/>
        </w:rPr>
      </w:pPr>
      <w:r>
        <w:rPr>
          <w:rFonts w:hint="cs"/>
          <w:rtl/>
        </w:rPr>
        <w:t>24.</w:t>
      </w:r>
      <w:r>
        <w:rPr>
          <w:rFonts w:hint="cs"/>
          <w:rtl/>
        </w:rPr>
        <w:tab/>
        <w:t xml:space="preserve">בנסיבות שאינן קשורות בביצוע העבירה ראיתי להתחשב בהודייתו של הנאשם עוד בחקירתו במשטרה ובטרם החלה שמיעת הראיות בתיק. הודייה זו לא רק שהביאה לחסכון בזמן שיפוטי יקר, אלא שהיא מגלמת בחובה גם נטילת אחריות מצד הנאשם על מעשיו. </w:t>
      </w:r>
    </w:p>
    <w:p w14:paraId="121865F2" w14:textId="77777777" w:rsidR="00183B8A" w:rsidRDefault="00183B8A" w:rsidP="00183B8A">
      <w:pPr>
        <w:spacing w:line="360" w:lineRule="auto"/>
        <w:ind w:left="567" w:hanging="567"/>
        <w:jc w:val="both"/>
        <w:rPr>
          <w:rtl/>
        </w:rPr>
      </w:pPr>
    </w:p>
    <w:p w14:paraId="4D0BB820" w14:textId="77777777" w:rsidR="00183B8A" w:rsidRDefault="00183B8A" w:rsidP="00183B8A">
      <w:pPr>
        <w:spacing w:line="360" w:lineRule="auto"/>
        <w:ind w:left="567" w:hanging="567"/>
        <w:jc w:val="both"/>
        <w:rPr>
          <w:rtl/>
        </w:rPr>
      </w:pPr>
      <w:r>
        <w:rPr>
          <w:rtl/>
        </w:rPr>
        <w:tab/>
      </w:r>
      <w:r>
        <w:rPr>
          <w:rFonts w:hint="cs"/>
          <w:rtl/>
        </w:rPr>
        <w:t>בנוסף, יש להביא בחשבון את עברו של הנאשם. לנאשם שלוש הרשעות קודמות אולם שתיים מהן בתחום התכנון והבניה ועל כן איני רואה לייחס להן משקל רב. הרשעתו השלישית של הנאשם היא מתחום האלימות ואותה יש לזקוף לחובתו. לא מדובר בעבירה מלפני שנים רבות שכן הרשעתו בעבירה זו היא משנת 2011. יחד עם זאת, אין לומר כי בפנינו ניצב נאשם בעל עבר מכביד שבחר לו בדרך חיים עבריינית. בנוסף, התמונה המצטיירת מתסקיר שירות המבחן על אודות הנאשם הנה בכללה חיובית, הגם שלא באה המלצה טיפולית לגביו. מדובר במי ששמר על יציבות תעסוקתית, הקים משפחה אותה הוא מפרנס ומי שמקיים, באופן כללי, אורח חיים נורמטיבי. לפיכך ראיתי לקבוע את עונשו של הנאשם בצדו התחתון של המתחם שנקבע.</w:t>
      </w:r>
    </w:p>
    <w:p w14:paraId="55A37AD7" w14:textId="77777777" w:rsidR="00183B8A" w:rsidRDefault="00183B8A" w:rsidP="00183B8A">
      <w:pPr>
        <w:spacing w:line="360" w:lineRule="auto"/>
        <w:ind w:left="567" w:hanging="567"/>
        <w:jc w:val="both"/>
        <w:rPr>
          <w:rtl/>
        </w:rPr>
      </w:pPr>
    </w:p>
    <w:p w14:paraId="7BAC746D" w14:textId="77777777" w:rsidR="00183B8A" w:rsidRDefault="00183B8A" w:rsidP="00183B8A">
      <w:pPr>
        <w:spacing w:line="360" w:lineRule="auto"/>
        <w:ind w:left="567" w:hanging="567"/>
        <w:jc w:val="both"/>
        <w:rPr>
          <w:rtl/>
        </w:rPr>
      </w:pPr>
    </w:p>
    <w:p w14:paraId="21FB7023" w14:textId="77777777" w:rsidR="00183B8A" w:rsidRDefault="00183B8A" w:rsidP="00183B8A">
      <w:pPr>
        <w:spacing w:line="360" w:lineRule="auto"/>
        <w:ind w:left="567" w:hanging="567"/>
        <w:jc w:val="both"/>
        <w:rPr>
          <w:rtl/>
        </w:rPr>
      </w:pPr>
    </w:p>
    <w:p w14:paraId="4609AFFA" w14:textId="77777777" w:rsidR="00183B8A" w:rsidRDefault="00183B8A" w:rsidP="00183B8A">
      <w:pPr>
        <w:spacing w:line="360" w:lineRule="auto"/>
        <w:ind w:left="567" w:hanging="567"/>
        <w:jc w:val="both"/>
        <w:rPr>
          <w:rtl/>
        </w:rPr>
      </w:pPr>
    </w:p>
    <w:p w14:paraId="7CB0EBAC" w14:textId="77777777" w:rsidR="00183B8A" w:rsidRDefault="00183B8A" w:rsidP="00183B8A">
      <w:pPr>
        <w:spacing w:line="360" w:lineRule="auto"/>
        <w:ind w:left="567" w:hanging="567"/>
        <w:jc w:val="both"/>
        <w:rPr>
          <w:rtl/>
        </w:rPr>
      </w:pPr>
    </w:p>
    <w:p w14:paraId="2A4E2E3B" w14:textId="77777777" w:rsidR="00183B8A" w:rsidRDefault="00183B8A" w:rsidP="00183B8A">
      <w:pPr>
        <w:spacing w:line="360" w:lineRule="auto"/>
        <w:ind w:left="567" w:hanging="567"/>
        <w:jc w:val="both"/>
        <w:rPr>
          <w:rtl/>
        </w:rPr>
      </w:pPr>
      <w:r>
        <w:rPr>
          <w:rFonts w:hint="cs"/>
          <w:rtl/>
        </w:rPr>
        <w:t>25.</w:t>
      </w:r>
      <w:r>
        <w:rPr>
          <w:rFonts w:hint="cs"/>
          <w:rtl/>
        </w:rPr>
        <w:tab/>
        <w:t>על יסוד מקבץ האמור אני גוזר על הנאשם את העונשים הבאים:</w:t>
      </w:r>
    </w:p>
    <w:p w14:paraId="145053F2" w14:textId="77777777" w:rsidR="00183B8A" w:rsidRDefault="00183B8A" w:rsidP="00183B8A">
      <w:pPr>
        <w:spacing w:line="360" w:lineRule="auto"/>
        <w:ind w:left="567" w:hanging="567"/>
        <w:jc w:val="both"/>
        <w:rPr>
          <w:rtl/>
        </w:rPr>
      </w:pPr>
    </w:p>
    <w:p w14:paraId="68B11B77" w14:textId="77777777" w:rsidR="00183B8A" w:rsidRDefault="00183B8A" w:rsidP="00183B8A">
      <w:pPr>
        <w:spacing w:line="360" w:lineRule="auto"/>
        <w:ind w:left="1134" w:hanging="567"/>
        <w:jc w:val="both"/>
        <w:rPr>
          <w:rtl/>
        </w:rPr>
      </w:pPr>
      <w:r>
        <w:rPr>
          <w:rFonts w:hint="cs"/>
          <w:rtl/>
        </w:rPr>
        <w:t>א.</w:t>
      </w:r>
      <w:r>
        <w:rPr>
          <w:rFonts w:hint="cs"/>
          <w:rtl/>
        </w:rPr>
        <w:tab/>
        <w:t>12 חודשי מאסר בפועל בניכוי תקופת מעצרו מיום 14.8.2017.</w:t>
      </w:r>
    </w:p>
    <w:p w14:paraId="6D77990B" w14:textId="77777777" w:rsidR="00183B8A" w:rsidRDefault="00183B8A" w:rsidP="00183B8A">
      <w:pPr>
        <w:spacing w:line="360" w:lineRule="auto"/>
        <w:ind w:left="567" w:hanging="567"/>
        <w:jc w:val="both"/>
        <w:rPr>
          <w:rtl/>
        </w:rPr>
      </w:pPr>
    </w:p>
    <w:p w14:paraId="20371BA8" w14:textId="77777777" w:rsidR="00183B8A" w:rsidRDefault="00183B8A" w:rsidP="00183B8A">
      <w:pPr>
        <w:spacing w:line="360" w:lineRule="auto"/>
        <w:ind w:left="1134" w:hanging="567"/>
        <w:jc w:val="both"/>
        <w:rPr>
          <w:rtl/>
        </w:rPr>
      </w:pPr>
      <w:r>
        <w:rPr>
          <w:rFonts w:hint="cs"/>
          <w:rtl/>
        </w:rPr>
        <w:t>ב.</w:t>
      </w:r>
      <w:r>
        <w:rPr>
          <w:rFonts w:hint="cs"/>
          <w:rtl/>
        </w:rPr>
        <w:tab/>
        <w:t xml:space="preserve">6 חודשי מאסר על תנאי לבל יעבור משך שלוש שנים אחת העבירות בהן הורשע בתיק זה ויורשע בגינה.  </w:t>
      </w:r>
    </w:p>
    <w:p w14:paraId="7D2CBBCB" w14:textId="77777777" w:rsidR="00183B8A" w:rsidRDefault="00183B8A" w:rsidP="00183B8A">
      <w:pPr>
        <w:spacing w:line="360" w:lineRule="auto"/>
        <w:ind w:left="1134" w:hanging="1134"/>
        <w:jc w:val="both"/>
        <w:rPr>
          <w:rtl/>
        </w:rPr>
      </w:pPr>
    </w:p>
    <w:p w14:paraId="382D4AB1" w14:textId="77777777" w:rsidR="00183B8A" w:rsidRPr="00A833C8" w:rsidRDefault="00183B8A" w:rsidP="00183B8A">
      <w:pPr>
        <w:spacing w:line="360" w:lineRule="auto"/>
        <w:ind w:left="1134" w:hanging="1134"/>
        <w:jc w:val="both"/>
        <w:rPr>
          <w:u w:val="single"/>
          <w:rtl/>
        </w:rPr>
      </w:pPr>
      <w:r w:rsidRPr="00A833C8">
        <w:rPr>
          <w:rFonts w:hint="cs"/>
          <w:u w:val="single"/>
          <w:rtl/>
        </w:rPr>
        <w:t>זכות ערעור לבית המשפט העליון תוך 45 יום.</w:t>
      </w:r>
    </w:p>
    <w:p w14:paraId="3C972A2A" w14:textId="77777777" w:rsidR="00183B8A" w:rsidRDefault="00183B8A" w:rsidP="00183B8A">
      <w:pPr>
        <w:spacing w:line="360" w:lineRule="auto"/>
        <w:ind w:left="720" w:hanging="720"/>
        <w:jc w:val="both"/>
        <w:rPr>
          <w:rtl/>
        </w:rPr>
      </w:pPr>
    </w:p>
    <w:p w14:paraId="0E395A23" w14:textId="77777777" w:rsidR="00183B8A" w:rsidRPr="003933E4" w:rsidRDefault="003933E4" w:rsidP="00183B8A">
      <w:pPr>
        <w:rPr>
          <w:color w:val="FFFFFF"/>
          <w:sz w:val="2"/>
          <w:szCs w:val="2"/>
          <w:rtl/>
        </w:rPr>
      </w:pPr>
      <w:r w:rsidRPr="003933E4">
        <w:rPr>
          <w:color w:val="FFFFFF"/>
          <w:sz w:val="2"/>
          <w:szCs w:val="2"/>
          <w:rtl/>
        </w:rPr>
        <w:t>5129371</w:t>
      </w:r>
    </w:p>
    <w:p w14:paraId="4943B221" w14:textId="77777777" w:rsidR="00183B8A" w:rsidRDefault="003933E4" w:rsidP="00183B8A">
      <w:pPr>
        <w:rPr>
          <w:rFonts w:cs="FrankRuehl"/>
          <w:sz w:val="28"/>
          <w:szCs w:val="28"/>
          <w:rtl/>
        </w:rPr>
      </w:pPr>
      <w:r w:rsidRPr="003933E4">
        <w:rPr>
          <w:rFonts w:ascii="Arial" w:hAnsi="Arial"/>
          <w:color w:val="FFFFFF"/>
          <w:sz w:val="2"/>
          <w:szCs w:val="2"/>
          <w:rtl/>
        </w:rPr>
        <w:t>54678313</w:t>
      </w:r>
      <w:r>
        <w:rPr>
          <w:rFonts w:ascii="Arial" w:hAnsi="Arial"/>
          <w:rtl/>
        </w:rPr>
        <w:t xml:space="preserve">ניתן היום,  ו' אדר תשע"ח, 21 פברואר 2018, בנוכחות הצדדים. </w:t>
      </w:r>
    </w:p>
    <w:p w14:paraId="4515656B" w14:textId="77777777" w:rsidR="00183B8A" w:rsidRDefault="00183B8A" w:rsidP="00183B8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60E09402" w14:textId="77777777" w:rsidR="00183B8A" w:rsidRDefault="00183B8A" w:rsidP="00183B8A">
      <w:pPr>
        <w:jc w:val="center"/>
        <w:rPr>
          <w:rFonts w:ascii="Arial" w:hAnsi="Arial" w:cs="FrankRuehl"/>
          <w:sz w:val="28"/>
          <w:szCs w:val="28"/>
          <w:rtl/>
        </w:rPr>
      </w:pPr>
    </w:p>
    <w:p w14:paraId="229AFE46" w14:textId="77777777" w:rsidR="00183B8A" w:rsidRDefault="00183B8A" w:rsidP="00183B8A">
      <w:pPr>
        <w:rPr>
          <w:rFonts w:cs="FrankRuehl"/>
          <w:sz w:val="28"/>
          <w:szCs w:val="28"/>
          <w:rtl/>
        </w:rPr>
      </w:pPr>
    </w:p>
    <w:p w14:paraId="2F198C56" w14:textId="77777777" w:rsidR="00183B8A" w:rsidRPr="00FD3783" w:rsidRDefault="00FD3783" w:rsidP="00183B8A">
      <w:pPr>
        <w:pStyle w:val="a3"/>
        <w:jc w:val="center"/>
        <w:rPr>
          <w:color w:val="FFFFFF"/>
          <w:sz w:val="2"/>
          <w:szCs w:val="2"/>
          <w:rtl/>
        </w:rPr>
      </w:pPr>
      <w:r w:rsidRPr="00FD3783">
        <w:rPr>
          <w:color w:val="FFFFFF"/>
          <w:sz w:val="2"/>
          <w:szCs w:val="2"/>
          <w:rtl/>
        </w:rPr>
        <w:t>5129371</w:t>
      </w:r>
    </w:p>
    <w:p w14:paraId="02298EF8" w14:textId="77777777" w:rsidR="002D7B2F" w:rsidRPr="00FD3783" w:rsidRDefault="00FD3783" w:rsidP="003933E4">
      <w:pPr>
        <w:keepNext/>
        <w:rPr>
          <w:rFonts w:ascii="David" w:hAnsi="David"/>
          <w:color w:val="FFFFFF"/>
          <w:sz w:val="2"/>
          <w:szCs w:val="2"/>
          <w:rtl/>
        </w:rPr>
      </w:pPr>
      <w:r w:rsidRPr="00FD3783">
        <w:rPr>
          <w:rFonts w:ascii="David" w:hAnsi="David"/>
          <w:color w:val="FFFFFF"/>
          <w:sz w:val="2"/>
          <w:szCs w:val="2"/>
          <w:rtl/>
        </w:rPr>
        <w:t>54678313</w:t>
      </w:r>
    </w:p>
    <w:p w14:paraId="0F5E7DC3" w14:textId="77777777" w:rsidR="003933E4" w:rsidRPr="003933E4" w:rsidRDefault="003933E4" w:rsidP="003933E4">
      <w:pPr>
        <w:keepNext/>
        <w:rPr>
          <w:rFonts w:ascii="David" w:hAnsi="David"/>
          <w:color w:val="000000"/>
          <w:sz w:val="22"/>
          <w:szCs w:val="22"/>
          <w:rtl/>
        </w:rPr>
      </w:pPr>
      <w:r w:rsidRPr="003933E4">
        <w:rPr>
          <w:rFonts w:ascii="David" w:hAnsi="David"/>
          <w:color w:val="000000"/>
          <w:sz w:val="22"/>
          <w:szCs w:val="22"/>
          <w:rtl/>
        </w:rPr>
        <w:t>אמיר טובי 54678313</w:t>
      </w:r>
    </w:p>
    <w:p w14:paraId="370B6820" w14:textId="77777777" w:rsidR="003933E4" w:rsidRDefault="003933E4" w:rsidP="003933E4">
      <w:r w:rsidRPr="003933E4">
        <w:rPr>
          <w:color w:val="000000"/>
          <w:rtl/>
        </w:rPr>
        <w:t>נוסח מסמך זה כפוף לשינויי ניסוח ועריכה</w:t>
      </w:r>
    </w:p>
    <w:p w14:paraId="4BA66CA4" w14:textId="77777777" w:rsidR="003933E4" w:rsidRDefault="003933E4" w:rsidP="003933E4">
      <w:pPr>
        <w:rPr>
          <w:rtl/>
        </w:rPr>
      </w:pPr>
    </w:p>
    <w:p w14:paraId="4AA2A153" w14:textId="77777777" w:rsidR="003933E4" w:rsidRDefault="003933E4" w:rsidP="003933E4">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5C13CD82" w14:textId="77777777" w:rsidR="003933E4" w:rsidRPr="003933E4" w:rsidRDefault="003933E4" w:rsidP="00FD3783">
      <w:pPr>
        <w:rPr>
          <w:color w:val="0000FF"/>
          <w:u w:val="single"/>
        </w:rPr>
      </w:pPr>
    </w:p>
    <w:sectPr w:rsidR="003933E4" w:rsidRPr="003933E4" w:rsidSect="00FD3783">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3247D" w14:textId="77777777" w:rsidR="00FE3C1A" w:rsidRDefault="00FE3C1A" w:rsidP="00D07E85">
      <w:r>
        <w:separator/>
      </w:r>
    </w:p>
  </w:endnote>
  <w:endnote w:type="continuationSeparator" w:id="0">
    <w:p w14:paraId="3E415294" w14:textId="77777777" w:rsidR="00FE3C1A" w:rsidRDefault="00FE3C1A" w:rsidP="00D07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1E850" w14:textId="77777777" w:rsidR="00FE3C1A" w:rsidRDefault="00FE3C1A" w:rsidP="00FD378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2EA3527" w14:textId="77777777" w:rsidR="00FE3C1A" w:rsidRPr="00FD3783" w:rsidRDefault="00FE3C1A" w:rsidP="00FD3783">
    <w:pPr>
      <w:pStyle w:val="a5"/>
      <w:pBdr>
        <w:top w:val="single" w:sz="4" w:space="1" w:color="auto"/>
        <w:between w:val="single" w:sz="4" w:space="0" w:color="auto"/>
      </w:pBdr>
      <w:spacing w:after="60"/>
      <w:jc w:val="center"/>
      <w:rPr>
        <w:rFonts w:ascii="FrankRuehl" w:hAnsi="FrankRuehl" w:cs="FrankRuehl"/>
        <w:color w:val="000000"/>
      </w:rPr>
    </w:pPr>
    <w:r w:rsidRPr="00FD378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134D8" w14:textId="77777777" w:rsidR="00FE3C1A" w:rsidRDefault="00FE3C1A" w:rsidP="00FD378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B4BC8">
      <w:rPr>
        <w:rFonts w:ascii="FrankRuehl" w:hAnsi="FrankRuehl" w:cs="FrankRuehl"/>
        <w:noProof/>
        <w:rtl/>
      </w:rPr>
      <w:t>1</w:t>
    </w:r>
    <w:r>
      <w:rPr>
        <w:rFonts w:ascii="FrankRuehl" w:hAnsi="FrankRuehl" w:cs="FrankRuehl"/>
        <w:rtl/>
      </w:rPr>
      <w:fldChar w:fldCharType="end"/>
    </w:r>
  </w:p>
  <w:p w14:paraId="1CD53A35" w14:textId="77777777" w:rsidR="00FE3C1A" w:rsidRPr="00FD3783" w:rsidRDefault="00FE3C1A" w:rsidP="00FD3783">
    <w:pPr>
      <w:pStyle w:val="a5"/>
      <w:pBdr>
        <w:top w:val="single" w:sz="4" w:space="1" w:color="auto"/>
        <w:between w:val="single" w:sz="4" w:space="0" w:color="auto"/>
      </w:pBdr>
      <w:spacing w:after="60"/>
      <w:jc w:val="center"/>
      <w:rPr>
        <w:rFonts w:ascii="FrankRuehl" w:hAnsi="FrankRuehl" w:cs="FrankRuehl"/>
        <w:color w:val="000000"/>
      </w:rPr>
    </w:pPr>
    <w:r w:rsidRPr="00FD3783">
      <w:rPr>
        <w:rFonts w:ascii="FrankRuehl" w:hAnsi="FrankRuehl" w:cs="FrankRuehl"/>
        <w:color w:val="000000"/>
      </w:rPr>
      <w:pict w14:anchorId="118282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54CCB" w14:textId="77777777" w:rsidR="00FE3C1A" w:rsidRDefault="00FE3C1A" w:rsidP="00D07E85">
      <w:r>
        <w:separator/>
      </w:r>
    </w:p>
  </w:footnote>
  <w:footnote w:type="continuationSeparator" w:id="0">
    <w:p w14:paraId="30F3272B" w14:textId="77777777" w:rsidR="00FE3C1A" w:rsidRDefault="00FE3C1A" w:rsidP="00D07E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6428C" w14:textId="77777777" w:rsidR="00FE3C1A" w:rsidRPr="00FD3783" w:rsidRDefault="00FE3C1A" w:rsidP="00FD378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47161-08-17</w:t>
    </w:r>
    <w:r>
      <w:rPr>
        <w:rFonts w:ascii="David" w:hAnsi="David"/>
        <w:color w:val="000000"/>
        <w:sz w:val="22"/>
        <w:szCs w:val="22"/>
        <w:rtl/>
      </w:rPr>
      <w:tab/>
      <w:t xml:space="preserve"> מדינת ישראל נ' עאמר עאסלה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13CB3" w14:textId="77777777" w:rsidR="00FE3C1A" w:rsidRPr="00FD3783" w:rsidRDefault="00FE3C1A" w:rsidP="00FD378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47161-08-17</w:t>
    </w:r>
    <w:r>
      <w:rPr>
        <w:rFonts w:ascii="David" w:hAnsi="David"/>
        <w:color w:val="000000"/>
        <w:sz w:val="22"/>
        <w:szCs w:val="22"/>
        <w:rtl/>
      </w:rPr>
      <w:tab/>
      <w:t xml:space="preserve"> מדינת ישראל נ' עאמר עאסלה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83B8A"/>
    <w:rsid w:val="000D633D"/>
    <w:rsid w:val="00183B8A"/>
    <w:rsid w:val="002A22BD"/>
    <w:rsid w:val="002D7B2F"/>
    <w:rsid w:val="003933E4"/>
    <w:rsid w:val="006E2205"/>
    <w:rsid w:val="0080515D"/>
    <w:rsid w:val="00AC50BF"/>
    <w:rsid w:val="00BA16A0"/>
    <w:rsid w:val="00D07E85"/>
    <w:rsid w:val="00EB4BC8"/>
    <w:rsid w:val="00FD3783"/>
    <w:rsid w:val="00FE3C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38575D0"/>
  <w15:chartTrackingRefBased/>
  <w15:docId w15:val="{63F104E7-F82B-44C2-9B9E-CBE5251FA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83B8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83B8A"/>
    <w:pPr>
      <w:tabs>
        <w:tab w:val="center" w:pos="4153"/>
        <w:tab w:val="right" w:pos="8306"/>
      </w:tabs>
    </w:pPr>
  </w:style>
  <w:style w:type="character" w:customStyle="1" w:styleId="a4">
    <w:name w:val="כותרת עליונה תו"/>
    <w:link w:val="a3"/>
    <w:rsid w:val="00183B8A"/>
    <w:rPr>
      <w:rFonts w:ascii="Times New Roman" w:eastAsia="Times New Roman" w:hAnsi="Times New Roman" w:cs="David"/>
      <w:sz w:val="24"/>
      <w:szCs w:val="24"/>
    </w:rPr>
  </w:style>
  <w:style w:type="paragraph" w:styleId="a5">
    <w:name w:val="footer"/>
    <w:basedOn w:val="a"/>
    <w:link w:val="a6"/>
    <w:rsid w:val="00183B8A"/>
    <w:pPr>
      <w:tabs>
        <w:tab w:val="center" w:pos="4153"/>
        <w:tab w:val="right" w:pos="8306"/>
      </w:tabs>
    </w:pPr>
  </w:style>
  <w:style w:type="character" w:customStyle="1" w:styleId="a6">
    <w:name w:val="כותרת תחתונה תו"/>
    <w:link w:val="a5"/>
    <w:rsid w:val="00183B8A"/>
    <w:rPr>
      <w:rFonts w:ascii="Times New Roman" w:eastAsia="Times New Roman" w:hAnsi="Times New Roman" w:cs="David"/>
      <w:sz w:val="24"/>
      <w:szCs w:val="24"/>
    </w:rPr>
  </w:style>
  <w:style w:type="table" w:styleId="a7">
    <w:name w:val="Table Grid"/>
    <w:basedOn w:val="a1"/>
    <w:rsid w:val="00183B8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83B8A"/>
  </w:style>
  <w:style w:type="paragraph" w:customStyle="1" w:styleId="12">
    <w:name w:val="רגיל + ‏12 נק'"/>
    <w:aliases w:val="מיושר לשני הצדדים,מרווח בין שורות:  שורה וחצי"/>
    <w:basedOn w:val="a"/>
    <w:rsid w:val="00183B8A"/>
    <w:rPr>
      <w:b/>
      <w:bCs/>
      <w:u w:val="single"/>
    </w:rPr>
  </w:style>
  <w:style w:type="character" w:customStyle="1" w:styleId="TimesNewRomanTimesNewRoman">
    <w:name w:val="סגנון (לטיני) Times New Roman (עברית ושפות אחרות) Times New Roman..."/>
    <w:rsid w:val="00183B8A"/>
    <w:rPr>
      <w:rFonts w:ascii="Times New Roman" w:hAnsi="Times New Roman" w:cs="David" w:hint="default"/>
      <w:b/>
      <w:bCs/>
      <w:sz w:val="26"/>
      <w:szCs w:val="26"/>
    </w:rPr>
  </w:style>
  <w:style w:type="paragraph" w:styleId="a9">
    <w:name w:val="Quote"/>
    <w:basedOn w:val="a"/>
    <w:next w:val="a"/>
    <w:link w:val="aa"/>
    <w:qFormat/>
    <w:rsid w:val="00183B8A"/>
    <w:pPr>
      <w:tabs>
        <w:tab w:val="left" w:pos="567"/>
        <w:tab w:val="left" w:pos="1134"/>
        <w:tab w:val="left" w:pos="1701"/>
      </w:tabs>
      <w:spacing w:line="360" w:lineRule="auto"/>
      <w:ind w:left="1418" w:right="1418"/>
      <w:jc w:val="both"/>
    </w:pPr>
  </w:style>
  <w:style w:type="character" w:customStyle="1" w:styleId="aa">
    <w:name w:val="ציטוט תו"/>
    <w:link w:val="a9"/>
    <w:rsid w:val="00183B8A"/>
    <w:rPr>
      <w:rFonts w:ascii="Times New Roman" w:eastAsia="Times New Roman" w:hAnsi="Times New Roman" w:cs="David"/>
      <w:sz w:val="24"/>
      <w:szCs w:val="24"/>
    </w:rPr>
  </w:style>
  <w:style w:type="character" w:styleId="Hyperlink">
    <w:name w:val="Hyperlink"/>
    <w:rsid w:val="00183B8A"/>
    <w:rPr>
      <w:color w:val="0563C1"/>
      <w:u w:val="single"/>
    </w:rPr>
  </w:style>
  <w:style w:type="character" w:styleId="ab">
    <w:name w:val="Unresolved Mention"/>
    <w:rsid w:val="003933E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aw/70301/40i.a" TargetMode="External"/><Relationship Id="rId18" Type="http://schemas.openxmlformats.org/officeDocument/2006/relationships/hyperlink" Target="http://www.nevo.co.il/case/5724364"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case/6000182" TargetMode="External"/><Relationship Id="rId7" Type="http://schemas.openxmlformats.org/officeDocument/2006/relationships/hyperlink" Target="http://www.nevo.co.il/law/70301/40i.a"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case/21474520"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case/21946424" TargetMode="External"/><Relationship Id="rId20" Type="http://schemas.openxmlformats.org/officeDocument/2006/relationships/hyperlink" Target="http://www.nevo.co.il/case/5891605"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case/6473037"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144.a" TargetMode="External"/><Relationship Id="rId19" Type="http://schemas.openxmlformats.org/officeDocument/2006/relationships/hyperlink" Target="http://www.nevo.co.il/case/5969313" TargetMode="Externa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2569</Words>
  <Characters>12845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15384</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3473532</vt:i4>
      </vt:variant>
      <vt:variant>
        <vt:i4>45</vt:i4>
      </vt:variant>
      <vt:variant>
        <vt:i4>0</vt:i4>
      </vt:variant>
      <vt:variant>
        <vt:i4>5</vt:i4>
      </vt:variant>
      <vt:variant>
        <vt:lpwstr>http://www.nevo.co.il/case/6000182</vt:lpwstr>
      </vt:variant>
      <vt:variant>
        <vt:lpwstr/>
      </vt:variant>
      <vt:variant>
        <vt:i4>4128893</vt:i4>
      </vt:variant>
      <vt:variant>
        <vt:i4>42</vt:i4>
      </vt:variant>
      <vt:variant>
        <vt:i4>0</vt:i4>
      </vt:variant>
      <vt:variant>
        <vt:i4>5</vt:i4>
      </vt:variant>
      <vt:variant>
        <vt:lpwstr>http://www.nevo.co.il/case/5891605</vt:lpwstr>
      </vt:variant>
      <vt:variant>
        <vt:lpwstr/>
      </vt:variant>
      <vt:variant>
        <vt:i4>3342453</vt:i4>
      </vt:variant>
      <vt:variant>
        <vt:i4>39</vt:i4>
      </vt:variant>
      <vt:variant>
        <vt:i4>0</vt:i4>
      </vt:variant>
      <vt:variant>
        <vt:i4>5</vt:i4>
      </vt:variant>
      <vt:variant>
        <vt:lpwstr>http://www.nevo.co.il/case/5969313</vt:lpwstr>
      </vt:variant>
      <vt:variant>
        <vt:lpwstr/>
      </vt:variant>
      <vt:variant>
        <vt:i4>3145841</vt:i4>
      </vt:variant>
      <vt:variant>
        <vt:i4>36</vt:i4>
      </vt:variant>
      <vt:variant>
        <vt:i4>0</vt:i4>
      </vt:variant>
      <vt:variant>
        <vt:i4>5</vt:i4>
      </vt:variant>
      <vt:variant>
        <vt:lpwstr>http://www.nevo.co.il/case/5724364</vt:lpwstr>
      </vt:variant>
      <vt:variant>
        <vt:lpwstr/>
      </vt:variant>
      <vt:variant>
        <vt:i4>3145847</vt:i4>
      </vt:variant>
      <vt:variant>
        <vt:i4>33</vt:i4>
      </vt:variant>
      <vt:variant>
        <vt:i4>0</vt:i4>
      </vt:variant>
      <vt:variant>
        <vt:i4>5</vt:i4>
      </vt:variant>
      <vt:variant>
        <vt:lpwstr>http://www.nevo.co.il/case/21474520</vt:lpwstr>
      </vt:variant>
      <vt:variant>
        <vt:lpwstr/>
      </vt:variant>
      <vt:variant>
        <vt:i4>4128885</vt:i4>
      </vt:variant>
      <vt:variant>
        <vt:i4>30</vt:i4>
      </vt:variant>
      <vt:variant>
        <vt:i4>0</vt:i4>
      </vt:variant>
      <vt:variant>
        <vt:i4>5</vt:i4>
      </vt:variant>
      <vt:variant>
        <vt:lpwstr>http://www.nevo.co.il/case/21946424</vt:lpwstr>
      </vt:variant>
      <vt:variant>
        <vt:lpwstr/>
      </vt:variant>
      <vt:variant>
        <vt:i4>3539056</vt:i4>
      </vt:variant>
      <vt:variant>
        <vt:i4>27</vt:i4>
      </vt:variant>
      <vt:variant>
        <vt:i4>0</vt:i4>
      </vt:variant>
      <vt:variant>
        <vt:i4>5</vt:i4>
      </vt:variant>
      <vt:variant>
        <vt:lpwstr>http://www.nevo.co.il/case/6473037</vt:lpwstr>
      </vt:variant>
      <vt:variant>
        <vt:lpwstr/>
      </vt:variant>
      <vt:variant>
        <vt:i4>7995492</vt:i4>
      </vt:variant>
      <vt:variant>
        <vt:i4>24</vt:i4>
      </vt:variant>
      <vt:variant>
        <vt:i4>0</vt:i4>
      </vt:variant>
      <vt:variant>
        <vt:i4>5</vt:i4>
      </vt:variant>
      <vt:variant>
        <vt:lpwstr>http://www.nevo.co.il/law/70301</vt:lpwstr>
      </vt:variant>
      <vt:variant>
        <vt:lpwstr/>
      </vt:variant>
      <vt:variant>
        <vt:i4>4915208</vt:i4>
      </vt:variant>
      <vt:variant>
        <vt:i4>21</vt:i4>
      </vt:variant>
      <vt:variant>
        <vt:i4>0</vt:i4>
      </vt:variant>
      <vt:variant>
        <vt:i4>5</vt:i4>
      </vt:variant>
      <vt:variant>
        <vt:lpwstr>http://www.nevo.co.il/law/70301/40i.a</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4915208</vt:i4>
      </vt:variant>
      <vt:variant>
        <vt:i4>3</vt:i4>
      </vt:variant>
      <vt:variant>
        <vt:i4>0</vt:i4>
      </vt:variant>
      <vt:variant>
        <vt:i4>5</vt:i4>
      </vt:variant>
      <vt:variant>
        <vt:lpwstr>http://www.nevo.co.il/law/70301/40i.a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2023-12-07T11:45:00Z</dcterms:created>
  <dcterms:modified xsi:type="dcterms:W3CDTF">2023-12-07T11:45:00Z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47161</vt:lpwstr>
  </property>
  <property fmtid="{D5CDD505-2E9C-101B-9397-08002B2CF9AE}" pid="6" name="NEWPARTB">
    <vt:lpwstr>08</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עאמר עאסלה  </vt:lpwstr>
  </property>
  <property fmtid="{D5CDD505-2E9C-101B-9397-08002B2CF9AE}" pid="10" name="LAWYER">
    <vt:lpwstr>טל גרשון;יאסין בכר</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20180221</vt:lpwstr>
  </property>
  <property fmtid="{D5CDD505-2E9C-101B-9397-08002B2CF9AE}" pid="14" name="TYPE_N_DATE">
    <vt:lpwstr>39020180221</vt:lpwstr>
  </property>
  <property fmtid="{D5CDD505-2E9C-101B-9397-08002B2CF9AE}" pid="15" name="CASESLISTTMP1">
    <vt:lpwstr>6473037;21946424;21474520;5724364;5969313;5891605;6000182</vt:lpwstr>
  </property>
  <property fmtid="{D5CDD505-2E9C-101B-9397-08002B2CF9AE}" pid="16" name="CASENOTES1">
    <vt:lpwstr>ProcID=133;209&amp;PartA=1332&amp;PartC=04</vt:lpwstr>
  </property>
  <property fmtid="{D5CDD505-2E9C-101B-9397-08002B2CF9AE}" pid="17" name="WORDNUMPAGES">
    <vt:lpwstr>9</vt:lpwstr>
  </property>
  <property fmtid="{D5CDD505-2E9C-101B-9397-08002B2CF9AE}" pid="18" name="TYPE_ABS_DATE">
    <vt:lpwstr>390020180221</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70301/144.a;144.b;040i.a</vt:lpwstr>
  </property>
</Properties>
</file>