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000000" w14:paraId="496A85CB" w14:textId="77777777">
        <w:trPr>
          <w:trHeight w:hRule="exact" w:val="418"/>
          <w:jc w:val="center"/>
        </w:trPr>
        <w:tc>
          <w:tcPr>
            <w:tcW w:w="8721" w:type="dxa"/>
            <w:gridSpan w:val="2"/>
          </w:tcPr>
          <w:p w14:paraId="70535ED8" w14:textId="77777777" w:rsidR="00CE7F0A" w:rsidRDefault="00CE7F0A">
            <w:pPr>
              <w:pStyle w:val="a3"/>
              <w:jc w:val="center"/>
              <w:rPr>
                <w:rFonts w:ascii="Tahoma" w:hAnsi="Tahoma" w:cs="Tahoma"/>
                <w:color w:val="000080"/>
                <w:rtl/>
              </w:rPr>
            </w:pPr>
            <w:r>
              <w:rPr>
                <w:rFonts w:ascii="Tahoma" w:hAnsi="Tahoma" w:cs="Tahoma"/>
                <w:b/>
                <w:bCs/>
                <w:color w:val="000080"/>
                <w:rtl/>
              </w:rPr>
              <w:t>בית המשפט המחוזי בחיפה</w:t>
            </w:r>
          </w:p>
        </w:tc>
      </w:tr>
      <w:tr w:rsidR="00000000" w14:paraId="61311222" w14:textId="77777777">
        <w:trPr>
          <w:trHeight w:val="337"/>
          <w:jc w:val="center"/>
        </w:trPr>
        <w:tc>
          <w:tcPr>
            <w:tcW w:w="5058" w:type="dxa"/>
          </w:tcPr>
          <w:p w14:paraId="169BAA5E" w14:textId="77777777" w:rsidR="00CE7F0A" w:rsidRDefault="00CE7F0A">
            <w:pPr>
              <w:rPr>
                <w:rFonts w:cs="FrankRuehl"/>
                <w:sz w:val="28"/>
                <w:szCs w:val="28"/>
                <w:rtl/>
              </w:rPr>
            </w:pPr>
            <w:r>
              <w:rPr>
                <w:rFonts w:cs="FrankRuehl"/>
                <w:sz w:val="28"/>
                <w:szCs w:val="28"/>
                <w:rtl/>
              </w:rPr>
              <w:t>ת"פ</w:t>
            </w:r>
            <w:r>
              <w:rPr>
                <w:rFonts w:cs="FrankRuehl" w:hint="cs"/>
                <w:sz w:val="28"/>
                <w:szCs w:val="28"/>
                <w:rtl/>
              </w:rPr>
              <w:t xml:space="preserve"> </w:t>
            </w:r>
            <w:r>
              <w:rPr>
                <w:rFonts w:cs="FrankRuehl"/>
                <w:sz w:val="28"/>
                <w:szCs w:val="28"/>
                <w:rtl/>
              </w:rPr>
              <w:t>51038-02-17</w:t>
            </w:r>
            <w:r>
              <w:rPr>
                <w:rFonts w:cs="FrankRuehl" w:hint="cs"/>
                <w:sz w:val="28"/>
                <w:szCs w:val="28"/>
                <w:rtl/>
              </w:rPr>
              <w:t xml:space="preserve"> </w:t>
            </w:r>
            <w:r>
              <w:rPr>
                <w:rFonts w:cs="FrankRuehl"/>
                <w:sz w:val="28"/>
                <w:szCs w:val="28"/>
                <w:rtl/>
              </w:rPr>
              <w:t>מדינת ישראל נ' כבהה</w:t>
            </w:r>
            <w:r>
              <w:rPr>
                <w:rFonts w:cs="FrankRuehl" w:hint="cs"/>
                <w:sz w:val="28"/>
                <w:szCs w:val="28"/>
                <w:rtl/>
              </w:rPr>
              <w:t xml:space="preserve"> </w:t>
            </w:r>
            <w:r>
              <w:rPr>
                <w:rFonts w:cs="FrankRuehl"/>
                <w:sz w:val="28"/>
                <w:szCs w:val="28"/>
                <w:rtl/>
              </w:rPr>
              <w:t>(עציר)</w:t>
            </w:r>
          </w:p>
          <w:p w14:paraId="6CE3A805" w14:textId="77777777" w:rsidR="00CE7F0A" w:rsidRDefault="00CE7F0A">
            <w:pPr>
              <w:pStyle w:val="a3"/>
              <w:rPr>
                <w:rFonts w:cs="FrankRuehl"/>
                <w:sz w:val="28"/>
                <w:szCs w:val="28"/>
                <w:rtl/>
              </w:rPr>
            </w:pPr>
          </w:p>
        </w:tc>
        <w:tc>
          <w:tcPr>
            <w:tcW w:w="3663" w:type="dxa"/>
          </w:tcPr>
          <w:p w14:paraId="74B1B9C8" w14:textId="77777777" w:rsidR="00CE7F0A" w:rsidRDefault="00CE7F0A">
            <w:pPr>
              <w:pStyle w:val="a3"/>
              <w:jc w:val="right"/>
              <w:rPr>
                <w:rFonts w:cs="FrankRuehl"/>
                <w:sz w:val="28"/>
                <w:szCs w:val="28"/>
                <w:rtl/>
              </w:rPr>
            </w:pPr>
          </w:p>
        </w:tc>
      </w:tr>
    </w:tbl>
    <w:p w14:paraId="32919285" w14:textId="77777777" w:rsidR="00CE7F0A" w:rsidRDefault="00CE7F0A">
      <w:pPr>
        <w:pStyle w:val="a3"/>
        <w:rPr>
          <w:rtl/>
        </w:rPr>
      </w:pPr>
      <w:r>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7B434CFA" w14:textId="77777777">
        <w:trPr>
          <w:trHeight w:val="295"/>
          <w:jc w:val="center"/>
        </w:trPr>
        <w:tc>
          <w:tcPr>
            <w:tcW w:w="923" w:type="dxa"/>
            <w:tcBorders>
              <w:top w:val="nil"/>
              <w:left w:val="nil"/>
              <w:bottom w:val="nil"/>
              <w:right w:val="nil"/>
            </w:tcBorders>
            <w:shd w:val="clear" w:color="auto" w:fill="auto"/>
          </w:tcPr>
          <w:p w14:paraId="15AECEF0" w14:textId="77777777" w:rsidR="00CE7F0A" w:rsidRDefault="00CE7F0A">
            <w:pPr>
              <w:spacing w:line="360" w:lineRule="auto"/>
              <w:jc w:val="both"/>
              <w:rPr>
                <w:rFonts w:ascii="Arial" w:hAnsi="Arial"/>
                <w:b/>
                <w:bCs/>
                <w:sz w:val="26"/>
                <w:szCs w:val="26"/>
              </w:rPr>
            </w:pPr>
            <w:r>
              <w:rPr>
                <w:rFonts w:ascii="Arial" w:hAnsi="Arial" w:hint="cs"/>
                <w:b/>
                <w:bCs/>
                <w:sz w:val="26"/>
                <w:szCs w:val="26"/>
                <w:rtl/>
              </w:rPr>
              <w:t>ב</w:t>
            </w:r>
            <w:r>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6E457FC3" w14:textId="77777777" w:rsidR="00CE7F0A" w:rsidRDefault="00CE7F0A">
            <w:pPr>
              <w:spacing w:line="360" w:lineRule="auto"/>
              <w:jc w:val="both"/>
              <w:rPr>
                <w:rFonts w:ascii="Arial" w:hAnsi="Arial"/>
                <w:b/>
                <w:bCs/>
                <w:sz w:val="26"/>
                <w:szCs w:val="26"/>
              </w:rPr>
            </w:pPr>
            <w:r>
              <w:rPr>
                <w:rFonts w:ascii="Arial" w:hAnsi="Arial" w:hint="cs"/>
                <w:b/>
                <w:bCs/>
                <w:sz w:val="26"/>
                <w:szCs w:val="26"/>
                <w:rtl/>
              </w:rPr>
              <w:t>כב' השופט אברהם אליקים, סגן נשיא</w:t>
            </w:r>
          </w:p>
        </w:tc>
      </w:tr>
      <w:tr w:rsidR="00000000" w14:paraId="2BD0D1CF" w14:textId="77777777">
        <w:trPr>
          <w:trHeight w:val="355"/>
          <w:jc w:val="center"/>
        </w:trPr>
        <w:tc>
          <w:tcPr>
            <w:tcW w:w="923" w:type="dxa"/>
            <w:tcBorders>
              <w:top w:val="nil"/>
              <w:left w:val="nil"/>
              <w:bottom w:val="nil"/>
              <w:right w:val="nil"/>
            </w:tcBorders>
            <w:shd w:val="clear" w:color="auto" w:fill="auto"/>
          </w:tcPr>
          <w:p w14:paraId="5FED1DD0" w14:textId="77777777" w:rsidR="00CE7F0A" w:rsidRDefault="00CE7F0A">
            <w:pPr>
              <w:spacing w:line="360" w:lineRule="auto"/>
              <w:jc w:val="both"/>
              <w:rPr>
                <w:rFonts w:ascii="Arial" w:hAnsi="Arial"/>
                <w:b/>
                <w:bCs/>
                <w:sz w:val="26"/>
                <w:szCs w:val="26"/>
              </w:rPr>
            </w:pPr>
            <w:bookmarkStart w:id="0" w:name="FirstAppellant"/>
            <w:bookmarkStart w:id="1" w:name="LastJudge"/>
            <w:bookmarkEnd w:id="1"/>
            <w:r>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269D8C4E" w14:textId="77777777" w:rsidR="00CE7F0A" w:rsidRDefault="00CE7F0A">
            <w:pPr>
              <w:spacing w:line="360" w:lineRule="auto"/>
              <w:rPr>
                <w:b/>
                <w:bCs/>
                <w:sz w:val="26"/>
                <w:szCs w:val="26"/>
              </w:rPr>
            </w:pPr>
            <w:r>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051C5AB7" w14:textId="77777777" w:rsidR="00CE7F0A" w:rsidRDefault="00CE7F0A">
            <w:pPr>
              <w:spacing w:line="360" w:lineRule="auto"/>
              <w:jc w:val="both"/>
              <w:rPr>
                <w:rFonts w:ascii="Arial" w:hAnsi="Arial"/>
                <w:b/>
                <w:bCs/>
                <w:sz w:val="26"/>
                <w:szCs w:val="26"/>
              </w:rPr>
            </w:pPr>
          </w:p>
        </w:tc>
      </w:tr>
      <w:bookmarkEnd w:id="0"/>
      <w:tr w:rsidR="00000000" w14:paraId="0E279C22" w14:textId="77777777">
        <w:trPr>
          <w:trHeight w:val="355"/>
          <w:jc w:val="center"/>
        </w:trPr>
        <w:tc>
          <w:tcPr>
            <w:tcW w:w="923" w:type="dxa"/>
            <w:tcBorders>
              <w:top w:val="nil"/>
              <w:left w:val="nil"/>
              <w:bottom w:val="nil"/>
              <w:right w:val="nil"/>
            </w:tcBorders>
            <w:shd w:val="clear" w:color="auto" w:fill="auto"/>
          </w:tcPr>
          <w:p w14:paraId="050DB5F0" w14:textId="77777777" w:rsidR="00CE7F0A" w:rsidRDefault="00CE7F0A">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7A097374" w14:textId="77777777" w:rsidR="00CE7F0A" w:rsidRDefault="00CE7F0A">
            <w:pPr>
              <w:spacing w:line="360" w:lineRule="auto"/>
              <w:jc w:val="both"/>
              <w:rPr>
                <w:b/>
                <w:bCs/>
                <w:sz w:val="26"/>
                <w:szCs w:val="26"/>
                <w:rtl/>
              </w:rPr>
            </w:pPr>
          </w:p>
        </w:tc>
        <w:tc>
          <w:tcPr>
            <w:tcW w:w="3771" w:type="dxa"/>
            <w:tcBorders>
              <w:top w:val="nil"/>
              <w:left w:val="nil"/>
              <w:bottom w:val="nil"/>
              <w:right w:val="nil"/>
            </w:tcBorders>
            <w:shd w:val="clear" w:color="auto" w:fill="auto"/>
          </w:tcPr>
          <w:p w14:paraId="579F1CFB" w14:textId="77777777" w:rsidR="00CE7F0A" w:rsidRDefault="00CE7F0A">
            <w:pPr>
              <w:spacing w:line="360" w:lineRule="auto"/>
              <w:jc w:val="right"/>
              <w:rPr>
                <w:rFonts w:ascii="Arial" w:hAnsi="Arial"/>
                <w:b/>
                <w:bCs/>
                <w:sz w:val="26"/>
                <w:szCs w:val="26"/>
                <w:rtl/>
              </w:rPr>
            </w:pPr>
            <w:r>
              <w:rPr>
                <w:rFonts w:ascii="Arial" w:hAnsi="Arial" w:hint="cs"/>
                <w:b/>
                <w:bCs/>
                <w:sz w:val="26"/>
                <w:szCs w:val="26"/>
                <w:rtl/>
              </w:rPr>
              <w:t>ה</w:t>
            </w:r>
            <w:r>
              <w:rPr>
                <w:rFonts w:ascii="Arial" w:hAnsi="Arial"/>
                <w:b/>
                <w:bCs/>
                <w:sz w:val="26"/>
                <w:szCs w:val="26"/>
                <w:rtl/>
              </w:rPr>
              <w:t>מאשימה</w:t>
            </w:r>
          </w:p>
        </w:tc>
      </w:tr>
      <w:tr w:rsidR="00000000" w14:paraId="0AD54811" w14:textId="77777777">
        <w:trPr>
          <w:trHeight w:val="355"/>
          <w:jc w:val="center"/>
        </w:trPr>
        <w:tc>
          <w:tcPr>
            <w:tcW w:w="923" w:type="dxa"/>
            <w:tcBorders>
              <w:top w:val="nil"/>
              <w:left w:val="nil"/>
              <w:bottom w:val="nil"/>
              <w:right w:val="nil"/>
            </w:tcBorders>
            <w:shd w:val="clear" w:color="auto" w:fill="auto"/>
          </w:tcPr>
          <w:p w14:paraId="209D7AC0" w14:textId="77777777" w:rsidR="00CE7F0A" w:rsidRDefault="00CE7F0A">
            <w:pPr>
              <w:spacing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547AECA5" w14:textId="77777777" w:rsidR="00CE7F0A" w:rsidRDefault="00CE7F0A">
            <w:pPr>
              <w:spacing w:line="360" w:lineRule="auto"/>
              <w:jc w:val="center"/>
              <w:rPr>
                <w:rFonts w:ascii="Arial" w:hAnsi="Arial" w:hint="cs"/>
                <w:b/>
                <w:bCs/>
                <w:sz w:val="26"/>
                <w:szCs w:val="26"/>
              </w:rPr>
            </w:pPr>
            <w:r>
              <w:rPr>
                <w:rFonts w:ascii="Arial" w:hAnsi="Arial"/>
                <w:b/>
                <w:bCs/>
                <w:sz w:val="26"/>
                <w:szCs w:val="26"/>
                <w:rtl/>
              </w:rPr>
              <w:t>נגד</w:t>
            </w:r>
          </w:p>
        </w:tc>
      </w:tr>
      <w:tr w:rsidR="00000000" w14:paraId="3DDD41F9" w14:textId="77777777">
        <w:trPr>
          <w:trHeight w:val="355"/>
          <w:jc w:val="center"/>
        </w:trPr>
        <w:tc>
          <w:tcPr>
            <w:tcW w:w="923" w:type="dxa"/>
            <w:tcBorders>
              <w:top w:val="nil"/>
              <w:left w:val="nil"/>
              <w:bottom w:val="nil"/>
              <w:right w:val="nil"/>
            </w:tcBorders>
            <w:shd w:val="clear" w:color="auto" w:fill="auto"/>
          </w:tcPr>
          <w:p w14:paraId="333A6AA6" w14:textId="77777777" w:rsidR="00CE7F0A" w:rsidRDefault="00CE7F0A">
            <w:pPr>
              <w:spacing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631A3E2A" w14:textId="77777777" w:rsidR="00CE7F0A" w:rsidRDefault="00CE7F0A">
            <w:pPr>
              <w:spacing w:line="360" w:lineRule="auto"/>
              <w:rPr>
                <w:rFonts w:hint="cs"/>
                <w:b/>
                <w:bCs/>
                <w:sz w:val="26"/>
                <w:szCs w:val="26"/>
                <w:rtl/>
              </w:rPr>
            </w:pPr>
            <w:r>
              <w:rPr>
                <w:rFonts w:ascii="Arial" w:hAnsi="Arial"/>
                <w:b/>
                <w:bCs/>
                <w:sz w:val="26"/>
                <w:szCs w:val="26"/>
                <w:rtl/>
              </w:rPr>
              <w:t>עדאי כבהה (עציר)</w:t>
            </w:r>
            <w:r>
              <w:rPr>
                <w:rFonts w:hint="cs"/>
                <w:b/>
                <w:bCs/>
                <w:sz w:val="26"/>
                <w:szCs w:val="26"/>
                <w:rtl/>
              </w:rPr>
              <w:t xml:space="preserve"> </w:t>
            </w:r>
          </w:p>
        </w:tc>
        <w:tc>
          <w:tcPr>
            <w:tcW w:w="3771" w:type="dxa"/>
            <w:tcBorders>
              <w:top w:val="nil"/>
              <w:left w:val="nil"/>
              <w:bottom w:val="nil"/>
              <w:right w:val="nil"/>
            </w:tcBorders>
            <w:shd w:val="clear" w:color="auto" w:fill="auto"/>
          </w:tcPr>
          <w:p w14:paraId="00CFC5A0" w14:textId="77777777" w:rsidR="00CE7F0A" w:rsidRDefault="00CE7F0A">
            <w:pPr>
              <w:spacing w:line="360" w:lineRule="auto"/>
              <w:jc w:val="right"/>
              <w:rPr>
                <w:rFonts w:ascii="Arial" w:hAnsi="Arial"/>
                <w:b/>
                <w:bCs/>
                <w:sz w:val="26"/>
                <w:szCs w:val="26"/>
              </w:rPr>
            </w:pPr>
          </w:p>
        </w:tc>
      </w:tr>
      <w:tr w:rsidR="00000000" w14:paraId="48C2652C" w14:textId="77777777">
        <w:trPr>
          <w:trHeight w:val="355"/>
          <w:jc w:val="center"/>
        </w:trPr>
        <w:tc>
          <w:tcPr>
            <w:tcW w:w="923" w:type="dxa"/>
            <w:tcBorders>
              <w:top w:val="nil"/>
              <w:left w:val="nil"/>
              <w:bottom w:val="nil"/>
              <w:right w:val="nil"/>
            </w:tcBorders>
            <w:shd w:val="clear" w:color="auto" w:fill="auto"/>
          </w:tcPr>
          <w:p w14:paraId="6C38C5CC" w14:textId="77777777" w:rsidR="00CE7F0A" w:rsidRDefault="00CE7F0A">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59090E55" w14:textId="77777777" w:rsidR="00CE7F0A" w:rsidRDefault="00CE7F0A">
            <w:pPr>
              <w:spacing w:line="360" w:lineRule="auto"/>
              <w:jc w:val="both"/>
              <w:rPr>
                <w:b/>
                <w:bCs/>
                <w:sz w:val="26"/>
                <w:szCs w:val="26"/>
                <w:rtl/>
              </w:rPr>
            </w:pPr>
          </w:p>
        </w:tc>
        <w:tc>
          <w:tcPr>
            <w:tcW w:w="3771" w:type="dxa"/>
            <w:tcBorders>
              <w:top w:val="nil"/>
              <w:left w:val="nil"/>
              <w:bottom w:val="nil"/>
              <w:right w:val="nil"/>
            </w:tcBorders>
            <w:shd w:val="clear" w:color="auto" w:fill="auto"/>
          </w:tcPr>
          <w:p w14:paraId="4B77AA05" w14:textId="77777777" w:rsidR="00CE7F0A" w:rsidRDefault="00CE7F0A">
            <w:pPr>
              <w:spacing w:line="360" w:lineRule="auto"/>
              <w:jc w:val="right"/>
              <w:rPr>
                <w:rFonts w:ascii="Arial" w:hAnsi="Arial"/>
                <w:b/>
                <w:bCs/>
                <w:sz w:val="26"/>
                <w:szCs w:val="26"/>
              </w:rPr>
            </w:pPr>
            <w:r>
              <w:rPr>
                <w:rFonts w:ascii="Arial" w:hAnsi="Arial" w:hint="cs"/>
                <w:b/>
                <w:bCs/>
                <w:sz w:val="26"/>
                <w:szCs w:val="26"/>
                <w:rtl/>
              </w:rPr>
              <w:t>ה</w:t>
            </w:r>
            <w:r>
              <w:rPr>
                <w:rFonts w:ascii="Arial" w:hAnsi="Arial"/>
                <w:b/>
                <w:bCs/>
                <w:sz w:val="26"/>
                <w:szCs w:val="26"/>
                <w:rtl/>
              </w:rPr>
              <w:t>נאשם</w:t>
            </w:r>
          </w:p>
        </w:tc>
      </w:tr>
    </w:tbl>
    <w:p w14:paraId="64B01D47" w14:textId="77777777" w:rsidR="00CE7F0A" w:rsidRDefault="00CE7F0A">
      <w:pPr>
        <w:spacing w:after="120" w:line="240" w:lineRule="exact"/>
        <w:ind w:left="283" w:hanging="283"/>
        <w:jc w:val="both"/>
        <w:rPr>
          <w:rFonts w:ascii="FrankRuehl" w:hAnsi="FrankRuehl" w:cs="FrankRuehl"/>
          <w:rtl/>
        </w:rPr>
      </w:pPr>
      <w:bookmarkStart w:id="2" w:name="LawTable"/>
      <w:bookmarkEnd w:id="2"/>
    </w:p>
    <w:p w14:paraId="536013E5" w14:textId="77777777" w:rsidR="00CE7F0A" w:rsidRDefault="00CE7F0A">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27E80FA2" w14:textId="77777777" w:rsidR="00CE7F0A" w:rsidRDefault="00CE7F0A">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8" w:history="1">
        <w:r>
          <w:rPr>
            <w:rFonts w:ascii="FrankRuehl" w:hAnsi="FrankRuehl" w:cs="FrankRuehl"/>
            <w:color w:val="0000FF"/>
            <w:u w:val="single"/>
            <w:rtl/>
          </w:rPr>
          <w:t>40ב'</w:t>
        </w:r>
      </w:hyperlink>
      <w:r>
        <w:rPr>
          <w:rFonts w:ascii="FrankRuehl" w:hAnsi="FrankRuehl" w:cs="FrankRuehl"/>
          <w:rtl/>
        </w:rPr>
        <w:t xml:space="preserve">, </w:t>
      </w:r>
      <w:hyperlink r:id="rId9" w:history="1">
        <w:r>
          <w:rPr>
            <w:rFonts w:ascii="FrankRuehl" w:hAnsi="FrankRuehl" w:cs="FrankRuehl"/>
            <w:color w:val="0000FF"/>
            <w:u w:val="single"/>
            <w:rtl/>
          </w:rPr>
          <w:t>40ט'</w:t>
        </w:r>
      </w:hyperlink>
      <w:r>
        <w:rPr>
          <w:rFonts w:ascii="FrankRuehl" w:hAnsi="FrankRuehl" w:cs="FrankRuehl"/>
          <w:rtl/>
        </w:rPr>
        <w:t xml:space="preserve">, </w:t>
      </w:r>
      <w:hyperlink r:id="rId10" w:history="1">
        <w:r>
          <w:rPr>
            <w:rFonts w:ascii="FrankRuehl" w:hAnsi="FrankRuehl" w:cs="FrankRuehl"/>
            <w:color w:val="0000FF"/>
            <w:u w:val="single"/>
            <w:rtl/>
          </w:rPr>
          <w:t>144(א)</w:t>
        </w:r>
      </w:hyperlink>
      <w:r>
        <w:rPr>
          <w:rFonts w:ascii="FrankRuehl" w:hAnsi="FrankRuehl" w:cs="FrankRuehl"/>
          <w:rtl/>
        </w:rPr>
        <w:t xml:space="preserve">, </w:t>
      </w:r>
      <w:hyperlink r:id="rId11" w:history="1">
        <w:r>
          <w:rPr>
            <w:rFonts w:ascii="FrankRuehl" w:hAnsi="FrankRuehl" w:cs="FrankRuehl"/>
            <w:color w:val="0000FF"/>
            <w:u w:val="single"/>
            <w:rtl/>
          </w:rPr>
          <w:t>144(ב)</w:t>
        </w:r>
      </w:hyperlink>
      <w:r>
        <w:rPr>
          <w:rFonts w:ascii="FrankRuehl" w:hAnsi="FrankRuehl" w:cs="FrankRuehl"/>
          <w:rtl/>
        </w:rPr>
        <w:t xml:space="preserve">, </w:t>
      </w:r>
      <w:hyperlink r:id="rId12" w:history="1">
        <w:r>
          <w:rPr>
            <w:rFonts w:ascii="FrankRuehl" w:hAnsi="FrankRuehl" w:cs="FrankRuehl"/>
            <w:color w:val="0000FF"/>
            <w:u w:val="single"/>
            <w:rtl/>
          </w:rPr>
          <w:t>40יג(ב)</w:t>
        </w:r>
      </w:hyperlink>
    </w:p>
    <w:p w14:paraId="0CAC92B8" w14:textId="77777777" w:rsidR="00CE7F0A" w:rsidRDefault="00CE7F0A">
      <w:pPr>
        <w:spacing w:after="120" w:line="240" w:lineRule="exact"/>
        <w:ind w:left="283" w:hanging="283"/>
        <w:jc w:val="both"/>
        <w:rPr>
          <w:rFonts w:ascii="FrankRuehl" w:hAnsi="FrankRuehl" w:cs="FrankRuehl"/>
          <w:rtl/>
        </w:rPr>
      </w:pPr>
      <w:hyperlink r:id="rId13" w:history="1">
        <w:r>
          <w:rPr>
            <w:rFonts w:ascii="FrankRuehl" w:hAnsi="FrankRuehl" w:cs="FrankRuehl"/>
            <w:color w:val="0000FF"/>
            <w:u w:val="single"/>
            <w:rtl/>
          </w:rPr>
          <w:t>חוק הכניסה לישראל, תשי"ב-1952</w:t>
        </w:r>
      </w:hyperlink>
      <w:r>
        <w:rPr>
          <w:rFonts w:ascii="FrankRuehl" w:hAnsi="FrankRuehl" w:cs="FrankRuehl"/>
          <w:rtl/>
        </w:rPr>
        <w:t xml:space="preserve">: סע'  </w:t>
      </w:r>
      <w:hyperlink r:id="rId14" w:history="1">
        <w:r>
          <w:rPr>
            <w:rFonts w:ascii="FrankRuehl" w:hAnsi="FrankRuehl" w:cs="FrankRuehl"/>
            <w:color w:val="0000FF"/>
            <w:u w:val="single"/>
            <w:rtl/>
          </w:rPr>
          <w:t>12א(ג)(1)</w:t>
        </w:r>
      </w:hyperlink>
    </w:p>
    <w:p w14:paraId="538560A7" w14:textId="77777777" w:rsidR="00CE7F0A" w:rsidRDefault="00CE7F0A">
      <w:pPr>
        <w:spacing w:after="120" w:line="240" w:lineRule="exact"/>
        <w:ind w:left="283" w:hanging="283"/>
        <w:jc w:val="both"/>
        <w:rPr>
          <w:rFonts w:ascii="FrankRuehl" w:hAnsi="FrankRuehl" w:cs="FrankRuehl"/>
          <w:rtl/>
        </w:rPr>
      </w:pPr>
    </w:p>
    <w:p w14:paraId="3ED9CF45" w14:textId="77777777" w:rsidR="00CE7F0A" w:rsidRDefault="00CE7F0A">
      <w:pPr>
        <w:pBdr>
          <w:top w:val="single" w:sz="4" w:space="1" w:color="auto"/>
          <w:bottom w:val="single" w:sz="4" w:space="1" w:color="auto"/>
        </w:pBdr>
        <w:spacing w:after="120" w:line="320" w:lineRule="exact"/>
        <w:contextualSpacing/>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44F1536C" w14:textId="77777777" w:rsidR="00CE7F0A" w:rsidRDefault="00CE7F0A">
      <w:pPr>
        <w:pBdr>
          <w:top w:val="single" w:sz="4" w:space="1" w:color="auto"/>
          <w:bottom w:val="single" w:sz="4" w:space="1" w:color="auto"/>
        </w:pBdr>
        <w:spacing w:after="120" w:line="320" w:lineRule="exact"/>
        <w:contextualSpacing/>
        <w:jc w:val="both"/>
        <w:rPr>
          <w:rFonts w:cs="FrankRuehl"/>
          <w:szCs w:val="26"/>
          <w:rtl/>
        </w:rPr>
      </w:pPr>
      <w:r>
        <w:rPr>
          <w:rFonts w:cs="FrankRuehl" w:hint="cs"/>
          <w:szCs w:val="26"/>
          <w:rtl/>
        </w:rPr>
        <w:t xml:space="preserve">* </w:t>
      </w:r>
      <w:r>
        <w:rPr>
          <w:rFonts w:cs="FrankRuehl"/>
          <w:szCs w:val="26"/>
          <w:rtl/>
        </w:rPr>
        <w:t>בית המשפט גזר על הנא</w:t>
      </w:r>
      <w:r>
        <w:rPr>
          <w:rFonts w:cs="FrankRuehl" w:hint="cs"/>
          <w:szCs w:val="26"/>
          <w:rtl/>
        </w:rPr>
        <w:t>ש</w:t>
      </w:r>
      <w:r>
        <w:rPr>
          <w:rFonts w:cs="FrankRuehl"/>
          <w:szCs w:val="26"/>
          <w:rtl/>
        </w:rPr>
        <w:t xml:space="preserve">ם שהורשע, על פי הודאתו, במסגרת שלושה אירועים בעבירות נשק והסעה שלא כדין, עונש של 26 חודשי מאסר בפועל ומאסר על תנאי. עניינו של גזר הדין במדיניות הענישה הראויה בגין עבירות נשק. </w:t>
      </w:r>
    </w:p>
    <w:p w14:paraId="791A2967" w14:textId="77777777" w:rsidR="00CE7F0A" w:rsidRDefault="00CE7F0A">
      <w:pPr>
        <w:pBdr>
          <w:top w:val="single" w:sz="4" w:space="1" w:color="auto"/>
          <w:bottom w:val="single" w:sz="4" w:space="1" w:color="auto"/>
        </w:pBdr>
        <w:spacing w:after="120" w:line="320" w:lineRule="exact"/>
        <w:contextualSpacing/>
        <w:jc w:val="both"/>
        <w:rPr>
          <w:rFonts w:cs="FrankRuehl" w:hint="cs"/>
          <w:szCs w:val="26"/>
          <w:rtl/>
        </w:rPr>
      </w:pPr>
      <w:r>
        <w:rPr>
          <w:rFonts w:cs="FrankRuehl"/>
          <w:szCs w:val="26"/>
          <w:rtl/>
        </w:rPr>
        <w:t>* עונשין ‏– ‏ענישה ‏– ‏מדיניות ענישה: עבירות נשק</w:t>
      </w:r>
    </w:p>
    <w:p w14:paraId="7BB34615" w14:textId="77777777" w:rsidR="00CE7F0A" w:rsidRDefault="00CE7F0A">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27948299" w14:textId="77777777" w:rsidR="00CE7F0A" w:rsidRDefault="00CE7F0A">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 xml:space="preserve">במסגרת הסדר טיעון שלא כלל הסכמה לעניין העונש, הורשע הנאשם בביצוע עבירות בנשק,  ובהסעה שלא כדין בניגוד לחוק הכניסה לארץ ישראל. בנוסף צירף הנאשם תיק נוסף של בית משפט מחוזי נצרת שעניינו עבירה של החזקת נשק. הנאשם הודה והורשע גם במיוחס לו בתיק הנוסף. </w:t>
      </w:r>
    </w:p>
    <w:p w14:paraId="076301E0" w14:textId="77777777" w:rsidR="00CE7F0A" w:rsidRDefault="00CE7F0A">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7C4B9D20" w14:textId="77777777" w:rsidR="00CE7F0A" w:rsidRDefault="00CE7F0A">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בית המשפט פסק כלהלן:</w:t>
      </w:r>
    </w:p>
    <w:p w14:paraId="7BD7E203" w14:textId="77777777" w:rsidR="00CE7F0A" w:rsidRDefault="00CE7F0A">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יש לקבל את עמדת ב"כ המאשימה כי מדובר בשלושה אירועים נפרדים: אירוע אחד בו החזיק הנאשם ברובה צייד בלא היתר כדין, הוביל פעמיים ברכבו את הנשק ביחד עם תושב זר השוהה בישראל שלא כדין, שהסיע הנאשם; אירוע שני בו החזיק הנאשם בסמוך לביתו את כדורי רובה; אירוע השלישי בו החזיק הנאשם בביתו תת מקלע מאולתר. אין קשר כל שהוא בין האירועים וכל אחד מהם עומד בפני עצמו</w:t>
      </w:r>
    </w:p>
    <w:p w14:paraId="24068401" w14:textId="77777777" w:rsidR="00CE7F0A" w:rsidRDefault="00CE7F0A">
      <w:pPr>
        <w:pBdr>
          <w:top w:val="single" w:sz="4" w:space="1" w:color="auto"/>
          <w:bottom w:val="single" w:sz="4" w:space="1" w:color="auto"/>
        </w:pBdr>
        <w:spacing w:after="120" w:line="320" w:lineRule="exact"/>
        <w:contextualSpacing/>
        <w:jc w:val="both"/>
        <w:rPr>
          <w:rFonts w:cs="FrankRuehl"/>
          <w:szCs w:val="26"/>
        </w:rPr>
      </w:pPr>
      <w:r>
        <w:rPr>
          <w:rFonts w:cs="FrankRuehl"/>
          <w:szCs w:val="26"/>
          <w:rtl/>
        </w:rPr>
        <w:t xml:space="preserve">במקרה זה נפגעו בצורה בינונית ערכים מוגנים כמו פגיעה בריבונותה של מדינת ישראל וסיכון שלום הציבור ובטחונו. </w:t>
      </w:r>
    </w:p>
    <w:p w14:paraId="2902D808" w14:textId="77777777" w:rsidR="00CE7F0A" w:rsidRDefault="00CE7F0A">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אשר למדיניות הענישה הנהוגה, מינעד הענישה בעבירות בנשק רחב, בין השאר בהתחשב בסוג העבירה (החזקה, נשיאה, סחר), סוג הנשק וכמותו. במקרה זה מדובר בעבירת החזקה והובלה של נשק; בנסיבות יש לקבוע, כי העונש ההולם במקרה זה הוא מאסר במתחם שבין 18 לבין 42 חודשי מאסר בפועל.</w:t>
      </w:r>
    </w:p>
    <w:p w14:paraId="6D267130" w14:textId="77777777" w:rsidR="00CE7F0A" w:rsidRDefault="00CE7F0A">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lastRenderedPageBreak/>
        <w:t>באשר לאירוע השני -  אין להקל ראש גם בהחזקת תחמושת שלא כדין. מאחר ועבירה זו אינה עומדת בפני עצמה והיא קלה בהתחשב בכל העבירות האחרות יש לקבוע, כי העונש ההולם במקרה זה הוא ממאסר על תנאי ועד מאסר בפועל שיכול להיות בעבודות שירות.</w:t>
      </w:r>
    </w:p>
    <w:p w14:paraId="76D126CF" w14:textId="77777777" w:rsidR="00CE7F0A" w:rsidRDefault="00CE7F0A">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באשר לאירוע השלישי, בהתחשב בערכים החברתיים שנפגעו מביצוע העבירה, במידת הפגיעה בהם, במדיניות הענישה הנהוגה ובנסיבות הקשורות בביצוע העבירה יש לקבוע, כי העונש ההולם במקרה זה הוא מאסר במתחם שבין 8 לבין 24 חודשי מאסר בפועל.</w:t>
      </w:r>
    </w:p>
    <w:p w14:paraId="50CAD473" w14:textId="77777777" w:rsidR="00CE7F0A" w:rsidRDefault="00CE7F0A">
      <w:pPr>
        <w:spacing w:line="360" w:lineRule="auto"/>
        <w:rPr>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47DD3E16" w14:textId="77777777">
        <w:trPr>
          <w:trHeight w:val="355"/>
          <w:jc w:val="center"/>
        </w:trPr>
        <w:tc>
          <w:tcPr>
            <w:tcW w:w="8820" w:type="dxa"/>
            <w:tcBorders>
              <w:top w:val="nil"/>
              <w:left w:val="nil"/>
              <w:bottom w:val="nil"/>
              <w:right w:val="nil"/>
            </w:tcBorders>
            <w:shd w:val="clear" w:color="auto" w:fill="auto"/>
          </w:tcPr>
          <w:p w14:paraId="1045265B" w14:textId="77777777" w:rsidR="00CE7F0A" w:rsidRDefault="00CE7F0A">
            <w:pPr>
              <w:spacing w:line="360" w:lineRule="auto"/>
              <w:jc w:val="center"/>
              <w:rPr>
                <w:rFonts w:ascii="Arial" w:hAnsi="Arial" w:cs="FrankRuehl"/>
                <w:bCs/>
                <w:sz w:val="32"/>
                <w:szCs w:val="32"/>
                <w:u w:val="single"/>
                <w:rtl/>
              </w:rPr>
            </w:pPr>
            <w:bookmarkStart w:id="6" w:name="PsakDin" w:colFirst="0" w:colLast="0"/>
            <w:r>
              <w:rPr>
                <w:rFonts w:ascii="Arial" w:hAnsi="Arial" w:cs="FrankRuehl"/>
                <w:b/>
                <w:bCs/>
                <w:sz w:val="32"/>
                <w:szCs w:val="32"/>
                <w:u w:val="single"/>
                <w:rtl/>
              </w:rPr>
              <w:t>גזר דין</w:t>
            </w:r>
          </w:p>
        </w:tc>
      </w:tr>
    </w:tbl>
    <w:bookmarkEnd w:id="6"/>
    <w:p w14:paraId="0DA3A158" w14:textId="77777777" w:rsidR="00CE7F0A" w:rsidRDefault="00CE7F0A">
      <w:pPr>
        <w:spacing w:after="120" w:line="360" w:lineRule="auto"/>
        <w:ind w:left="360" w:firstLine="360"/>
        <w:contextualSpacing/>
        <w:jc w:val="both"/>
        <w:rPr>
          <w:rFonts w:ascii="Arial" w:hAnsi="Arial" w:cs="Miriam"/>
        </w:rPr>
      </w:pPr>
      <w:r>
        <w:rPr>
          <w:rFonts w:ascii="Arial" w:hAnsi="Arial" w:cs="Miriam"/>
          <w:rtl/>
        </w:rPr>
        <w:t>מבוא</w:t>
      </w:r>
    </w:p>
    <w:p w14:paraId="59716E28" w14:textId="77777777" w:rsidR="00CE7F0A" w:rsidRDefault="00CE7F0A">
      <w:pPr>
        <w:numPr>
          <w:ilvl w:val="0"/>
          <w:numId w:val="1"/>
        </w:numPr>
        <w:spacing w:after="120" w:line="360" w:lineRule="auto"/>
        <w:contextualSpacing/>
        <w:jc w:val="both"/>
        <w:rPr>
          <w:rFonts w:ascii="Arial" w:hAnsi="Arial" w:cs="FrankRuehl"/>
        </w:rPr>
      </w:pPr>
      <w:r>
        <w:rPr>
          <w:rFonts w:ascii="Arial" w:hAnsi="Arial" w:cs="FrankRuehl"/>
          <w:szCs w:val="28"/>
          <w:rtl/>
        </w:rPr>
        <w:t xml:space="preserve">במסגרת הסדר טיעון שלא כלל הסכמה לעניין העונש, הורשע הנאשם בביצוע עבירות בנשק,  עבירות  פי </w:t>
      </w:r>
      <w:hyperlink r:id="rId15" w:history="1">
        <w:r>
          <w:rPr>
            <w:rFonts w:ascii="Arial" w:hAnsi="Arial" w:cs="FrankRuehl"/>
            <w:color w:val="0000FF"/>
            <w:szCs w:val="28"/>
            <w:u w:val="single"/>
            <w:rtl/>
          </w:rPr>
          <w:t>סעיפים 144(א)</w:t>
        </w:r>
      </w:hyperlink>
      <w:r>
        <w:rPr>
          <w:rFonts w:ascii="Arial" w:hAnsi="Arial" w:cs="FrankRuehl"/>
          <w:szCs w:val="28"/>
          <w:rtl/>
        </w:rPr>
        <w:t xml:space="preserve"> ריש</w:t>
      </w:r>
      <w:r>
        <w:rPr>
          <w:rFonts w:ascii="Arial" w:hAnsi="Arial" w:cs="FrankRuehl" w:hint="cs"/>
          <w:szCs w:val="28"/>
          <w:rtl/>
        </w:rPr>
        <w:t xml:space="preserve">א </w:t>
      </w:r>
      <w:r>
        <w:rPr>
          <w:rFonts w:ascii="Arial" w:hAnsi="Arial" w:cs="FrankRuehl"/>
          <w:szCs w:val="28"/>
          <w:rtl/>
        </w:rPr>
        <w:t xml:space="preserve">+סיפא </w:t>
      </w:r>
      <w:hyperlink r:id="rId16" w:history="1">
        <w:r>
          <w:rPr>
            <w:rFonts w:ascii="Arial" w:hAnsi="Arial" w:cs="FrankRuehl"/>
            <w:color w:val="0000FF"/>
            <w:szCs w:val="28"/>
            <w:u w:val="single"/>
            <w:rtl/>
          </w:rPr>
          <w:t>וסעיף 144(ב)</w:t>
        </w:r>
      </w:hyperlink>
      <w:r>
        <w:rPr>
          <w:rFonts w:ascii="Arial" w:hAnsi="Arial" w:cs="FrankRuehl"/>
          <w:szCs w:val="28"/>
          <w:rtl/>
        </w:rPr>
        <w:t xml:space="preserve"> רישא ל</w:t>
      </w:r>
      <w:hyperlink r:id="rId17" w:history="1">
        <w:r>
          <w:rPr>
            <w:rFonts w:ascii="Arial" w:hAnsi="Arial" w:cs="Miriam"/>
            <w:color w:val="0000FF"/>
            <w:u w:val="single"/>
            <w:rtl/>
          </w:rPr>
          <w:t>חוק העונשין</w:t>
        </w:r>
      </w:hyperlink>
      <w:r>
        <w:rPr>
          <w:rFonts w:ascii="Arial" w:hAnsi="Arial" w:cs="Miriam"/>
          <w:rtl/>
        </w:rPr>
        <w:t>-התשל"ז-1977</w:t>
      </w:r>
      <w:r>
        <w:rPr>
          <w:rFonts w:ascii="Arial" w:hAnsi="Arial" w:cs="FrankRuehl"/>
          <w:rtl/>
        </w:rPr>
        <w:t xml:space="preserve"> </w:t>
      </w:r>
      <w:r>
        <w:rPr>
          <w:rFonts w:ascii="Arial" w:hAnsi="Arial" w:cs="FrankRuehl"/>
          <w:sz w:val="28"/>
          <w:szCs w:val="28"/>
          <w:rtl/>
        </w:rPr>
        <w:t xml:space="preserve">(להלן-החוק) ובהסעה שלא כדין –עבירה לפי </w:t>
      </w:r>
      <w:hyperlink r:id="rId18" w:history="1">
        <w:r>
          <w:rPr>
            <w:rFonts w:ascii="Arial" w:hAnsi="Arial" w:cs="FrankRuehl"/>
            <w:color w:val="0000FF"/>
            <w:sz w:val="28"/>
            <w:szCs w:val="28"/>
            <w:u w:val="single"/>
            <w:rtl/>
          </w:rPr>
          <w:t>סעיף 12א(ג)(1)</w:t>
        </w:r>
      </w:hyperlink>
      <w:r>
        <w:rPr>
          <w:rFonts w:ascii="Arial" w:hAnsi="Arial" w:cs="FrankRuehl"/>
          <w:sz w:val="28"/>
          <w:szCs w:val="28"/>
          <w:rtl/>
        </w:rPr>
        <w:t xml:space="preserve"> </w:t>
      </w:r>
      <w:r>
        <w:rPr>
          <w:rFonts w:ascii="Arial" w:hAnsi="Arial" w:cs="FrankRuehl"/>
          <w:rtl/>
        </w:rPr>
        <w:t>ל</w:t>
      </w:r>
      <w:r>
        <w:rPr>
          <w:rFonts w:ascii="Arial" w:hAnsi="Arial" w:cs="Miriam"/>
          <w:rtl/>
        </w:rPr>
        <w:t>חוק הכניסה לארץ ישראל, תש"יב-1952</w:t>
      </w:r>
      <w:r>
        <w:rPr>
          <w:rFonts w:ascii="Arial" w:hAnsi="Arial" w:cs="FrankRuehl"/>
          <w:rtl/>
        </w:rPr>
        <w:t xml:space="preserve">. </w:t>
      </w:r>
    </w:p>
    <w:p w14:paraId="6F9BCF6B"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בנוסף צירף הנאשם תיק נוסף של בית משפט מחוזי נצרת – </w:t>
      </w:r>
      <w:hyperlink r:id="rId19" w:history="1">
        <w:r>
          <w:rPr>
            <w:rFonts w:ascii="Arial" w:hAnsi="Arial" w:cs="FrankRuehl"/>
            <w:color w:val="0000FF"/>
            <w:szCs w:val="28"/>
            <w:u w:val="single"/>
            <w:rtl/>
          </w:rPr>
          <w:t>ת"פ 7622-</w:t>
        </w:r>
        <w:r>
          <w:rPr>
            <w:rFonts w:ascii="Arial" w:hAnsi="Arial" w:cs="FrankRuehl"/>
            <w:color w:val="0000FF"/>
            <w:szCs w:val="28"/>
            <w:u w:val="single"/>
            <w:rtl/>
          </w:rPr>
          <w:t>0</w:t>
        </w:r>
        <w:r>
          <w:rPr>
            <w:rFonts w:ascii="Arial" w:hAnsi="Arial" w:cs="FrankRuehl"/>
            <w:color w:val="0000FF"/>
            <w:szCs w:val="28"/>
            <w:u w:val="single"/>
            <w:rtl/>
          </w:rPr>
          <w:t>1-18</w:t>
        </w:r>
      </w:hyperlink>
      <w:r>
        <w:rPr>
          <w:rFonts w:ascii="Arial" w:hAnsi="Arial" w:cs="FrankRuehl"/>
          <w:szCs w:val="28"/>
          <w:rtl/>
        </w:rPr>
        <w:t xml:space="preserve"> </w:t>
      </w:r>
      <w:r>
        <w:rPr>
          <w:sz w:val="22"/>
          <w:rtl/>
        </w:rPr>
        <w:t xml:space="preserve">[פורסם בנבו] </w:t>
      </w:r>
      <w:r>
        <w:rPr>
          <w:rFonts w:ascii="Arial" w:hAnsi="Arial" w:cs="FrankRuehl"/>
          <w:szCs w:val="28"/>
          <w:rtl/>
        </w:rPr>
        <w:t xml:space="preserve">(להלן – התיק שצורף) שעניינו עבירה של החזקת נשק- עבירה לפי </w:t>
      </w:r>
      <w:hyperlink r:id="rId20" w:history="1">
        <w:r>
          <w:rPr>
            <w:rFonts w:ascii="Arial" w:hAnsi="Arial" w:cs="FrankRuehl"/>
            <w:color w:val="0000FF"/>
            <w:szCs w:val="28"/>
            <w:u w:val="single"/>
            <w:rtl/>
          </w:rPr>
          <w:t>סעיף 144(א)</w:t>
        </w:r>
      </w:hyperlink>
      <w:r>
        <w:rPr>
          <w:rFonts w:ascii="Arial" w:hAnsi="Arial" w:cs="FrankRuehl"/>
          <w:szCs w:val="28"/>
          <w:rtl/>
        </w:rPr>
        <w:t xml:space="preserve"> רישא לחוק. הנאשם הודה והורשע גם במיוחס לו בתיק הנוסף. </w:t>
      </w:r>
    </w:p>
    <w:p w14:paraId="4771225F" w14:textId="77777777" w:rsidR="00CE7F0A" w:rsidRDefault="00CE7F0A">
      <w:pPr>
        <w:numPr>
          <w:ilvl w:val="0"/>
          <w:numId w:val="1"/>
        </w:numPr>
        <w:autoSpaceDE w:val="0"/>
        <w:autoSpaceDN w:val="0"/>
        <w:adjustRightInd w:val="0"/>
        <w:spacing w:before="120" w:after="120" w:line="360" w:lineRule="auto"/>
        <w:contextualSpacing/>
        <w:jc w:val="both"/>
        <w:rPr>
          <w:rFonts w:ascii="Arial" w:hAnsi="Arial" w:cs="FrankRuehl"/>
          <w:szCs w:val="28"/>
          <w:rtl/>
        </w:rPr>
      </w:pPr>
      <w:r>
        <w:rPr>
          <w:rFonts w:ascii="Arial" w:hAnsi="Arial" w:cs="FrankRuehl"/>
          <w:szCs w:val="28"/>
          <w:rtl/>
        </w:rPr>
        <w:t>על פי עובדות כתב האישום המתוקן, בחודש דצמבר 2016, הגיע מוחמד שהינו תושב הרשות הפלסטינאית, חברו של הנאשם ומכונה על ידו "אבו סן"  (להלן – מוחמד), לביתו של הנאשם  כשהוא נושא רובה צייד. מדובר בכלי שסוגל לירות כדור ולהמית אדם  (להלן – הנשק). במהלך המפגש, החזיק הנאשם בנשק לזמן קצר והחזירו למוחמד.</w:t>
      </w:r>
    </w:p>
    <w:p w14:paraId="5A4082EF" w14:textId="77777777" w:rsidR="00CE7F0A" w:rsidRDefault="00CE7F0A">
      <w:pPr>
        <w:autoSpaceDE w:val="0"/>
        <w:autoSpaceDN w:val="0"/>
        <w:adjustRightInd w:val="0"/>
        <w:spacing w:before="120" w:after="120" w:line="360" w:lineRule="auto"/>
        <w:ind w:left="720"/>
        <w:jc w:val="both"/>
        <w:rPr>
          <w:rFonts w:ascii="Arial" w:hAnsi="Arial" w:cs="FrankRuehl"/>
          <w:szCs w:val="28"/>
          <w:rtl/>
        </w:rPr>
      </w:pPr>
      <w:r>
        <w:rPr>
          <w:rFonts w:ascii="Arial" w:hAnsi="Arial" w:cs="FrankRuehl"/>
          <w:szCs w:val="28"/>
          <w:rtl/>
        </w:rPr>
        <w:t>בהמשך, הסיע</w:t>
      </w:r>
      <w:r>
        <w:rPr>
          <w:rFonts w:ascii="Arial" w:hAnsi="Arial" w:cs="FrankRuehl"/>
          <w:szCs w:val="28"/>
        </w:rPr>
        <w:t xml:space="preserve"> </w:t>
      </w:r>
      <w:r>
        <w:rPr>
          <w:rFonts w:ascii="Arial" w:hAnsi="Arial" w:cs="FrankRuehl"/>
          <w:szCs w:val="28"/>
          <w:rtl/>
        </w:rPr>
        <w:t>הנאשם</w:t>
      </w:r>
      <w:r>
        <w:rPr>
          <w:rFonts w:ascii="Arial" w:hAnsi="Arial" w:cs="FrankRuehl"/>
          <w:szCs w:val="28"/>
        </w:rPr>
        <w:t xml:space="preserve"> </w:t>
      </w:r>
      <w:r>
        <w:rPr>
          <w:rFonts w:ascii="Arial" w:hAnsi="Arial" w:cs="FrankRuehl"/>
          <w:szCs w:val="28"/>
          <w:rtl/>
        </w:rPr>
        <w:t>את</w:t>
      </w:r>
      <w:r>
        <w:rPr>
          <w:rFonts w:ascii="Arial" w:hAnsi="Arial" w:cs="FrankRuehl"/>
          <w:szCs w:val="28"/>
        </w:rPr>
        <w:t xml:space="preserve"> </w:t>
      </w:r>
      <w:r>
        <w:rPr>
          <w:rFonts w:ascii="Arial" w:hAnsi="Arial" w:cs="FrankRuehl"/>
          <w:szCs w:val="28"/>
          <w:rtl/>
        </w:rPr>
        <w:t>מוחמד לכפר ברטעה הנמצא</w:t>
      </w:r>
      <w:r>
        <w:rPr>
          <w:rFonts w:ascii="Arial" w:hAnsi="Arial" w:cs="FrankRuehl"/>
          <w:szCs w:val="28"/>
        </w:rPr>
        <w:t xml:space="preserve"> </w:t>
      </w:r>
      <w:r>
        <w:rPr>
          <w:rFonts w:ascii="Arial" w:hAnsi="Arial" w:cs="FrankRuehl"/>
          <w:szCs w:val="28"/>
          <w:rtl/>
        </w:rPr>
        <w:t>בשטחי</w:t>
      </w:r>
      <w:r>
        <w:rPr>
          <w:rFonts w:ascii="Arial" w:hAnsi="Arial" w:cs="FrankRuehl"/>
          <w:szCs w:val="28"/>
        </w:rPr>
        <w:t xml:space="preserve"> </w:t>
      </w:r>
      <w:r>
        <w:rPr>
          <w:rFonts w:ascii="Arial" w:hAnsi="Arial" w:cs="FrankRuehl"/>
          <w:szCs w:val="28"/>
          <w:rtl/>
        </w:rPr>
        <w:t>הרשות</w:t>
      </w:r>
      <w:r>
        <w:rPr>
          <w:rFonts w:ascii="Arial" w:hAnsi="Arial" w:cs="FrankRuehl"/>
          <w:szCs w:val="28"/>
        </w:rPr>
        <w:t xml:space="preserve"> </w:t>
      </w:r>
      <w:r>
        <w:rPr>
          <w:rFonts w:ascii="Arial" w:hAnsi="Arial" w:cs="FrankRuehl"/>
          <w:szCs w:val="28"/>
          <w:rtl/>
        </w:rPr>
        <w:t>הפלסטינאית,</w:t>
      </w:r>
      <w:r>
        <w:rPr>
          <w:rFonts w:ascii="Arial" w:hAnsi="Arial" w:cs="FrankRuehl"/>
          <w:szCs w:val="28"/>
        </w:rPr>
        <w:t xml:space="preserve"> </w:t>
      </w:r>
      <w:r>
        <w:rPr>
          <w:rFonts w:ascii="Arial" w:hAnsi="Arial" w:cs="FrankRuehl"/>
          <w:szCs w:val="28"/>
          <w:rtl/>
        </w:rPr>
        <w:t>כשהוא</w:t>
      </w:r>
      <w:r>
        <w:rPr>
          <w:rFonts w:ascii="Arial" w:hAnsi="Arial" w:cs="FrankRuehl"/>
          <w:szCs w:val="28"/>
        </w:rPr>
        <w:t xml:space="preserve"> </w:t>
      </w:r>
      <w:r>
        <w:rPr>
          <w:rFonts w:ascii="Arial" w:hAnsi="Arial" w:cs="FrankRuehl"/>
          <w:szCs w:val="28"/>
          <w:rtl/>
        </w:rPr>
        <w:t>מוביל</w:t>
      </w:r>
      <w:r>
        <w:rPr>
          <w:rFonts w:ascii="Arial" w:hAnsi="Arial" w:cs="FrankRuehl"/>
          <w:szCs w:val="28"/>
        </w:rPr>
        <w:t xml:space="preserve"> </w:t>
      </w:r>
      <w:r>
        <w:rPr>
          <w:rFonts w:ascii="Arial" w:hAnsi="Arial" w:cs="FrankRuehl"/>
          <w:szCs w:val="28"/>
          <w:rtl/>
        </w:rPr>
        <w:t>ברכב</w:t>
      </w:r>
      <w:r>
        <w:rPr>
          <w:rFonts w:ascii="Arial" w:hAnsi="Arial" w:cs="FrankRuehl"/>
          <w:szCs w:val="28"/>
        </w:rPr>
        <w:t xml:space="preserve"> </w:t>
      </w:r>
      <w:r>
        <w:rPr>
          <w:rFonts w:ascii="Arial" w:hAnsi="Arial" w:cs="FrankRuehl"/>
          <w:szCs w:val="28"/>
          <w:rtl/>
        </w:rPr>
        <w:t>את</w:t>
      </w:r>
      <w:r>
        <w:rPr>
          <w:rFonts w:ascii="Arial" w:hAnsi="Arial" w:cs="FrankRuehl"/>
          <w:szCs w:val="28"/>
        </w:rPr>
        <w:t xml:space="preserve"> </w:t>
      </w:r>
      <w:r>
        <w:rPr>
          <w:rFonts w:ascii="Arial" w:hAnsi="Arial" w:cs="FrankRuehl"/>
          <w:szCs w:val="28"/>
          <w:rtl/>
        </w:rPr>
        <w:t>הנשק</w:t>
      </w:r>
      <w:r>
        <w:rPr>
          <w:rFonts w:ascii="Arial" w:hAnsi="Arial" w:cs="FrankRuehl"/>
          <w:szCs w:val="28"/>
        </w:rPr>
        <w:t xml:space="preserve"> </w:t>
      </w:r>
      <w:r>
        <w:rPr>
          <w:rFonts w:ascii="Arial" w:hAnsi="Arial" w:cs="FrankRuehl"/>
          <w:szCs w:val="28"/>
          <w:rtl/>
        </w:rPr>
        <w:t>בלא</w:t>
      </w:r>
      <w:r>
        <w:rPr>
          <w:rFonts w:ascii="Arial" w:hAnsi="Arial" w:cs="FrankRuehl"/>
          <w:szCs w:val="28"/>
        </w:rPr>
        <w:t xml:space="preserve"> </w:t>
      </w:r>
      <w:r>
        <w:rPr>
          <w:rFonts w:ascii="Arial" w:hAnsi="Arial" w:cs="FrankRuehl"/>
          <w:szCs w:val="28"/>
          <w:rtl/>
        </w:rPr>
        <w:t>רשות על פי הדין.</w:t>
      </w:r>
    </w:p>
    <w:p w14:paraId="77EBDE4B" w14:textId="77777777" w:rsidR="00CE7F0A" w:rsidRDefault="00CE7F0A">
      <w:pPr>
        <w:autoSpaceDE w:val="0"/>
        <w:autoSpaceDN w:val="0"/>
        <w:adjustRightInd w:val="0"/>
        <w:spacing w:before="120" w:after="120" w:line="360" w:lineRule="auto"/>
        <w:ind w:left="720"/>
        <w:jc w:val="both"/>
        <w:rPr>
          <w:rFonts w:ascii="Arial" w:hAnsi="Arial" w:cs="FrankRuehl"/>
          <w:szCs w:val="28"/>
          <w:rtl/>
        </w:rPr>
      </w:pPr>
      <w:r>
        <w:rPr>
          <w:rFonts w:ascii="Arial" w:hAnsi="Arial" w:cs="FrankRuehl"/>
          <w:szCs w:val="28"/>
        </w:rPr>
        <w:t xml:space="preserve"> </w:t>
      </w:r>
      <w:r>
        <w:rPr>
          <w:rFonts w:ascii="Arial" w:hAnsi="Arial" w:cs="FrankRuehl"/>
          <w:szCs w:val="28"/>
          <w:rtl/>
        </w:rPr>
        <w:t>מספר</w:t>
      </w:r>
      <w:r>
        <w:rPr>
          <w:rFonts w:ascii="Arial" w:hAnsi="Arial" w:cs="FrankRuehl"/>
          <w:szCs w:val="28"/>
        </w:rPr>
        <w:t xml:space="preserve"> </w:t>
      </w:r>
      <w:r>
        <w:rPr>
          <w:rFonts w:ascii="Arial" w:hAnsi="Arial" w:cs="FrankRuehl"/>
          <w:szCs w:val="28"/>
          <w:rtl/>
        </w:rPr>
        <w:t>ימים</w:t>
      </w:r>
      <w:r>
        <w:rPr>
          <w:rFonts w:ascii="Arial" w:hAnsi="Arial" w:cs="FrankRuehl"/>
          <w:szCs w:val="28"/>
        </w:rPr>
        <w:t xml:space="preserve"> </w:t>
      </w:r>
      <w:r>
        <w:rPr>
          <w:rFonts w:ascii="Arial" w:hAnsi="Arial" w:cs="FrankRuehl"/>
          <w:szCs w:val="28"/>
          <w:rtl/>
        </w:rPr>
        <w:t>לאחר</w:t>
      </w:r>
      <w:r>
        <w:rPr>
          <w:rFonts w:ascii="Arial" w:hAnsi="Arial" w:cs="FrankRuehl"/>
          <w:szCs w:val="28"/>
        </w:rPr>
        <w:t xml:space="preserve"> </w:t>
      </w:r>
      <w:r>
        <w:rPr>
          <w:rFonts w:ascii="Arial" w:hAnsi="Arial" w:cs="FrankRuehl"/>
          <w:szCs w:val="28"/>
          <w:rtl/>
        </w:rPr>
        <w:t>המפגש</w:t>
      </w:r>
      <w:r>
        <w:rPr>
          <w:rFonts w:ascii="Arial" w:hAnsi="Arial" w:cs="FrankRuehl"/>
          <w:szCs w:val="28"/>
        </w:rPr>
        <w:t xml:space="preserve"> </w:t>
      </w:r>
      <w:r>
        <w:rPr>
          <w:rFonts w:ascii="Arial" w:hAnsi="Arial" w:cs="FrankRuehl"/>
          <w:szCs w:val="28"/>
          <w:rtl/>
        </w:rPr>
        <w:t>הגיע מוחמד</w:t>
      </w:r>
      <w:r>
        <w:rPr>
          <w:rFonts w:ascii="Arial" w:hAnsi="Arial" w:cs="FrankRuehl"/>
          <w:szCs w:val="28"/>
        </w:rPr>
        <w:t xml:space="preserve"> </w:t>
      </w:r>
      <w:r>
        <w:rPr>
          <w:rFonts w:ascii="Arial" w:hAnsi="Arial" w:cs="FrankRuehl"/>
          <w:szCs w:val="28"/>
          <w:rtl/>
        </w:rPr>
        <w:t>לביתו</w:t>
      </w:r>
      <w:r>
        <w:rPr>
          <w:rFonts w:ascii="Arial" w:hAnsi="Arial" w:cs="FrankRuehl"/>
          <w:szCs w:val="28"/>
        </w:rPr>
        <w:t xml:space="preserve"> </w:t>
      </w:r>
      <w:r>
        <w:rPr>
          <w:rFonts w:ascii="Arial" w:hAnsi="Arial" w:cs="FrankRuehl"/>
          <w:szCs w:val="28"/>
          <w:rtl/>
        </w:rPr>
        <w:t>של</w:t>
      </w:r>
      <w:r>
        <w:rPr>
          <w:rFonts w:ascii="Arial" w:hAnsi="Arial" w:cs="FrankRuehl"/>
          <w:szCs w:val="28"/>
        </w:rPr>
        <w:t xml:space="preserve"> </w:t>
      </w:r>
      <w:r>
        <w:rPr>
          <w:rFonts w:ascii="Arial" w:hAnsi="Arial" w:cs="FrankRuehl"/>
          <w:szCs w:val="28"/>
          <w:rtl/>
        </w:rPr>
        <w:t xml:space="preserve">הנאשם. בשעה 22:00 לערך, </w:t>
      </w:r>
      <w:r>
        <w:rPr>
          <w:rFonts w:ascii="Arial" w:hAnsi="Arial" w:cs="FrankRuehl"/>
          <w:szCs w:val="28"/>
        </w:rPr>
        <w:t xml:space="preserve"> </w:t>
      </w:r>
      <w:r>
        <w:rPr>
          <w:rFonts w:ascii="Arial" w:hAnsi="Arial" w:cs="FrankRuehl"/>
          <w:szCs w:val="28"/>
          <w:rtl/>
        </w:rPr>
        <w:t>הסיע</w:t>
      </w:r>
      <w:r>
        <w:rPr>
          <w:rFonts w:ascii="Arial" w:hAnsi="Arial" w:cs="FrankRuehl"/>
          <w:szCs w:val="28"/>
        </w:rPr>
        <w:t xml:space="preserve"> </w:t>
      </w:r>
      <w:r>
        <w:rPr>
          <w:rFonts w:ascii="Arial" w:hAnsi="Arial" w:cs="FrankRuehl"/>
          <w:szCs w:val="28"/>
          <w:rtl/>
        </w:rPr>
        <w:t>הנאשם</w:t>
      </w:r>
      <w:r>
        <w:rPr>
          <w:rFonts w:ascii="Arial" w:hAnsi="Arial" w:cs="FrankRuehl"/>
          <w:szCs w:val="28"/>
        </w:rPr>
        <w:t xml:space="preserve"> </w:t>
      </w:r>
      <w:r>
        <w:rPr>
          <w:rFonts w:ascii="Arial" w:hAnsi="Arial" w:cs="FrankRuehl"/>
          <w:szCs w:val="28"/>
          <w:rtl/>
        </w:rPr>
        <w:t>את</w:t>
      </w:r>
      <w:r>
        <w:rPr>
          <w:rFonts w:ascii="Arial" w:hAnsi="Arial" w:cs="FrankRuehl"/>
          <w:szCs w:val="28"/>
        </w:rPr>
        <w:t xml:space="preserve"> </w:t>
      </w:r>
      <w:r>
        <w:rPr>
          <w:rFonts w:ascii="Arial" w:hAnsi="Arial" w:cs="FrankRuehl"/>
          <w:szCs w:val="28"/>
          <w:rtl/>
        </w:rPr>
        <w:t>מוחמד</w:t>
      </w:r>
      <w:r>
        <w:rPr>
          <w:rFonts w:ascii="Arial" w:hAnsi="Arial" w:cs="FrankRuehl"/>
          <w:szCs w:val="28"/>
        </w:rPr>
        <w:t xml:space="preserve"> </w:t>
      </w:r>
      <w:r>
        <w:rPr>
          <w:rFonts w:ascii="Arial" w:hAnsi="Arial" w:cs="FrankRuehl"/>
          <w:szCs w:val="28"/>
          <w:rtl/>
        </w:rPr>
        <w:t>לכפר</w:t>
      </w:r>
      <w:r>
        <w:rPr>
          <w:rFonts w:ascii="Arial" w:hAnsi="Arial" w:cs="FrankRuehl"/>
          <w:szCs w:val="28"/>
        </w:rPr>
        <w:t xml:space="preserve"> </w:t>
      </w:r>
      <w:r>
        <w:rPr>
          <w:rFonts w:ascii="Arial" w:hAnsi="Arial" w:cs="FrankRuehl"/>
          <w:szCs w:val="28"/>
          <w:rtl/>
        </w:rPr>
        <w:t>עכברה תמורת</w:t>
      </w:r>
      <w:r>
        <w:rPr>
          <w:rFonts w:ascii="Arial" w:hAnsi="Arial" w:cs="FrankRuehl"/>
          <w:szCs w:val="28"/>
        </w:rPr>
        <w:t xml:space="preserve"> </w:t>
      </w:r>
      <w:r>
        <w:rPr>
          <w:rFonts w:ascii="Arial" w:hAnsi="Arial" w:cs="FrankRuehl"/>
          <w:szCs w:val="28"/>
          <w:rtl/>
        </w:rPr>
        <w:t>סכום</w:t>
      </w:r>
      <w:r>
        <w:rPr>
          <w:rFonts w:ascii="Arial" w:hAnsi="Arial" w:cs="FrankRuehl"/>
          <w:szCs w:val="28"/>
        </w:rPr>
        <w:t xml:space="preserve"> </w:t>
      </w:r>
      <w:r>
        <w:rPr>
          <w:rFonts w:ascii="Arial" w:hAnsi="Arial" w:cs="FrankRuehl"/>
          <w:szCs w:val="28"/>
          <w:rtl/>
        </w:rPr>
        <w:t>של</w:t>
      </w:r>
      <w:r>
        <w:rPr>
          <w:rFonts w:ascii="Arial" w:hAnsi="Arial" w:cs="FrankRuehl"/>
          <w:szCs w:val="28"/>
        </w:rPr>
        <w:t xml:space="preserve"> 1,000 </w:t>
      </w:r>
      <w:r>
        <w:rPr>
          <w:rFonts w:ascii="Arial" w:hAnsi="Arial" w:cs="FrankRuehl"/>
          <w:szCs w:val="28"/>
          <w:rtl/>
        </w:rPr>
        <w:t>₪ כשהנשק</w:t>
      </w:r>
      <w:r>
        <w:rPr>
          <w:rFonts w:ascii="Arial" w:hAnsi="Arial" w:cs="FrankRuehl"/>
          <w:szCs w:val="28"/>
        </w:rPr>
        <w:t xml:space="preserve"> </w:t>
      </w:r>
      <w:r>
        <w:rPr>
          <w:rFonts w:ascii="Arial" w:hAnsi="Arial" w:cs="FrankRuehl"/>
          <w:szCs w:val="28"/>
          <w:rtl/>
        </w:rPr>
        <w:t>נמצא</w:t>
      </w:r>
      <w:r>
        <w:rPr>
          <w:rFonts w:ascii="Arial" w:hAnsi="Arial" w:cs="FrankRuehl"/>
          <w:szCs w:val="28"/>
        </w:rPr>
        <w:t xml:space="preserve"> </w:t>
      </w:r>
      <w:r>
        <w:rPr>
          <w:rFonts w:ascii="Arial" w:hAnsi="Arial" w:cs="FrankRuehl"/>
          <w:szCs w:val="28"/>
          <w:rtl/>
        </w:rPr>
        <w:t xml:space="preserve">ברכב, זאת כשהנאשם יודע כי מוחמד שוהה בישראל שלא כדין וכשהוא מוביל את הנשק ברכב בלא רשות על פי הדין. </w:t>
      </w:r>
    </w:p>
    <w:p w14:paraId="2EBBCA6C"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כאשר הנאשם ומוחמד הגיעו לכפר עכברה, ירד מוחמד מהרכב כשברשותו הנשק ומכר את הנשק לאדם שזהותו אינה ידועה למאשימה, לאחר שבוצע ירי בנשק על מנת לבדוק את תקינותו. בהמשך, החזיר הנאשם את מוחמד לביתו בשטחי הרשות הפלסטינאית. </w:t>
      </w:r>
    </w:p>
    <w:p w14:paraId="75516FB7"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lastRenderedPageBreak/>
        <w:t>בנוסף, ביום 31.1.2017 ובתקופה הסמוכה לכך, החזיק הנאשם בסמוך לביתו 34 כדורי רובה בקוטר 5.56 מ"מ וכן כדור בודד לרובה צייד (להלן – אירוע החזקת תחמושת).</w:t>
      </w:r>
    </w:p>
    <w:p w14:paraId="5037C18E"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על פי עובדות כתב האישום בתיק שצורף, עובר ליום 24.1.2017 הנאשם החזיק בביתו בכפר ברטעה תת מקלע מאולתר מסוג "קרל גוסטב" וזאת ללא רשות על פי הדין להחזקתו.</w:t>
      </w:r>
    </w:p>
    <w:p w14:paraId="06094B04" w14:textId="77777777" w:rsidR="00CE7F0A" w:rsidRDefault="00CE7F0A">
      <w:pPr>
        <w:spacing w:before="120" w:after="120" w:line="360" w:lineRule="auto"/>
        <w:ind w:left="720"/>
        <w:jc w:val="both"/>
        <w:rPr>
          <w:rFonts w:ascii="Arial" w:hAnsi="Arial" w:cs="FrankRuehl"/>
          <w:szCs w:val="28"/>
          <w:rtl/>
        </w:rPr>
      </w:pPr>
    </w:p>
    <w:p w14:paraId="2D8F978B" w14:textId="77777777" w:rsidR="00CE7F0A" w:rsidRDefault="00CE7F0A">
      <w:pPr>
        <w:spacing w:before="120" w:after="120" w:line="360" w:lineRule="auto"/>
        <w:ind w:left="720"/>
        <w:jc w:val="both"/>
        <w:rPr>
          <w:rFonts w:ascii="Arial" w:hAnsi="Arial" w:cs="FrankRuehl"/>
          <w:sz w:val="28"/>
          <w:szCs w:val="28"/>
          <w:rtl/>
        </w:rPr>
      </w:pPr>
      <w:r>
        <w:rPr>
          <w:rFonts w:ascii="Arial" w:hAnsi="Arial" w:cs="FrankRuehl"/>
          <w:sz w:val="28"/>
          <w:szCs w:val="28"/>
          <w:rtl/>
        </w:rPr>
        <w:t>טרם שמיעת העדויות, ביום 27.4.2017 הורשע הנאשם בעקבות הודאתו בעובדות כתב אישום שתוקן כאמור במסגרת הסדר טיעון ובהסכמת הצדדים התבקש שירות המבחן להכין תסקיר לעניין העונש.  בעקבות תסקיר שהוגש עובר לישיבת 12.9.2017 התעורר הרושם כי הנאשם לא מודה בפני שירות המבחן בכל המיוחס לו. מששב הנאשם והודה בפניי בעובדות כתב האישום המתוקן, לבקשת הסנגור הוריתי על הכנת תסקיר משלים.</w:t>
      </w:r>
    </w:p>
    <w:p w14:paraId="78B58716" w14:textId="77777777" w:rsidR="00CE7F0A" w:rsidRDefault="00CE7F0A">
      <w:pPr>
        <w:spacing w:before="120" w:after="120" w:line="360" w:lineRule="auto"/>
        <w:ind w:left="720"/>
        <w:jc w:val="both"/>
        <w:rPr>
          <w:rFonts w:ascii="Arial" w:hAnsi="Arial" w:cs="FrankRuehl"/>
          <w:sz w:val="28"/>
          <w:szCs w:val="28"/>
          <w:rtl/>
        </w:rPr>
      </w:pPr>
      <w:r>
        <w:rPr>
          <w:rFonts w:ascii="Arial" w:hAnsi="Arial" w:cs="FrankRuehl"/>
          <w:sz w:val="28"/>
          <w:szCs w:val="28"/>
          <w:rtl/>
        </w:rPr>
        <w:t>משהודה הנאשם גם בפני שירות המבחן הוכנו שני תסקירים משלימים.</w:t>
      </w:r>
    </w:p>
    <w:p w14:paraId="670C3DCB"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שני הצדדים לא הגישו ראיות לעניין העונש.</w:t>
      </w:r>
    </w:p>
    <w:p w14:paraId="5BAB76AD" w14:textId="77777777" w:rsidR="00CE7F0A" w:rsidRDefault="00CE7F0A">
      <w:pPr>
        <w:spacing w:before="120" w:after="120" w:line="360" w:lineRule="auto"/>
        <w:ind w:left="360" w:firstLine="360"/>
        <w:contextualSpacing/>
        <w:rPr>
          <w:rFonts w:ascii="Arial" w:hAnsi="Arial" w:cs="Miriam"/>
          <w:rtl/>
        </w:rPr>
      </w:pPr>
    </w:p>
    <w:p w14:paraId="5BF4B432" w14:textId="77777777" w:rsidR="00CE7F0A" w:rsidRDefault="00CE7F0A">
      <w:pPr>
        <w:spacing w:before="120" w:after="120" w:line="360" w:lineRule="auto"/>
        <w:ind w:left="360" w:firstLine="360"/>
        <w:contextualSpacing/>
        <w:rPr>
          <w:rFonts w:ascii="Arial" w:hAnsi="Arial" w:cs="Miriam"/>
          <w:rtl/>
        </w:rPr>
      </w:pPr>
      <w:r>
        <w:rPr>
          <w:rFonts w:ascii="Arial" w:hAnsi="Arial" w:cs="Miriam"/>
          <w:rtl/>
        </w:rPr>
        <w:t>תסקירי שירות המבחן</w:t>
      </w:r>
    </w:p>
    <w:p w14:paraId="55B1CAD6" w14:textId="77777777" w:rsidR="00CE7F0A" w:rsidRDefault="00CE7F0A">
      <w:pPr>
        <w:spacing w:line="360" w:lineRule="auto"/>
        <w:ind w:left="720"/>
        <w:contextualSpacing/>
        <w:rPr>
          <w:rFonts w:ascii="Arial" w:hAnsi="Arial" w:cs="FrankRuehl"/>
          <w:szCs w:val="28"/>
          <w:rtl/>
        </w:rPr>
      </w:pPr>
      <w:r>
        <w:rPr>
          <w:rFonts w:ascii="Arial" w:hAnsi="Arial" w:cs="FrankRuehl"/>
          <w:szCs w:val="28"/>
          <w:rtl/>
        </w:rPr>
        <w:t xml:space="preserve">בתסקיר העדכני והאחרון, תסקיר מיום 13.2.2018שירות המבחן הבהיר כי הוא נותר בספק באשר ליכולתו של הנאשם לבסס הליכי שיקום, גם לאור מעצרו בתיק שצורף ולכן לא ניתנה המלצה טיפולית ונקבע כי לא ניתן לקדם הליכי שיקום. </w:t>
      </w:r>
    </w:p>
    <w:p w14:paraId="20BF6A6E" w14:textId="77777777" w:rsidR="00CE7F0A" w:rsidRDefault="00CE7F0A">
      <w:pPr>
        <w:spacing w:line="360" w:lineRule="auto"/>
        <w:ind w:left="720"/>
        <w:jc w:val="both"/>
        <w:rPr>
          <w:rFonts w:ascii="Arial" w:hAnsi="Arial" w:cs="FrankRuehl"/>
          <w:szCs w:val="28"/>
          <w:rtl/>
        </w:rPr>
      </w:pPr>
    </w:p>
    <w:p w14:paraId="6A62CD02" w14:textId="77777777" w:rsidR="00CE7F0A" w:rsidRDefault="00CE7F0A">
      <w:pPr>
        <w:spacing w:line="360" w:lineRule="auto"/>
        <w:ind w:left="720"/>
        <w:jc w:val="both"/>
        <w:rPr>
          <w:rFonts w:ascii="Arial" w:hAnsi="Arial" w:cs="FrankRuehl"/>
          <w:szCs w:val="28"/>
          <w:rtl/>
        </w:rPr>
      </w:pPr>
      <w:r>
        <w:rPr>
          <w:rFonts w:ascii="Arial" w:hAnsi="Arial" w:cs="FrankRuehl"/>
          <w:szCs w:val="28"/>
          <w:rtl/>
        </w:rPr>
        <w:t>שירות המבחן ביקש כי יילקח בשיקולי גזר הדין  גילו הצעיר של הנאשם, העדר הרשעות קודמות ותפקוד תעסוקתי ולימודי תקין עד למועד ביצוע העבירות בהן הורשע.</w:t>
      </w:r>
    </w:p>
    <w:p w14:paraId="6B5FB7C4" w14:textId="77777777" w:rsidR="00CE7F0A" w:rsidRDefault="00CE7F0A">
      <w:pPr>
        <w:spacing w:line="360" w:lineRule="auto"/>
        <w:ind w:left="720"/>
        <w:jc w:val="both"/>
        <w:rPr>
          <w:rFonts w:ascii="Arial" w:hAnsi="Arial" w:cs="FrankRuehl"/>
          <w:szCs w:val="28"/>
          <w:rtl/>
        </w:rPr>
      </w:pPr>
    </w:p>
    <w:p w14:paraId="5219C593"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לאורך כל התסקירים תיארה קצינת המבחן כי יש קושי לזהות עמדות, השפעות חברתיות והתנהגות בעייתית מצדו של הנאשם לצד קשיים בשיתוף רגשי, בזיהוי רגשות שליליים ובמגע ישיר עם חלקים שאינם תואמים את הפסאדה התקינה והנורמטיבית שהוא מעוניין להציג.</w:t>
      </w:r>
    </w:p>
    <w:p w14:paraId="41BD7D7B"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[בתסקיר מיום 7.9.2017 המליץ שירות המבחן להימנע מהטלת מאסר בפועל ולהסתפק בהטלת עבודות שירות, אולם בתסקירים מאוחרים יותר לא חזר שירות המבחן על המלצה זאת מאחר והנאשם נעצר עד תום ההליכים בקשר לתיק שצורף].</w:t>
      </w:r>
    </w:p>
    <w:p w14:paraId="1D83B2CC" w14:textId="77777777" w:rsidR="00CE7F0A" w:rsidRDefault="00CE7F0A">
      <w:pPr>
        <w:spacing w:before="120" w:after="120" w:line="360" w:lineRule="auto"/>
        <w:ind w:left="720"/>
        <w:jc w:val="both"/>
        <w:rPr>
          <w:rFonts w:ascii="Arial" w:hAnsi="Arial" w:cs="FrankRuehl"/>
          <w:szCs w:val="28"/>
          <w:rtl/>
        </w:rPr>
      </w:pPr>
    </w:p>
    <w:p w14:paraId="606F1127" w14:textId="77777777" w:rsidR="00CE7F0A" w:rsidRDefault="00CE7F0A">
      <w:pPr>
        <w:spacing w:after="120" w:line="360" w:lineRule="auto"/>
        <w:ind w:left="720"/>
        <w:contextualSpacing/>
        <w:rPr>
          <w:rFonts w:ascii="Arial" w:hAnsi="Arial" w:cs="Miriam"/>
        </w:rPr>
      </w:pPr>
      <w:r>
        <w:rPr>
          <w:rFonts w:ascii="Arial" w:hAnsi="Arial" w:cs="Miriam"/>
          <w:rtl/>
        </w:rPr>
        <w:t>תמצית טענות הצדדים</w:t>
      </w:r>
    </w:p>
    <w:p w14:paraId="1FF1E53A" w14:textId="77777777" w:rsidR="00CE7F0A" w:rsidRDefault="00CE7F0A">
      <w:pPr>
        <w:numPr>
          <w:ilvl w:val="0"/>
          <w:numId w:val="1"/>
        </w:numPr>
        <w:spacing w:after="120" w:line="360" w:lineRule="auto"/>
        <w:contextualSpacing/>
        <w:jc w:val="both"/>
        <w:rPr>
          <w:rFonts w:ascii="Arial" w:hAnsi="Arial" w:cs="FrankRuehl"/>
          <w:szCs w:val="28"/>
        </w:rPr>
      </w:pPr>
      <w:r>
        <w:rPr>
          <w:rFonts w:ascii="Arial" w:hAnsi="Arial" w:cs="FrankRuehl"/>
          <w:szCs w:val="28"/>
          <w:rtl/>
        </w:rPr>
        <w:t>ב"כ המאשימה ביקש לקבוע בעניינו של הנאשם שלושה מתחמי ענישה שונים. שני מתחמי ענישה נפרדים ביחס לכתב האישום המתוקן, כך שבגין אירוע הסעת שוהה בלתי חוקי עם הנשק, בשתי הזדמנויות שונות, יוטל על הנאשם עונש של שנתיים וחצי עד חמש שנות מאסר, ועל אירוע החזקת התחמושת בבית יוטל עונש שנע בין מספר חודשים ועד 6 חודשי מאסר. בעניין כתב האישום שצורף לתיק שבפניי ביקש לקבוע כי המתחם בעניינו יעמוד על 2 ל-4 שנות מאסר.</w:t>
      </w:r>
    </w:p>
    <w:p w14:paraId="1DF3B6AB" w14:textId="77777777" w:rsidR="00CE7F0A" w:rsidRDefault="00CE7F0A">
      <w:pPr>
        <w:spacing w:after="120" w:line="360" w:lineRule="auto"/>
        <w:ind w:left="720"/>
        <w:contextualSpacing/>
        <w:jc w:val="both"/>
        <w:rPr>
          <w:rFonts w:ascii="Arial" w:hAnsi="Arial" w:cs="FrankRuehl"/>
          <w:szCs w:val="28"/>
        </w:rPr>
      </w:pPr>
    </w:p>
    <w:p w14:paraId="29B3745F"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לעניין הסעת השב"ח עם רובה הצייד טען כי השילוב בין עבירה על </w:t>
      </w:r>
      <w:hyperlink r:id="rId21" w:history="1">
        <w:r>
          <w:rPr>
            <w:rFonts w:ascii="Arial" w:hAnsi="Arial" w:cs="FrankRuehl"/>
            <w:color w:val="0000FF"/>
            <w:szCs w:val="28"/>
            <w:u w:val="single"/>
            <w:rtl/>
          </w:rPr>
          <w:t>חוק הכניסה לישראל</w:t>
        </w:r>
      </w:hyperlink>
      <w:r>
        <w:rPr>
          <w:rFonts w:ascii="Arial" w:hAnsi="Arial" w:cs="FrankRuehl"/>
          <w:szCs w:val="28"/>
          <w:rtl/>
        </w:rPr>
        <w:t xml:space="preserve"> לבין עבירות הנשק מלמד על פוטנציאל מסוכנות גבוה, במיוחד שמהנשק בוצע ירי בפועל. עוד טען כי הובלת נשק ארוך אינה דומה להובלת אקדח ויש לראותה כחמורה חמור יותר, חומרה נוספת יש ליחס להחזקת תת מקלע מאולתר בביתו.</w:t>
      </w:r>
      <w:r>
        <w:rPr>
          <w:rFonts w:ascii="Arial" w:hAnsi="Arial" w:cs="FrankRuehl" w:hint="cs"/>
          <w:szCs w:val="28"/>
          <w:rtl/>
        </w:rPr>
        <w:t xml:space="preserve"> </w:t>
      </w:r>
      <w:r>
        <w:rPr>
          <w:rFonts w:ascii="Arial" w:hAnsi="Arial" w:cs="FrankRuehl"/>
          <w:szCs w:val="28"/>
          <w:rtl/>
        </w:rPr>
        <w:t>התנהגות שאינה מלמדת כי קיים אפיק שיקומי כל שהוא.</w:t>
      </w:r>
    </w:p>
    <w:p w14:paraId="64842778"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לתמיכה בטענותיו הפנה לפסקי דין לגבי שלושת המתחמים.  </w:t>
      </w:r>
    </w:p>
    <w:p w14:paraId="3CEB00F5"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לסיכום הבהיר כי יש לנכות רק את הימים בהם שהה הנאשם במעצר ולא את הימים בהם נעצר בא</w:t>
      </w:r>
      <w:r>
        <w:rPr>
          <w:rFonts w:ascii="Arial" w:hAnsi="Arial" w:cs="FrankRuehl" w:hint="cs"/>
          <w:szCs w:val="28"/>
          <w:rtl/>
        </w:rPr>
        <w:t>י</w:t>
      </w:r>
      <w:r>
        <w:rPr>
          <w:rFonts w:ascii="Arial" w:hAnsi="Arial" w:cs="FrankRuehl"/>
          <w:szCs w:val="28"/>
          <w:rtl/>
        </w:rPr>
        <w:t>זוק אלקטרוני.</w:t>
      </w:r>
    </w:p>
    <w:p w14:paraId="1E909318" w14:textId="77777777" w:rsidR="00CE7F0A" w:rsidRDefault="00CE7F0A">
      <w:pPr>
        <w:spacing w:before="120" w:after="120" w:line="360" w:lineRule="auto"/>
        <w:ind w:left="720"/>
        <w:jc w:val="both"/>
        <w:rPr>
          <w:rFonts w:ascii="Arial" w:hAnsi="Arial" w:cs="FrankRuehl"/>
          <w:szCs w:val="28"/>
        </w:rPr>
      </w:pPr>
    </w:p>
    <w:p w14:paraId="2B67BC43" w14:textId="77777777" w:rsidR="00CE7F0A" w:rsidRDefault="00CE7F0A">
      <w:pPr>
        <w:numPr>
          <w:ilvl w:val="0"/>
          <w:numId w:val="1"/>
        </w:numPr>
        <w:spacing w:before="120" w:after="120" w:line="360" w:lineRule="auto"/>
        <w:jc w:val="both"/>
        <w:rPr>
          <w:rFonts w:ascii="Arial" w:hAnsi="Arial" w:cs="FrankRuehl"/>
          <w:szCs w:val="28"/>
        </w:rPr>
      </w:pPr>
      <w:r>
        <w:rPr>
          <w:rFonts w:ascii="Arial" w:hAnsi="Arial" w:cs="FrankRuehl"/>
          <w:szCs w:val="28"/>
          <w:rtl/>
        </w:rPr>
        <w:t xml:space="preserve">הסנגור ביקש שלא למצות את הדין עם הנאשם וביקש להסתפק בעניינו בתקופות בהם שהה הנאשם במעצר: כ-4 חודשים במאסר מאחורי סורג ובריח ו-7 חודשים באיזוק אלקטרוני.  </w:t>
      </w:r>
    </w:p>
    <w:p w14:paraId="45AE2730" w14:textId="77777777" w:rsidR="00CE7F0A" w:rsidRDefault="00CE7F0A">
      <w:pPr>
        <w:spacing w:before="120" w:after="120" w:line="360" w:lineRule="auto"/>
        <w:ind w:left="720"/>
        <w:contextualSpacing/>
        <w:jc w:val="both"/>
        <w:rPr>
          <w:rFonts w:ascii="Arial" w:hAnsi="Arial" w:cs="FrankRuehl"/>
          <w:szCs w:val="28"/>
        </w:rPr>
      </w:pPr>
      <w:r>
        <w:rPr>
          <w:rFonts w:ascii="Arial" w:hAnsi="Arial" w:cs="FrankRuehl"/>
          <w:szCs w:val="28"/>
          <w:rtl/>
        </w:rPr>
        <w:t>בנוסף ביקש לאמץ את עמדת שירות המבחן שהמליץ תחילה על הטלת מאסר בעבודות שירות והתרשם שמדובר בבחור צעיר שלא הפנים דפוסים עברייניים ותפקד באופן תקין בתחומי חייו השונים. שירות המבחן לא יכול היה לקדם בעניינו של הנאשם הליכי שיקום רק נוכח מעצרו האחרון.</w:t>
      </w:r>
    </w:p>
    <w:p w14:paraId="452235E7"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הסנגור ביקש לתת משקל לעובדה שהנאשם הודה בהזדמנות הראשונה בעובדות כתבי האישום שיוחסו לו. במיוחס לו בכתב האישום שצורף הודה עוד במהלך חקירותיו בתיק זה ורק לאחר שנתפס אותו תת מקלע מאולתר הוגש כתב האישום שצורף בהמשך. </w:t>
      </w:r>
    </w:p>
    <w:p w14:paraId="4C7AB41C"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לטענתו יש בכך כדי להראות לקיחת האחריות והודאה בטעות. עוד טען, כי הנאשם היה בן 23 ביום ביצוע העבירות ונחשב "בגיר צעיר" כהגדרתו ב</w:t>
      </w:r>
      <w:hyperlink r:id="rId22" w:history="1">
        <w:r>
          <w:rPr>
            <w:rFonts w:ascii="Arial" w:hAnsi="Arial" w:cs="FrankRuehl"/>
            <w:color w:val="0000FF"/>
            <w:szCs w:val="28"/>
            <w:u w:val="single"/>
            <w:rtl/>
          </w:rPr>
          <w:t>ע"פ  7781/12</w:t>
        </w:r>
      </w:hyperlink>
      <w:r>
        <w:rPr>
          <w:rFonts w:ascii="Arial" w:hAnsi="Arial" w:cs="FrankRuehl"/>
          <w:szCs w:val="28"/>
          <w:rtl/>
        </w:rPr>
        <w:t xml:space="preserve"> </w:t>
      </w:r>
      <w:r>
        <w:rPr>
          <w:rFonts w:ascii="Arial" w:hAnsi="Arial" w:cs="Miriam"/>
          <w:rtl/>
        </w:rPr>
        <w:t>פלוני נ' מדינת ישראל</w:t>
      </w:r>
      <w:r>
        <w:rPr>
          <w:rFonts w:ascii="Arial" w:hAnsi="Arial" w:cs="FrankRuehl"/>
          <w:rtl/>
        </w:rPr>
        <w:t xml:space="preserve"> </w:t>
      </w:r>
      <w:r>
        <w:rPr>
          <w:sz w:val="22"/>
          <w:rtl/>
        </w:rPr>
        <w:t xml:space="preserve">[פורסם בנבו] </w:t>
      </w:r>
      <w:r>
        <w:rPr>
          <w:rFonts w:ascii="Arial" w:hAnsi="Arial" w:cs="FrankRuehl"/>
          <w:szCs w:val="28"/>
          <w:rtl/>
        </w:rPr>
        <w:t>(25.6.2013). הנאשם מאורס, בן למשפחה המונה 9 נפשות, עבד בהסעות ועזר בפרנסת המשפחה עקב פציעת אביו.</w:t>
      </w:r>
    </w:p>
    <w:p w14:paraId="1A5C842B" w14:textId="77777777" w:rsidR="00CE7F0A" w:rsidRDefault="00CE7F0A">
      <w:pPr>
        <w:spacing w:before="120" w:after="120" w:line="360" w:lineRule="auto"/>
        <w:ind w:left="720"/>
        <w:jc w:val="both"/>
        <w:rPr>
          <w:rFonts w:ascii="Arial" w:hAnsi="Arial" w:cs="FrankRuehl"/>
          <w:szCs w:val="28"/>
          <w:rtl/>
        </w:rPr>
      </w:pPr>
    </w:p>
    <w:p w14:paraId="6A4731F9" w14:textId="77777777" w:rsidR="00CE7F0A" w:rsidRDefault="00CE7F0A">
      <w:pPr>
        <w:spacing w:before="120" w:after="120" w:line="360" w:lineRule="auto"/>
        <w:ind w:left="720"/>
        <w:jc w:val="both"/>
        <w:rPr>
          <w:rFonts w:ascii="Arial" w:hAnsi="Arial" w:cs="FrankRuehl"/>
          <w:szCs w:val="28"/>
        </w:rPr>
      </w:pPr>
      <w:r>
        <w:rPr>
          <w:rFonts w:ascii="Arial" w:hAnsi="Arial" w:cs="FrankRuehl"/>
          <w:szCs w:val="28"/>
          <w:rtl/>
        </w:rPr>
        <w:t xml:space="preserve">לעניין הסעת השב"ח לעכברה ביקש להדגיש כי הנאשם טען בחקירה במשטרה כי ידע על קיום רובה הצייד ברכב רק במהלך הנסיעה לעכברה ולא מתחילתה  והוסיף כי בהתאם להנחיות פרקליט המדינה, כאשר מדובר בעבירה ראשונה של הסעת שב"ח, לא מוגש  כתב אישום אלא  אם מתלווה לעבירה זו עבירה נוספת. </w:t>
      </w:r>
    </w:p>
    <w:p w14:paraId="4854FAD1"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לכן בגין עבירה זו ביקש לקבוע מתחם ענישה ממאסר על תנאי ועד למספר חודשי עבודות שירות. </w:t>
      </w:r>
    </w:p>
    <w:p w14:paraId="7F270A33" w14:textId="77777777" w:rsidR="00CE7F0A" w:rsidRDefault="00CE7F0A">
      <w:pPr>
        <w:spacing w:before="120" w:after="120" w:line="360" w:lineRule="auto"/>
        <w:ind w:left="720"/>
        <w:jc w:val="both"/>
        <w:rPr>
          <w:rFonts w:ascii="Arial" w:hAnsi="Arial" w:cs="FrankRuehl"/>
          <w:szCs w:val="28"/>
        </w:rPr>
      </w:pPr>
      <w:r>
        <w:rPr>
          <w:rFonts w:ascii="Arial" w:hAnsi="Arial" w:cs="FrankRuehl"/>
          <w:szCs w:val="28"/>
          <w:rtl/>
        </w:rPr>
        <w:t xml:space="preserve">באשר לעבירה של הובלה והחזקת רובה הצייד טען כי גם עונשה של עבירה זו הוא עבודות שירות וחלק על טענות ב"כ המאשימה בנושא זה. לתמיכה בטענותיו הפנה לפסקי דין שונים. </w:t>
      </w:r>
    </w:p>
    <w:p w14:paraId="17BF4469"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לעניין עבירת החזקת הנשק המיוחסת לנאשם בתיק שצורף, טען בהתבסס על פסקי דין שהגיש, כי העבירה היא בסמכות בית משפט השלום וכאשר מדובר בעבירה ראשונה העונש יכול להיות מאסר בעבודות שירות.</w:t>
      </w:r>
    </w:p>
    <w:p w14:paraId="1FB0299E" w14:textId="77777777" w:rsidR="00CE7F0A" w:rsidRDefault="00CE7F0A">
      <w:pPr>
        <w:spacing w:line="360" w:lineRule="auto"/>
        <w:ind w:left="720"/>
        <w:contextualSpacing/>
        <w:jc w:val="both"/>
        <w:rPr>
          <w:rFonts w:ascii="Arial" w:hAnsi="Arial" w:cs="FrankRuehl"/>
          <w:sz w:val="28"/>
          <w:szCs w:val="28"/>
        </w:rPr>
      </w:pPr>
    </w:p>
    <w:p w14:paraId="44395216" w14:textId="77777777" w:rsidR="00CE7F0A" w:rsidRDefault="00CE7F0A">
      <w:pPr>
        <w:spacing w:line="360" w:lineRule="auto"/>
        <w:ind w:left="720"/>
        <w:contextualSpacing/>
        <w:jc w:val="both"/>
        <w:rPr>
          <w:rFonts w:ascii="Arial" w:hAnsi="Arial" w:cs="FrankRuehl"/>
          <w:sz w:val="28"/>
          <w:szCs w:val="28"/>
          <w:rtl/>
        </w:rPr>
      </w:pPr>
      <w:r>
        <w:rPr>
          <w:rFonts w:ascii="Arial" w:hAnsi="Arial" w:cs="FrankRuehl"/>
          <w:sz w:val="28"/>
          <w:szCs w:val="28"/>
          <w:rtl/>
        </w:rPr>
        <w:t>בתום הטיעונים הנאשם הביע חרטה על מעשיו, הודה בטעותו הבהיר כי הוא עומד להתחתן עם ארוסתו.</w:t>
      </w:r>
    </w:p>
    <w:p w14:paraId="660EFEF7" w14:textId="77777777" w:rsidR="00CE7F0A" w:rsidRDefault="00CE7F0A">
      <w:pPr>
        <w:spacing w:line="360" w:lineRule="auto"/>
        <w:jc w:val="both"/>
        <w:rPr>
          <w:rFonts w:ascii="Arial" w:hAnsi="Arial" w:cs="FrankRuehl"/>
          <w:szCs w:val="28"/>
          <w:u w:val="single"/>
        </w:rPr>
      </w:pPr>
    </w:p>
    <w:p w14:paraId="685835ED" w14:textId="77777777" w:rsidR="00CE7F0A" w:rsidRDefault="00CE7F0A">
      <w:pPr>
        <w:spacing w:before="120" w:after="120" w:line="360" w:lineRule="auto"/>
        <w:ind w:left="720"/>
        <w:rPr>
          <w:rFonts w:ascii="Arial" w:hAnsi="Arial" w:cs="Miriam"/>
          <w:rtl/>
        </w:rPr>
      </w:pPr>
      <w:r>
        <w:rPr>
          <w:rFonts w:ascii="Arial" w:hAnsi="Arial" w:cs="Miriam"/>
          <w:rtl/>
        </w:rPr>
        <w:t>דיון</w:t>
      </w:r>
    </w:p>
    <w:p w14:paraId="1B19AA07" w14:textId="77777777" w:rsidR="00CE7F0A" w:rsidRDefault="00CE7F0A">
      <w:pPr>
        <w:spacing w:line="360" w:lineRule="auto"/>
        <w:ind w:left="720"/>
        <w:contextualSpacing/>
        <w:jc w:val="both"/>
        <w:rPr>
          <w:rFonts w:ascii="Arial" w:hAnsi="Arial" w:cs="FrankRuehl"/>
          <w:color w:val="000000"/>
          <w:sz w:val="28"/>
          <w:szCs w:val="28"/>
          <w:rtl/>
        </w:rPr>
      </w:pPr>
      <w:r>
        <w:rPr>
          <w:rFonts w:ascii="Arial" w:hAnsi="Arial" w:cs="FrankRuehl"/>
          <w:color w:val="000000"/>
          <w:sz w:val="28"/>
          <w:szCs w:val="28"/>
          <w:rtl/>
        </w:rPr>
        <w:t>במקרה זה חל תיקון 113 לחוק שקובע כי "</w:t>
      </w:r>
      <w:r>
        <w:rPr>
          <w:rFonts w:ascii="Arial" w:hAnsi="Arial"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ascii="Arial" w:hAnsi="Arial" w:cs="FrankRuehl"/>
          <w:color w:val="000000"/>
          <w:sz w:val="28"/>
          <w:szCs w:val="28"/>
          <w:rtl/>
        </w:rPr>
        <w:t>ו" (</w:t>
      </w:r>
      <w:hyperlink r:id="rId23" w:history="1">
        <w:r>
          <w:rPr>
            <w:rFonts w:ascii="Arial" w:hAnsi="Arial" w:cs="FrankRuehl"/>
            <w:color w:val="0000FF"/>
            <w:sz w:val="28"/>
            <w:szCs w:val="28"/>
            <w:u w:val="single"/>
            <w:rtl/>
          </w:rPr>
          <w:t>סעיף 40ב'</w:t>
        </w:r>
      </w:hyperlink>
      <w:r>
        <w:rPr>
          <w:rFonts w:ascii="Arial" w:hAnsi="Arial" w:cs="FrankRuehl"/>
          <w:color w:val="000000"/>
          <w:sz w:val="28"/>
          <w:szCs w:val="28"/>
          <w:rtl/>
        </w:rPr>
        <w:t xml:space="preserve"> לחוק).</w:t>
      </w:r>
    </w:p>
    <w:p w14:paraId="429C9BB8" w14:textId="77777777" w:rsidR="00CE7F0A" w:rsidRDefault="00CE7F0A">
      <w:pPr>
        <w:spacing w:line="360" w:lineRule="auto"/>
        <w:ind w:left="720"/>
        <w:contextualSpacing/>
        <w:jc w:val="both"/>
        <w:rPr>
          <w:rFonts w:ascii="Arial" w:hAnsi="Arial" w:cs="FrankRuehl"/>
          <w:color w:val="000000"/>
          <w:sz w:val="28"/>
          <w:szCs w:val="28"/>
          <w:rtl/>
        </w:rPr>
      </w:pPr>
    </w:p>
    <w:p w14:paraId="0D0EBF22" w14:textId="77777777" w:rsidR="00CE7F0A" w:rsidRDefault="00CE7F0A">
      <w:pPr>
        <w:numPr>
          <w:ilvl w:val="0"/>
          <w:numId w:val="1"/>
        </w:numPr>
        <w:spacing w:before="120" w:after="120" w:line="360" w:lineRule="auto"/>
        <w:ind w:left="714" w:hanging="357"/>
        <w:jc w:val="both"/>
        <w:rPr>
          <w:rFonts w:ascii="Arial" w:hAnsi="Arial"/>
        </w:rPr>
      </w:pPr>
      <w:r>
        <w:rPr>
          <w:rFonts w:ascii="Arial" w:hAnsi="Arial" w:cs="FrankRuehl"/>
          <w:color w:val="000000"/>
          <w:sz w:val="28"/>
          <w:szCs w:val="28"/>
          <w:rtl/>
        </w:rPr>
        <w:t xml:space="preserve">במקרה זה, מקובלת עלי עמדת ב"כ המאשימה כי מדובר בשלושה אירועים נפרדים: </w:t>
      </w:r>
    </w:p>
    <w:p w14:paraId="09C7344D" w14:textId="77777777" w:rsidR="00CE7F0A" w:rsidRDefault="00CE7F0A">
      <w:pPr>
        <w:spacing w:before="120" w:after="120" w:line="360" w:lineRule="auto"/>
        <w:ind w:left="714"/>
        <w:jc w:val="both"/>
        <w:rPr>
          <w:rFonts w:ascii="Arial" w:hAnsi="Arial"/>
        </w:rPr>
      </w:pPr>
      <w:r>
        <w:rPr>
          <w:rFonts w:ascii="Arial" w:hAnsi="Arial" w:cs="FrankRuehl"/>
          <w:color w:val="000000"/>
          <w:sz w:val="28"/>
          <w:szCs w:val="28"/>
          <w:rtl/>
        </w:rPr>
        <w:t>-אירוע אחד בו החזיק הנאשם ברובה צייד בלא היתר כדין, הוביל פעמיים ברכבו את הנשק ביחד עם מוחמד אותו הסיע הנאשם למרות שמדובר בתושב זר השוהה בישראל שלא כדין. בפעם הראשונה הוא הסיעו עם הנשק לכפר ברטעה לחלק הנמצא בשטחי הרשות הפלסטינאית ובפעם השני</w:t>
      </w:r>
      <w:r>
        <w:rPr>
          <w:rFonts w:ascii="Arial" w:hAnsi="Arial" w:cs="FrankRuehl" w:hint="cs"/>
          <w:color w:val="000000"/>
          <w:sz w:val="28"/>
          <w:szCs w:val="28"/>
          <w:rtl/>
        </w:rPr>
        <w:t>י</w:t>
      </w:r>
      <w:r>
        <w:rPr>
          <w:rFonts w:ascii="Arial" w:hAnsi="Arial" w:cs="FrankRuehl"/>
          <w:color w:val="000000"/>
          <w:sz w:val="28"/>
          <w:szCs w:val="28"/>
          <w:rtl/>
        </w:rPr>
        <w:t xml:space="preserve">ה לכפר עכברה (להלן – האירוע הראשון). </w:t>
      </w:r>
    </w:p>
    <w:p w14:paraId="3A2E233F" w14:textId="77777777" w:rsidR="00CE7F0A" w:rsidRDefault="00CE7F0A">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 xml:space="preserve">-אירוע שני בו החזיק הנאשם בסמוך לביתו את כדורי רובה (להלן – האירוע השני). </w:t>
      </w:r>
    </w:p>
    <w:p w14:paraId="170B0759" w14:textId="77777777" w:rsidR="00CE7F0A" w:rsidRDefault="00CE7F0A">
      <w:pPr>
        <w:spacing w:before="120" w:after="120" w:line="360" w:lineRule="auto"/>
        <w:ind w:left="714"/>
        <w:jc w:val="both"/>
        <w:rPr>
          <w:rFonts w:ascii="Arial" w:hAnsi="Arial"/>
        </w:rPr>
      </w:pPr>
      <w:r>
        <w:rPr>
          <w:rFonts w:ascii="Arial" w:hAnsi="Arial" w:cs="FrankRuehl"/>
          <w:color w:val="000000"/>
          <w:sz w:val="28"/>
          <w:szCs w:val="28"/>
          <w:rtl/>
        </w:rPr>
        <w:t xml:space="preserve">-אירוע השלישי בו החזיק הנאשם בביתו תת מקלע מאולתר, כמתואר בכתב האישום שצורף (להלן – האירוע השלישי). </w:t>
      </w:r>
    </w:p>
    <w:p w14:paraId="1D25A48C" w14:textId="77777777" w:rsidR="00CE7F0A" w:rsidRDefault="00CE7F0A">
      <w:pPr>
        <w:spacing w:before="120" w:after="120" w:line="360" w:lineRule="auto"/>
        <w:ind w:left="714"/>
        <w:jc w:val="both"/>
        <w:rPr>
          <w:rFonts w:ascii="Arial" w:hAnsi="Arial"/>
          <w:rtl/>
        </w:rPr>
      </w:pPr>
    </w:p>
    <w:p w14:paraId="48263FB6" w14:textId="77777777" w:rsidR="00CE7F0A" w:rsidRDefault="00CE7F0A">
      <w:pPr>
        <w:spacing w:before="120" w:after="120" w:line="360" w:lineRule="auto"/>
        <w:ind w:left="714"/>
        <w:jc w:val="both"/>
        <w:rPr>
          <w:rFonts w:ascii="Arial" w:hAnsi="Arial" w:cs="FrankRuehl"/>
          <w:sz w:val="28"/>
          <w:szCs w:val="28"/>
          <w:rtl/>
        </w:rPr>
      </w:pPr>
      <w:r>
        <w:rPr>
          <w:rFonts w:ascii="Arial" w:hAnsi="Arial" w:cs="FrankRuehl"/>
          <w:sz w:val="28"/>
          <w:szCs w:val="28"/>
          <w:rtl/>
        </w:rPr>
        <w:t>אין קשר כל שהוא בין האירועים וכל אחד מהם עומד בפני עצמו (ראו למשל ניתוח הנושא ב</w:t>
      </w:r>
      <w:hyperlink r:id="rId24" w:history="1">
        <w:r>
          <w:rPr>
            <w:rFonts w:ascii="Arial" w:hAnsi="Arial" w:cs="FrankRuehl"/>
            <w:color w:val="0000FF"/>
            <w:sz w:val="28"/>
            <w:szCs w:val="28"/>
            <w:u w:val="single"/>
            <w:rtl/>
          </w:rPr>
          <w:t>ע"פ 2375/15</w:t>
        </w:r>
      </w:hyperlink>
      <w:r>
        <w:rPr>
          <w:rFonts w:ascii="Arial" w:hAnsi="Arial" w:cs="FrankRuehl"/>
          <w:sz w:val="28"/>
          <w:szCs w:val="28"/>
          <w:rtl/>
        </w:rPr>
        <w:t xml:space="preserve"> שנדון במאוחד עם </w:t>
      </w:r>
      <w:hyperlink r:id="rId25" w:history="1">
        <w:r>
          <w:rPr>
            <w:rFonts w:ascii="Arial" w:hAnsi="Arial" w:cs="FrankRuehl"/>
            <w:color w:val="0000FF"/>
            <w:sz w:val="28"/>
            <w:szCs w:val="28"/>
            <w:u w:val="single"/>
            <w:rtl/>
          </w:rPr>
          <w:t>ע"פ 2377/15</w:t>
        </w:r>
      </w:hyperlink>
      <w:r>
        <w:rPr>
          <w:rFonts w:ascii="Arial" w:hAnsi="Arial" w:cs="FrankRuehl"/>
          <w:sz w:val="28"/>
          <w:szCs w:val="28"/>
          <w:rtl/>
        </w:rPr>
        <w:t xml:space="preserve"> </w:t>
      </w:r>
      <w:r>
        <w:rPr>
          <w:rFonts w:ascii="Arial" w:hAnsi="Arial" w:cs="Miriam"/>
          <w:rtl/>
        </w:rPr>
        <w:t>נס נגד מדינת ישראל</w:t>
      </w:r>
      <w:r>
        <w:rPr>
          <w:rFonts w:ascii="Arial" w:hAnsi="Arial" w:cs="FrankRuehl"/>
          <w:sz w:val="28"/>
          <w:szCs w:val="28"/>
          <w:rtl/>
        </w:rPr>
        <w:t xml:space="preserve"> </w:t>
      </w:r>
      <w:r>
        <w:rPr>
          <w:sz w:val="22"/>
          <w:rtl/>
        </w:rPr>
        <w:t xml:space="preserve">[פורסם בנבו] </w:t>
      </w:r>
      <w:r>
        <w:rPr>
          <w:rFonts w:ascii="Arial" w:hAnsi="Arial" w:cs="FrankRuehl"/>
          <w:sz w:val="28"/>
          <w:szCs w:val="28"/>
          <w:rtl/>
        </w:rPr>
        <w:t>(22.2.2018).</w:t>
      </w:r>
    </w:p>
    <w:p w14:paraId="7E671370" w14:textId="77777777" w:rsidR="00CE7F0A" w:rsidRDefault="00CE7F0A">
      <w:pPr>
        <w:spacing w:before="120" w:after="120" w:line="360" w:lineRule="auto"/>
        <w:ind w:left="714"/>
        <w:jc w:val="both"/>
        <w:rPr>
          <w:rFonts w:ascii="Arial" w:hAnsi="Arial"/>
        </w:rPr>
      </w:pPr>
    </w:p>
    <w:p w14:paraId="5361A639" w14:textId="77777777" w:rsidR="00CE7F0A" w:rsidRDefault="00CE7F0A">
      <w:pPr>
        <w:spacing w:line="360" w:lineRule="auto"/>
        <w:ind w:left="720"/>
        <w:contextualSpacing/>
        <w:rPr>
          <w:rFonts w:ascii="Arial" w:hAnsi="Arial" w:cs="Miriam"/>
          <w:rtl/>
        </w:rPr>
      </w:pPr>
      <w:r>
        <w:rPr>
          <w:rFonts w:ascii="Arial" w:hAnsi="Arial" w:cs="Miriam"/>
          <w:rtl/>
        </w:rPr>
        <w:t>האירוע הראשון - מתחם העונש ההולם</w:t>
      </w:r>
    </w:p>
    <w:p w14:paraId="6432C055" w14:textId="77777777" w:rsidR="00CE7F0A" w:rsidRDefault="00CE7F0A">
      <w:pPr>
        <w:numPr>
          <w:ilvl w:val="0"/>
          <w:numId w:val="1"/>
        </w:numPr>
        <w:spacing w:before="120" w:after="120" w:line="360" w:lineRule="auto"/>
        <w:ind w:left="714" w:hanging="357"/>
        <w:jc w:val="both"/>
        <w:rPr>
          <w:rFonts w:ascii="Arial" w:hAnsi="Arial" w:cs="FrankRuehl"/>
          <w:color w:val="000000"/>
          <w:sz w:val="28"/>
          <w:szCs w:val="28"/>
        </w:rPr>
      </w:pPr>
      <w:r>
        <w:rPr>
          <w:rFonts w:ascii="Arial" w:hAnsi="Arial" w:cs="FrankRuehl"/>
          <w:color w:val="000000"/>
          <w:sz w:val="28"/>
          <w:szCs w:val="28"/>
          <w:rtl/>
        </w:rPr>
        <w:t xml:space="preserve">באירוע הראשון בשתי הזדמנויות שונות, הסיע הנאשם את מוחמד תושב הרשות הפלסטינאית ששהה בישראל שלא כדין, פעם אחת עם הנשק לברטעה ופעם שנייה עם הנשק לעכברה. </w:t>
      </w:r>
    </w:p>
    <w:p w14:paraId="0A095EBD" w14:textId="77777777" w:rsidR="00CE7F0A" w:rsidRDefault="00CE7F0A">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הנאשם ומוחמד חברים ובש</w:t>
      </w:r>
      <w:r>
        <w:rPr>
          <w:rFonts w:ascii="Arial" w:hAnsi="Arial" w:cs="FrankRuehl" w:hint="cs"/>
          <w:color w:val="000000"/>
          <w:sz w:val="28"/>
          <w:szCs w:val="28"/>
          <w:rtl/>
        </w:rPr>
        <w:t>ת</w:t>
      </w:r>
      <w:r>
        <w:rPr>
          <w:rFonts w:ascii="Arial" w:hAnsi="Arial" w:cs="FrankRuehl"/>
          <w:color w:val="000000"/>
          <w:sz w:val="28"/>
          <w:szCs w:val="28"/>
          <w:rtl/>
        </w:rPr>
        <w:t xml:space="preserve">י הפעמים מוחמד הגיע בכוחות </w:t>
      </w:r>
      <w:r>
        <w:rPr>
          <w:rFonts w:ascii="Arial" w:hAnsi="Arial" w:cs="FrankRuehl" w:hint="cs"/>
          <w:color w:val="000000"/>
          <w:sz w:val="28"/>
          <w:szCs w:val="28"/>
          <w:rtl/>
        </w:rPr>
        <w:t xml:space="preserve">עצמו </w:t>
      </w:r>
      <w:r>
        <w:rPr>
          <w:rFonts w:ascii="Arial" w:hAnsi="Arial" w:cs="FrankRuehl"/>
          <w:color w:val="000000"/>
          <w:sz w:val="28"/>
          <w:szCs w:val="28"/>
          <w:rtl/>
        </w:rPr>
        <w:t xml:space="preserve">לביתו של הנאשם, כך שהנאשם לא היה זה שהכניס אותו לתוך שטח מדינת ישראל. עוד נסיבה מקלה ככל שמדובר בהחזקת רובה הצייד בתחילת האירוע, נקבע כי הנאשם החזיק בנשק לזמן קצר. </w:t>
      </w:r>
    </w:p>
    <w:p w14:paraId="248434AE" w14:textId="77777777" w:rsidR="00CE7F0A" w:rsidRDefault="00CE7F0A">
      <w:pPr>
        <w:spacing w:before="120" w:after="120" w:line="360" w:lineRule="auto"/>
        <w:ind w:left="714"/>
        <w:jc w:val="both"/>
        <w:rPr>
          <w:rFonts w:ascii="Arial" w:hAnsi="Arial" w:cs="FrankRuehl"/>
          <w:color w:val="000000"/>
          <w:sz w:val="28"/>
          <w:szCs w:val="28"/>
          <w:rtl/>
        </w:rPr>
      </w:pPr>
    </w:p>
    <w:p w14:paraId="7EE5BDA4" w14:textId="77777777" w:rsidR="00CE7F0A" w:rsidRDefault="00CE7F0A">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 xml:space="preserve">הנסיעה השנייה היא החלק החמור במעשיו של הנאשם באירוע זה. גם אם נחשף הנאשם רק במהלך הנסיעה לכפר עכברה כי הוא מוביל ברכבו נשק צייד, כטענתו במשטרה, הנאשם המשיך בהסעת השב"ח ובהובלת הנשק ברכבו ולנגד עיניו </w:t>
      </w:r>
      <w:r>
        <w:rPr>
          <w:rFonts w:ascii="Arial" w:hAnsi="Arial" w:cs="FrankRuehl" w:hint="cs"/>
          <w:color w:val="000000"/>
          <w:sz w:val="28"/>
          <w:szCs w:val="28"/>
          <w:rtl/>
        </w:rPr>
        <w:t xml:space="preserve">גם התרחש מפגש שהמחיש </w:t>
      </w:r>
      <w:r>
        <w:rPr>
          <w:rFonts w:ascii="Arial" w:hAnsi="Arial" w:cs="FrankRuehl"/>
          <w:color w:val="000000"/>
          <w:sz w:val="28"/>
          <w:szCs w:val="28"/>
          <w:rtl/>
        </w:rPr>
        <w:t>את הפוטנציאל החמור במעשיו. בנוכחות הנאשם, מוחמד ביצע בנשק ירי על מנת להוכיח את תקינתו לקונה שרכש ממנו את הנשק.  גם מהעובדה כי הנאשם גבה 1,000 ש"ח ממוחמד עבור אותה נסיעה (להבדיל מהתנהגותו בנסיעה הראשונה) מצביעה על משמעות אותה נסיעה בעיניו של הנאשם.</w:t>
      </w:r>
    </w:p>
    <w:p w14:paraId="4EA932E4" w14:textId="77777777" w:rsidR="00CE7F0A" w:rsidRDefault="00CE7F0A">
      <w:pPr>
        <w:spacing w:before="120" w:after="120" w:line="360" w:lineRule="auto"/>
        <w:ind w:left="714"/>
        <w:jc w:val="both"/>
        <w:rPr>
          <w:rFonts w:ascii="Arial" w:hAnsi="Arial" w:cs="FrankRuehl"/>
          <w:color w:val="000000"/>
          <w:sz w:val="28"/>
          <w:szCs w:val="28"/>
          <w:rtl/>
        </w:rPr>
      </w:pPr>
      <w:r>
        <w:rPr>
          <w:rFonts w:ascii="Arial" w:hAnsi="Arial" w:cs="FrankRuehl"/>
          <w:color w:val="000000"/>
          <w:sz w:val="28"/>
          <w:szCs w:val="28"/>
          <w:rtl/>
        </w:rPr>
        <w:t>בהתאם לעובדות כתב האישום המתוקן רובה הצייד סוגל לירות כדור ולהמית אדם.</w:t>
      </w:r>
    </w:p>
    <w:p w14:paraId="4C122779" w14:textId="77777777" w:rsidR="00CE7F0A" w:rsidRDefault="00CE7F0A">
      <w:pPr>
        <w:spacing w:before="120" w:after="120" w:line="360" w:lineRule="auto"/>
        <w:ind w:left="714"/>
        <w:jc w:val="both"/>
        <w:rPr>
          <w:rFonts w:ascii="Arial" w:hAnsi="Arial" w:cs="FrankRuehl"/>
          <w:color w:val="000000"/>
          <w:sz w:val="28"/>
          <w:szCs w:val="28"/>
        </w:rPr>
      </w:pPr>
    </w:p>
    <w:p w14:paraId="6F813435" w14:textId="77777777" w:rsidR="00CE7F0A" w:rsidRDefault="00CE7F0A">
      <w:pPr>
        <w:numPr>
          <w:ilvl w:val="0"/>
          <w:numId w:val="1"/>
        </w:numPr>
        <w:spacing w:line="360" w:lineRule="auto"/>
        <w:contextualSpacing/>
        <w:jc w:val="both"/>
        <w:rPr>
          <w:rFonts w:ascii="Arial" w:hAnsi="Arial" w:cs="FrankRuehl"/>
          <w:color w:val="000000"/>
          <w:sz w:val="28"/>
          <w:szCs w:val="28"/>
        </w:rPr>
      </w:pPr>
      <w:r>
        <w:rPr>
          <w:rFonts w:ascii="Arial" w:hAnsi="Arial" w:cs="FrankRuehl"/>
          <w:sz w:val="28"/>
          <w:szCs w:val="28"/>
          <w:rtl/>
        </w:rPr>
        <w:t xml:space="preserve">במקרה זה נפגעו בצורה בינונית ערכים מוגנים כמו פגיעה בריבונותה של מדינת ישראל וסיכון שלום הציבור ובטחונו. </w:t>
      </w:r>
    </w:p>
    <w:p w14:paraId="4ABCBAA2" w14:textId="77777777" w:rsidR="00CE7F0A" w:rsidRDefault="00CE7F0A">
      <w:pPr>
        <w:spacing w:line="360" w:lineRule="auto"/>
        <w:ind w:left="720"/>
        <w:contextualSpacing/>
        <w:jc w:val="both"/>
        <w:rPr>
          <w:rFonts w:ascii="Arial" w:hAnsi="Arial" w:cs="FrankRuehl"/>
          <w:sz w:val="28"/>
          <w:szCs w:val="28"/>
        </w:rPr>
      </w:pPr>
      <w:r>
        <w:rPr>
          <w:rFonts w:ascii="Arial" w:hAnsi="Arial" w:cs="FrankRuehl"/>
          <w:sz w:val="28"/>
          <w:szCs w:val="28"/>
          <w:rtl/>
        </w:rPr>
        <w:t>אשר למדיניות הענישה הנהוגה, מינעד הענישה בעבירות בנשק רחב, בין השאר בהתחשב בסוג העבירה (החזקה, נשיאה, סחר), סוג הנשק וכמותו. במקרה זה מדובר בעבירת החזקה והובלה של נשק, אין להתעלם מהעובדה כי הנשק היה טעון לכל הפחות בכדור אחד שנורה עת נבדקה תקינות הנשק, מה שמעיד על המסוכנות הרבה. כאשר אין לדעת לאיזה ידיים עשוי נשק זה להתגלגל ומה הנזק שעשוי להיגרם .</w:t>
      </w:r>
    </w:p>
    <w:p w14:paraId="4550A98D" w14:textId="77777777" w:rsidR="00CE7F0A" w:rsidRDefault="00CE7F0A">
      <w:pPr>
        <w:spacing w:line="360" w:lineRule="auto"/>
        <w:ind w:left="720"/>
        <w:contextualSpacing/>
        <w:jc w:val="both"/>
        <w:rPr>
          <w:rFonts w:ascii="Arial" w:hAnsi="Arial" w:cs="FrankRuehl"/>
          <w:sz w:val="28"/>
          <w:szCs w:val="28"/>
          <w:rtl/>
        </w:rPr>
      </w:pPr>
    </w:p>
    <w:p w14:paraId="428551C0" w14:textId="77777777" w:rsidR="00CE7F0A" w:rsidRDefault="00CE7F0A">
      <w:pPr>
        <w:spacing w:line="360" w:lineRule="auto"/>
        <w:ind w:left="720"/>
        <w:contextualSpacing/>
        <w:jc w:val="both"/>
        <w:rPr>
          <w:rFonts w:ascii="Arial" w:hAnsi="Arial" w:cs="FrankRuehl"/>
          <w:sz w:val="28"/>
          <w:szCs w:val="28"/>
          <w:rtl/>
        </w:rPr>
      </w:pPr>
      <w:r>
        <w:rPr>
          <w:rFonts w:ascii="Arial" w:hAnsi="Arial" w:cs="FrankRuehl"/>
          <w:sz w:val="28"/>
          <w:szCs w:val="28"/>
          <w:rtl/>
        </w:rPr>
        <w:t xml:space="preserve">לעניין זה ראו </w:t>
      </w:r>
      <w:hyperlink r:id="rId26" w:history="1">
        <w:r>
          <w:rPr>
            <w:rFonts w:ascii="Arial" w:hAnsi="Arial" w:cs="FrankRuehl"/>
            <w:color w:val="0000FF"/>
            <w:sz w:val="28"/>
            <w:szCs w:val="28"/>
            <w:u w:val="single"/>
            <w:rtl/>
          </w:rPr>
          <w:t>ע"פ 9702/16</w:t>
        </w:r>
      </w:hyperlink>
      <w:r>
        <w:rPr>
          <w:rFonts w:ascii="Arial" w:hAnsi="Arial" w:cs="FrankRuehl"/>
          <w:sz w:val="28"/>
          <w:szCs w:val="28"/>
          <w:rtl/>
        </w:rPr>
        <w:t xml:space="preserve"> </w:t>
      </w:r>
      <w:r>
        <w:rPr>
          <w:rFonts w:ascii="Arial" w:hAnsi="Arial" w:cs="Miriam"/>
          <w:rtl/>
        </w:rPr>
        <w:t>אבו אלוליאיה נ' מדינת ישראל</w:t>
      </w:r>
      <w:r>
        <w:rPr>
          <w:rFonts w:ascii="Arial" w:hAnsi="Arial" w:cs="FrankRuehl"/>
          <w:szCs w:val="28"/>
          <w:rtl/>
        </w:rPr>
        <w:t xml:space="preserve">, </w:t>
      </w:r>
      <w:r>
        <w:rPr>
          <w:sz w:val="22"/>
          <w:rtl/>
        </w:rPr>
        <w:t xml:space="preserve">[פורסם בנבו] </w:t>
      </w:r>
      <w:r>
        <w:rPr>
          <w:rFonts w:ascii="Arial" w:hAnsi="Arial" w:cs="FrankRuehl"/>
          <w:szCs w:val="28"/>
          <w:rtl/>
        </w:rPr>
        <w:t>באותו מקרה הורשע הנאשם בעבירה של נשיאת והובלת תת מקלע מאולתר ותחמושת בלא רשות. הוא נדון ל-18 חודשי מאסר בפועל וכך נקבע:</w:t>
      </w:r>
    </w:p>
    <w:p w14:paraId="0F9E1030" w14:textId="77777777" w:rsidR="00CE7F0A" w:rsidRDefault="00CE7F0A">
      <w:pPr>
        <w:overflowPunct w:val="0"/>
        <w:adjustRightInd w:val="0"/>
        <w:ind w:left="1440" w:right="720"/>
        <w:jc w:val="both"/>
        <w:rPr>
          <w:rFonts w:ascii="Garamond" w:hAnsi="Garamond" w:cs="FrankRuehl"/>
          <w:spacing w:val="10"/>
          <w:szCs w:val="28"/>
          <w:rtl/>
        </w:rPr>
      </w:pPr>
      <w:r>
        <w:rPr>
          <w:rFonts w:ascii="Garamond" w:hAnsi="Garamond" w:cs="FrankRuehl"/>
          <w:spacing w:val="10"/>
          <w:sz w:val="28"/>
          <w:szCs w:val="28"/>
          <w:rtl/>
        </w:rPr>
        <w:t>"</w:t>
      </w:r>
      <w:r>
        <w:rPr>
          <w:rFonts w:ascii="Garamond" w:hAnsi="Garamond" w:cs="FrankRuehl" w:hint="eastAsia"/>
          <w:spacing w:val="10"/>
          <w:sz w:val="28"/>
          <w:szCs w:val="28"/>
          <w:rtl/>
        </w:rPr>
        <w:t>ככלל</w:t>
      </w:r>
      <w:r>
        <w:rPr>
          <w:rFonts w:ascii="Garamond" w:hAnsi="Garamond" w:cs="FrankRuehl"/>
          <w:spacing w:val="10"/>
          <w:sz w:val="28"/>
          <w:szCs w:val="28"/>
          <w:rtl/>
        </w:rPr>
        <w:t xml:space="preserve">, </w:t>
      </w:r>
      <w:r>
        <w:rPr>
          <w:rFonts w:ascii="Garamond" w:hAnsi="Garamond" w:cs="FrankRuehl" w:hint="eastAsia"/>
          <w:spacing w:val="10"/>
          <w:sz w:val="28"/>
          <w:szCs w:val="28"/>
          <w:rtl/>
        </w:rPr>
        <w:t>בפסיקת</w:t>
      </w:r>
      <w:r>
        <w:rPr>
          <w:rFonts w:ascii="Garamond" w:hAnsi="Garamond" w:cs="FrankRuehl"/>
          <w:spacing w:val="10"/>
          <w:sz w:val="28"/>
          <w:szCs w:val="28"/>
          <w:rtl/>
        </w:rPr>
        <w:t xml:space="preserve"> </w:t>
      </w:r>
      <w:r>
        <w:rPr>
          <w:rFonts w:ascii="Garamond" w:hAnsi="Garamond" w:cs="FrankRuehl" w:hint="eastAsia"/>
          <w:spacing w:val="10"/>
          <w:sz w:val="28"/>
          <w:szCs w:val="28"/>
          <w:rtl/>
        </w:rPr>
        <w:t>בית</w:t>
      </w:r>
      <w:r>
        <w:rPr>
          <w:rFonts w:ascii="Garamond" w:hAnsi="Garamond" w:cs="FrankRuehl"/>
          <w:spacing w:val="10"/>
          <w:sz w:val="28"/>
          <w:szCs w:val="28"/>
          <w:rtl/>
        </w:rPr>
        <w:t xml:space="preserve"> </w:t>
      </w:r>
      <w:r>
        <w:rPr>
          <w:rFonts w:ascii="Garamond" w:hAnsi="Garamond" w:cs="FrankRuehl" w:hint="eastAsia"/>
          <w:spacing w:val="10"/>
          <w:sz w:val="28"/>
          <w:szCs w:val="28"/>
          <w:rtl/>
        </w:rPr>
        <w:t>משפט</w:t>
      </w:r>
      <w:r>
        <w:rPr>
          <w:rFonts w:ascii="Garamond" w:hAnsi="Garamond" w:cs="FrankRuehl"/>
          <w:spacing w:val="10"/>
          <w:sz w:val="28"/>
          <w:szCs w:val="28"/>
          <w:rtl/>
        </w:rPr>
        <w:t xml:space="preserve"> </w:t>
      </w:r>
      <w:r>
        <w:rPr>
          <w:rFonts w:ascii="Garamond" w:hAnsi="Garamond" w:cs="FrankRuehl" w:hint="eastAsia"/>
          <w:spacing w:val="10"/>
          <w:sz w:val="28"/>
          <w:szCs w:val="28"/>
          <w:rtl/>
        </w:rPr>
        <w:t>זה</w:t>
      </w:r>
      <w:r>
        <w:rPr>
          <w:rFonts w:ascii="Garamond" w:hAnsi="Garamond" w:cs="FrankRuehl"/>
          <w:spacing w:val="10"/>
          <w:sz w:val="28"/>
          <w:szCs w:val="28"/>
          <w:rtl/>
        </w:rPr>
        <w:t xml:space="preserve"> </w:t>
      </w:r>
      <w:r>
        <w:rPr>
          <w:rFonts w:ascii="Garamond" w:hAnsi="Garamond" w:cs="FrankRuehl" w:hint="eastAsia"/>
          <w:spacing w:val="10"/>
          <w:sz w:val="28"/>
          <w:szCs w:val="28"/>
          <w:rtl/>
        </w:rPr>
        <w:t>באה</w:t>
      </w:r>
      <w:r>
        <w:rPr>
          <w:rFonts w:ascii="Garamond" w:hAnsi="Garamond" w:cs="FrankRuehl"/>
          <w:spacing w:val="10"/>
          <w:sz w:val="28"/>
          <w:szCs w:val="28"/>
          <w:rtl/>
        </w:rPr>
        <w:t xml:space="preserve"> </w:t>
      </w:r>
      <w:r>
        <w:rPr>
          <w:rFonts w:ascii="Garamond" w:hAnsi="Garamond" w:cs="FrankRuehl" w:hint="eastAsia"/>
          <w:spacing w:val="10"/>
          <w:sz w:val="28"/>
          <w:szCs w:val="28"/>
          <w:rtl/>
        </w:rPr>
        <w:t>לידי</w:t>
      </w:r>
      <w:r>
        <w:rPr>
          <w:rFonts w:ascii="Garamond" w:hAnsi="Garamond" w:cs="FrankRuehl"/>
          <w:spacing w:val="10"/>
          <w:sz w:val="28"/>
          <w:szCs w:val="28"/>
          <w:rtl/>
        </w:rPr>
        <w:t xml:space="preserve"> </w:t>
      </w:r>
      <w:r>
        <w:rPr>
          <w:rFonts w:ascii="Garamond" w:hAnsi="Garamond" w:cs="FrankRuehl" w:hint="eastAsia"/>
          <w:spacing w:val="10"/>
          <w:sz w:val="28"/>
          <w:szCs w:val="28"/>
          <w:rtl/>
        </w:rPr>
        <w:t>ביטוי</w:t>
      </w:r>
      <w:r>
        <w:rPr>
          <w:rFonts w:ascii="Garamond" w:hAnsi="Garamond" w:cs="FrankRuehl"/>
          <w:spacing w:val="10"/>
          <w:sz w:val="28"/>
          <w:szCs w:val="28"/>
          <w:rtl/>
        </w:rPr>
        <w:t xml:space="preserve">, </w:t>
      </w:r>
      <w:r>
        <w:rPr>
          <w:rFonts w:ascii="Garamond" w:hAnsi="Garamond" w:cs="FrankRuehl" w:hint="eastAsia"/>
          <w:spacing w:val="10"/>
          <w:sz w:val="28"/>
          <w:szCs w:val="28"/>
          <w:rtl/>
        </w:rPr>
        <w:t>בשורה</w:t>
      </w:r>
      <w:r>
        <w:rPr>
          <w:rFonts w:ascii="Garamond" w:hAnsi="Garamond" w:cs="FrankRuehl"/>
          <w:spacing w:val="10"/>
          <w:sz w:val="28"/>
          <w:szCs w:val="28"/>
          <w:rtl/>
        </w:rPr>
        <w:t xml:space="preserve"> </w:t>
      </w:r>
      <w:r>
        <w:rPr>
          <w:rFonts w:ascii="Garamond" w:hAnsi="Garamond" w:cs="FrankRuehl" w:hint="eastAsia"/>
          <w:spacing w:val="10"/>
          <w:sz w:val="28"/>
          <w:szCs w:val="28"/>
          <w:rtl/>
        </w:rPr>
        <w:t>ארוכה</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פסקי</w:t>
      </w:r>
      <w:r>
        <w:rPr>
          <w:rFonts w:ascii="Garamond" w:hAnsi="Garamond" w:cs="FrankRuehl"/>
          <w:spacing w:val="10"/>
          <w:sz w:val="28"/>
          <w:szCs w:val="28"/>
          <w:rtl/>
        </w:rPr>
        <w:t xml:space="preserve"> </w:t>
      </w:r>
      <w:r>
        <w:rPr>
          <w:rFonts w:ascii="Garamond" w:hAnsi="Garamond" w:cs="FrankRuehl" w:hint="eastAsia"/>
          <w:spacing w:val="10"/>
          <w:sz w:val="28"/>
          <w:szCs w:val="28"/>
          <w:rtl/>
        </w:rPr>
        <w:t>דין</w:t>
      </w:r>
      <w:r>
        <w:rPr>
          <w:rFonts w:ascii="Garamond" w:hAnsi="Garamond" w:cs="FrankRuehl"/>
          <w:spacing w:val="10"/>
          <w:sz w:val="28"/>
          <w:szCs w:val="28"/>
          <w:rtl/>
        </w:rPr>
        <w:t xml:space="preserve">, </w:t>
      </w:r>
      <w:r>
        <w:rPr>
          <w:rFonts w:ascii="Garamond" w:hAnsi="Garamond" w:cs="FrankRuehl" w:hint="eastAsia"/>
          <w:spacing w:val="10"/>
          <w:sz w:val="28"/>
          <w:szCs w:val="28"/>
          <w:rtl/>
        </w:rPr>
        <w:t>מדיניות</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החמרה</w:t>
      </w:r>
      <w:r>
        <w:rPr>
          <w:rFonts w:ascii="Garamond" w:hAnsi="Garamond" w:cs="FrankRuehl"/>
          <w:spacing w:val="10"/>
          <w:sz w:val="28"/>
          <w:szCs w:val="28"/>
          <w:rtl/>
        </w:rPr>
        <w:t xml:space="preserve"> </w:t>
      </w:r>
      <w:r>
        <w:rPr>
          <w:rFonts w:ascii="Garamond" w:hAnsi="Garamond" w:cs="FrankRuehl" w:hint="eastAsia"/>
          <w:spacing w:val="10"/>
          <w:sz w:val="28"/>
          <w:szCs w:val="28"/>
          <w:rtl/>
        </w:rPr>
        <w:t>בענישה</w:t>
      </w:r>
      <w:r>
        <w:rPr>
          <w:rFonts w:ascii="Garamond" w:hAnsi="Garamond" w:cs="FrankRuehl"/>
          <w:spacing w:val="10"/>
          <w:sz w:val="28"/>
          <w:szCs w:val="28"/>
          <w:rtl/>
        </w:rPr>
        <w:t xml:space="preserve"> </w:t>
      </w:r>
      <w:r>
        <w:rPr>
          <w:rFonts w:ascii="Garamond" w:hAnsi="Garamond" w:cs="FrankRuehl" w:hint="eastAsia"/>
          <w:spacing w:val="10"/>
          <w:sz w:val="28"/>
          <w:szCs w:val="28"/>
          <w:rtl/>
        </w:rPr>
        <w:t>בעבירות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גם</w:t>
      </w:r>
      <w:r>
        <w:rPr>
          <w:rFonts w:ascii="Garamond" w:hAnsi="Garamond" w:cs="FrankRuehl"/>
          <w:spacing w:val="10"/>
          <w:sz w:val="28"/>
          <w:szCs w:val="28"/>
          <w:rtl/>
        </w:rPr>
        <w:t xml:space="preserve"> </w:t>
      </w:r>
      <w:r>
        <w:rPr>
          <w:rFonts w:ascii="Garamond" w:hAnsi="Garamond" w:cs="FrankRuehl" w:hint="eastAsia"/>
          <w:spacing w:val="10"/>
          <w:sz w:val="28"/>
          <w:szCs w:val="28"/>
          <w:rtl/>
        </w:rPr>
        <w:t>כאשר</w:t>
      </w:r>
      <w:r>
        <w:rPr>
          <w:rFonts w:ascii="Garamond" w:hAnsi="Garamond" w:cs="FrankRuehl"/>
          <w:spacing w:val="10"/>
          <w:sz w:val="28"/>
          <w:szCs w:val="28"/>
          <w:rtl/>
        </w:rPr>
        <w:t xml:space="preserve"> </w:t>
      </w:r>
      <w:r>
        <w:rPr>
          <w:rFonts w:ascii="Garamond" w:hAnsi="Garamond" w:cs="FrankRuehl" w:hint="eastAsia"/>
          <w:spacing w:val="10"/>
          <w:sz w:val="28"/>
          <w:szCs w:val="28"/>
          <w:rtl/>
        </w:rPr>
        <w:t>מדובר</w:t>
      </w:r>
      <w:r>
        <w:rPr>
          <w:rFonts w:ascii="Garamond" w:hAnsi="Garamond" w:cs="FrankRuehl"/>
          <w:spacing w:val="10"/>
          <w:sz w:val="28"/>
          <w:szCs w:val="28"/>
          <w:rtl/>
        </w:rPr>
        <w:t xml:space="preserve"> </w:t>
      </w:r>
      <w:r>
        <w:rPr>
          <w:rFonts w:ascii="Garamond" w:hAnsi="Garamond" w:cs="FrankRuehl" w:hint="eastAsia"/>
          <w:spacing w:val="10"/>
          <w:sz w:val="28"/>
          <w:szCs w:val="28"/>
          <w:rtl/>
        </w:rPr>
        <w:t>בעבירות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החזקה</w:t>
      </w:r>
      <w:r>
        <w:rPr>
          <w:rFonts w:ascii="Garamond" w:hAnsi="Garamond" w:cs="FrankRuehl"/>
          <w:spacing w:val="10"/>
          <w:sz w:val="28"/>
          <w:szCs w:val="28"/>
          <w:rtl/>
        </w:rPr>
        <w:t xml:space="preserve"> </w:t>
      </w:r>
      <w:r>
        <w:rPr>
          <w:rFonts w:ascii="Garamond" w:hAnsi="Garamond" w:cs="FrankRuehl" w:hint="eastAsia"/>
          <w:spacing w:val="10"/>
          <w:sz w:val="28"/>
          <w:szCs w:val="28"/>
          <w:rtl/>
        </w:rPr>
        <w:t>ונשיאת</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שלא</w:t>
      </w:r>
      <w:r>
        <w:rPr>
          <w:rFonts w:ascii="Garamond" w:hAnsi="Garamond" w:cs="FrankRuehl"/>
          <w:spacing w:val="10"/>
          <w:sz w:val="28"/>
          <w:szCs w:val="28"/>
          <w:rtl/>
        </w:rPr>
        <w:t xml:space="preserve"> </w:t>
      </w:r>
      <w:r>
        <w:rPr>
          <w:rFonts w:ascii="Garamond" w:hAnsi="Garamond" w:cs="FrankRuehl" w:hint="eastAsia"/>
          <w:spacing w:val="10"/>
          <w:sz w:val="28"/>
          <w:szCs w:val="28"/>
          <w:rtl/>
        </w:rPr>
        <w:t>כדין</w:t>
      </w:r>
      <w:r>
        <w:rPr>
          <w:rFonts w:ascii="Garamond" w:hAnsi="Garamond" w:cs="FrankRuehl"/>
          <w:spacing w:val="10"/>
          <w:sz w:val="28"/>
          <w:szCs w:val="28"/>
          <w:rtl/>
        </w:rPr>
        <w:t xml:space="preserve"> </w:t>
      </w:r>
      <w:r>
        <w:rPr>
          <w:rFonts w:ascii="Garamond" w:hAnsi="Garamond" w:cs="FrankRuehl" w:hint="eastAsia"/>
          <w:spacing w:val="10"/>
          <w:sz w:val="28"/>
          <w:szCs w:val="28"/>
          <w:rtl/>
        </w:rPr>
        <w:t>בלבד</w:t>
      </w:r>
      <w:r>
        <w:rPr>
          <w:rFonts w:ascii="Garamond" w:hAnsi="Garamond" w:cs="FrankRuehl"/>
          <w:spacing w:val="10"/>
          <w:sz w:val="28"/>
          <w:szCs w:val="28"/>
          <w:rtl/>
        </w:rPr>
        <w:t xml:space="preserve">, </w:t>
      </w:r>
      <w:r>
        <w:rPr>
          <w:rFonts w:ascii="Garamond" w:hAnsi="Garamond" w:cs="FrankRuehl" w:hint="eastAsia"/>
          <w:spacing w:val="10"/>
          <w:sz w:val="28"/>
          <w:szCs w:val="28"/>
          <w:rtl/>
        </w:rPr>
        <w:t>בית</w:t>
      </w:r>
      <w:r>
        <w:rPr>
          <w:rFonts w:ascii="Garamond" w:hAnsi="Garamond" w:cs="FrankRuehl"/>
          <w:spacing w:val="10"/>
          <w:sz w:val="28"/>
          <w:szCs w:val="28"/>
          <w:rtl/>
        </w:rPr>
        <w:t xml:space="preserve"> </w:t>
      </w:r>
      <w:r>
        <w:rPr>
          <w:rFonts w:ascii="Garamond" w:hAnsi="Garamond" w:cs="FrankRuehl" w:hint="eastAsia"/>
          <w:spacing w:val="10"/>
          <w:sz w:val="28"/>
          <w:szCs w:val="28"/>
          <w:rtl/>
        </w:rPr>
        <w:t>משפט</w:t>
      </w:r>
      <w:r>
        <w:rPr>
          <w:rFonts w:ascii="Garamond" w:hAnsi="Garamond" w:cs="FrankRuehl"/>
          <w:spacing w:val="10"/>
          <w:sz w:val="28"/>
          <w:szCs w:val="28"/>
          <w:rtl/>
        </w:rPr>
        <w:t xml:space="preserve"> </w:t>
      </w:r>
      <w:r>
        <w:rPr>
          <w:rFonts w:ascii="Garamond" w:hAnsi="Garamond" w:cs="FrankRuehl" w:hint="eastAsia"/>
          <w:spacing w:val="10"/>
          <w:sz w:val="28"/>
          <w:szCs w:val="28"/>
          <w:rtl/>
        </w:rPr>
        <w:t>זה</w:t>
      </w:r>
      <w:r>
        <w:rPr>
          <w:rFonts w:ascii="Garamond" w:hAnsi="Garamond" w:cs="FrankRuehl"/>
          <w:spacing w:val="10"/>
          <w:sz w:val="28"/>
          <w:szCs w:val="28"/>
          <w:rtl/>
        </w:rPr>
        <w:t xml:space="preserve"> </w:t>
      </w:r>
      <w:r>
        <w:rPr>
          <w:rFonts w:ascii="Garamond" w:hAnsi="Garamond" w:cs="FrankRuehl" w:hint="eastAsia"/>
          <w:spacing w:val="10"/>
          <w:sz w:val="28"/>
          <w:szCs w:val="28"/>
          <w:rtl/>
        </w:rPr>
        <w:t>עמד</w:t>
      </w:r>
      <w:r>
        <w:rPr>
          <w:rFonts w:ascii="Garamond" w:hAnsi="Garamond" w:cs="FrankRuehl"/>
          <w:spacing w:val="10"/>
          <w:sz w:val="28"/>
          <w:szCs w:val="28"/>
          <w:rtl/>
        </w:rPr>
        <w:t xml:space="preserve"> </w:t>
      </w:r>
      <w:r>
        <w:rPr>
          <w:rFonts w:ascii="Garamond" w:hAnsi="Garamond" w:cs="FrankRuehl" w:hint="eastAsia"/>
          <w:spacing w:val="10"/>
          <w:sz w:val="28"/>
          <w:szCs w:val="28"/>
          <w:rtl/>
        </w:rPr>
        <w:t>לא</w:t>
      </w:r>
      <w:r>
        <w:rPr>
          <w:rFonts w:ascii="Garamond" w:hAnsi="Garamond" w:cs="FrankRuehl"/>
          <w:spacing w:val="10"/>
          <w:sz w:val="28"/>
          <w:szCs w:val="28"/>
          <w:rtl/>
        </w:rPr>
        <w:t xml:space="preserve"> </w:t>
      </w:r>
      <w:r>
        <w:rPr>
          <w:rFonts w:ascii="Garamond" w:hAnsi="Garamond" w:cs="FrankRuehl" w:hint="eastAsia"/>
          <w:spacing w:val="10"/>
          <w:sz w:val="28"/>
          <w:szCs w:val="28"/>
          <w:rtl/>
        </w:rPr>
        <w:t>פעם</w:t>
      </w:r>
      <w:r>
        <w:rPr>
          <w:rFonts w:ascii="Garamond" w:hAnsi="Garamond" w:cs="FrankRuehl"/>
          <w:spacing w:val="10"/>
          <w:sz w:val="28"/>
          <w:szCs w:val="28"/>
          <w:rtl/>
        </w:rPr>
        <w:t xml:space="preserve"> </w:t>
      </w:r>
      <w:r>
        <w:rPr>
          <w:rFonts w:ascii="Garamond" w:hAnsi="Garamond" w:cs="FrankRuehl" w:hint="eastAsia"/>
          <w:spacing w:val="10"/>
          <w:sz w:val="28"/>
          <w:szCs w:val="28"/>
          <w:rtl/>
        </w:rPr>
        <w:t>על</w:t>
      </w:r>
      <w:r>
        <w:rPr>
          <w:rFonts w:ascii="Garamond" w:hAnsi="Garamond" w:cs="FrankRuehl"/>
          <w:spacing w:val="10"/>
          <w:sz w:val="28"/>
          <w:szCs w:val="28"/>
          <w:rtl/>
        </w:rPr>
        <w:t xml:space="preserve"> </w:t>
      </w:r>
      <w:r>
        <w:rPr>
          <w:rFonts w:ascii="Garamond" w:hAnsi="Garamond" w:cs="FrankRuehl" w:hint="eastAsia"/>
          <w:spacing w:val="10"/>
          <w:sz w:val="28"/>
          <w:szCs w:val="28"/>
          <w:rtl/>
        </w:rPr>
        <w:t>החומרה</w:t>
      </w:r>
      <w:r>
        <w:rPr>
          <w:rFonts w:ascii="Garamond" w:hAnsi="Garamond" w:cs="FrankRuehl"/>
          <w:spacing w:val="10"/>
          <w:sz w:val="28"/>
          <w:szCs w:val="28"/>
          <w:rtl/>
        </w:rPr>
        <w:t xml:space="preserve"> </w:t>
      </w:r>
      <w:r>
        <w:rPr>
          <w:rFonts w:ascii="Garamond" w:hAnsi="Garamond" w:cs="FrankRuehl" w:hint="eastAsia"/>
          <w:spacing w:val="10"/>
          <w:sz w:val="28"/>
          <w:szCs w:val="28"/>
          <w:rtl/>
        </w:rPr>
        <w:t>הרבה</w:t>
      </w:r>
      <w:r>
        <w:rPr>
          <w:rFonts w:ascii="Garamond" w:hAnsi="Garamond" w:cs="FrankRuehl"/>
          <w:spacing w:val="10"/>
          <w:sz w:val="28"/>
          <w:szCs w:val="28"/>
          <w:rtl/>
        </w:rPr>
        <w:t xml:space="preserve"> </w:t>
      </w:r>
      <w:r>
        <w:rPr>
          <w:rFonts w:ascii="Garamond" w:hAnsi="Garamond" w:cs="FrankRuehl" w:hint="eastAsia"/>
          <w:spacing w:val="10"/>
          <w:sz w:val="28"/>
          <w:szCs w:val="28"/>
          <w:rtl/>
        </w:rPr>
        <w:t>הטמונה</w:t>
      </w:r>
      <w:r>
        <w:rPr>
          <w:rFonts w:ascii="Garamond" w:hAnsi="Garamond" w:cs="FrankRuehl"/>
          <w:spacing w:val="10"/>
          <w:sz w:val="28"/>
          <w:szCs w:val="28"/>
          <w:rtl/>
        </w:rPr>
        <w:t xml:space="preserve"> </w:t>
      </w:r>
      <w:r>
        <w:rPr>
          <w:rFonts w:ascii="Garamond" w:hAnsi="Garamond" w:cs="FrankRuehl" w:hint="eastAsia"/>
          <w:spacing w:val="10"/>
          <w:sz w:val="28"/>
          <w:szCs w:val="28"/>
          <w:rtl/>
        </w:rPr>
        <w:t>בעבירות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אלו</w:t>
      </w:r>
      <w:r>
        <w:rPr>
          <w:rFonts w:ascii="Garamond" w:hAnsi="Garamond" w:cs="FrankRuehl"/>
          <w:spacing w:val="10"/>
          <w:sz w:val="28"/>
          <w:szCs w:val="28"/>
          <w:rtl/>
        </w:rPr>
        <w:t xml:space="preserve"> </w:t>
      </w:r>
      <w:r>
        <w:rPr>
          <w:rFonts w:ascii="Garamond" w:hAnsi="Garamond" w:cs="FrankRuehl" w:hint="eastAsia"/>
          <w:spacing w:val="10"/>
          <w:sz w:val="28"/>
          <w:szCs w:val="28"/>
          <w:rtl/>
        </w:rPr>
        <w:t>ועל</w:t>
      </w:r>
      <w:r>
        <w:rPr>
          <w:rFonts w:ascii="Garamond" w:hAnsi="Garamond" w:cs="FrankRuehl"/>
          <w:spacing w:val="10"/>
          <w:sz w:val="28"/>
          <w:szCs w:val="28"/>
          <w:rtl/>
        </w:rPr>
        <w:t xml:space="preserve"> </w:t>
      </w:r>
      <w:r>
        <w:rPr>
          <w:rFonts w:ascii="Garamond" w:hAnsi="Garamond" w:cs="FrankRuehl" w:hint="eastAsia"/>
          <w:spacing w:val="10"/>
          <w:sz w:val="28"/>
          <w:szCs w:val="28"/>
          <w:rtl/>
        </w:rPr>
        <w:t>הצורך</w:t>
      </w:r>
      <w:r>
        <w:rPr>
          <w:rFonts w:ascii="Garamond" w:hAnsi="Garamond" w:cs="FrankRuehl"/>
          <w:spacing w:val="10"/>
          <w:sz w:val="28"/>
          <w:szCs w:val="28"/>
          <w:rtl/>
        </w:rPr>
        <w:t xml:space="preserve"> </w:t>
      </w:r>
      <w:r>
        <w:rPr>
          <w:rFonts w:ascii="Garamond" w:hAnsi="Garamond" w:cs="FrankRuehl" w:hint="eastAsia"/>
          <w:spacing w:val="10"/>
          <w:sz w:val="28"/>
          <w:szCs w:val="28"/>
          <w:rtl/>
        </w:rPr>
        <w:t>להרתיע</w:t>
      </w:r>
      <w:r>
        <w:rPr>
          <w:rFonts w:ascii="Garamond" w:hAnsi="Garamond" w:cs="FrankRuehl"/>
          <w:spacing w:val="10"/>
          <w:sz w:val="28"/>
          <w:szCs w:val="28"/>
          <w:rtl/>
        </w:rPr>
        <w:t xml:space="preserve"> </w:t>
      </w:r>
      <w:r>
        <w:rPr>
          <w:rFonts w:ascii="Garamond" w:hAnsi="Garamond" w:cs="FrankRuehl" w:hint="eastAsia"/>
          <w:spacing w:val="10"/>
          <w:sz w:val="28"/>
          <w:szCs w:val="28"/>
          <w:rtl/>
        </w:rPr>
        <w:t>מפניהן</w:t>
      </w:r>
      <w:r>
        <w:rPr>
          <w:rFonts w:ascii="Garamond" w:hAnsi="Garamond" w:cs="FrankRuehl"/>
          <w:spacing w:val="10"/>
          <w:sz w:val="28"/>
          <w:szCs w:val="28"/>
          <w:rtl/>
        </w:rPr>
        <w:t xml:space="preserve"> </w:t>
      </w:r>
      <w:r>
        <w:rPr>
          <w:rFonts w:ascii="Garamond" w:hAnsi="Garamond" w:cs="FrankRuehl" w:hint="eastAsia"/>
          <w:spacing w:val="10"/>
          <w:sz w:val="28"/>
          <w:szCs w:val="28"/>
          <w:rtl/>
        </w:rPr>
        <w:t>בדרך</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הטלת</w:t>
      </w:r>
      <w:r>
        <w:rPr>
          <w:rFonts w:ascii="Garamond" w:hAnsi="Garamond" w:cs="FrankRuehl"/>
          <w:spacing w:val="10"/>
          <w:sz w:val="28"/>
          <w:szCs w:val="28"/>
          <w:rtl/>
        </w:rPr>
        <w:t xml:space="preserve"> </w:t>
      </w:r>
      <w:r>
        <w:rPr>
          <w:rFonts w:ascii="Garamond" w:hAnsi="Garamond" w:cs="FrankRuehl" w:hint="eastAsia"/>
          <w:spacing w:val="10"/>
          <w:sz w:val="28"/>
          <w:szCs w:val="28"/>
          <w:rtl/>
        </w:rPr>
        <w:t>עונשי</w:t>
      </w:r>
      <w:r>
        <w:rPr>
          <w:rFonts w:ascii="Garamond" w:hAnsi="Garamond" w:cs="FrankRuehl"/>
          <w:spacing w:val="10"/>
          <w:sz w:val="28"/>
          <w:szCs w:val="28"/>
          <w:rtl/>
        </w:rPr>
        <w:t xml:space="preserve"> </w:t>
      </w:r>
      <w:r>
        <w:rPr>
          <w:rFonts w:ascii="Garamond" w:hAnsi="Garamond" w:cs="FrankRuehl" w:hint="eastAsia"/>
          <w:spacing w:val="10"/>
          <w:sz w:val="28"/>
          <w:szCs w:val="28"/>
          <w:rtl/>
        </w:rPr>
        <w:t>מאסר</w:t>
      </w:r>
      <w:r>
        <w:rPr>
          <w:rFonts w:ascii="Garamond" w:hAnsi="Garamond" w:cs="FrankRuehl"/>
          <w:spacing w:val="10"/>
          <w:sz w:val="28"/>
          <w:szCs w:val="28"/>
          <w:rtl/>
        </w:rPr>
        <w:t xml:space="preserve">, </w:t>
      </w:r>
      <w:r>
        <w:rPr>
          <w:rFonts w:ascii="Garamond" w:hAnsi="Garamond" w:cs="FrankRuehl" w:hint="eastAsia"/>
          <w:spacing w:val="10"/>
          <w:sz w:val="28"/>
          <w:szCs w:val="28"/>
          <w:rtl/>
        </w:rPr>
        <w:t>גם</w:t>
      </w:r>
      <w:r>
        <w:rPr>
          <w:rFonts w:ascii="Garamond" w:hAnsi="Garamond" w:cs="FrankRuehl"/>
          <w:spacing w:val="10"/>
          <w:sz w:val="28"/>
          <w:szCs w:val="28"/>
          <w:rtl/>
        </w:rPr>
        <w:t xml:space="preserve"> </w:t>
      </w:r>
      <w:r>
        <w:rPr>
          <w:rFonts w:ascii="Garamond" w:hAnsi="Garamond" w:cs="FrankRuehl" w:hint="eastAsia"/>
          <w:spacing w:val="10"/>
          <w:sz w:val="28"/>
          <w:szCs w:val="28"/>
          <w:rtl/>
        </w:rPr>
        <w:t>על</w:t>
      </w:r>
      <w:r>
        <w:rPr>
          <w:rFonts w:ascii="Garamond" w:hAnsi="Garamond" w:cs="FrankRuehl"/>
          <w:spacing w:val="10"/>
          <w:sz w:val="28"/>
          <w:szCs w:val="28"/>
          <w:rtl/>
        </w:rPr>
        <w:t xml:space="preserve"> </w:t>
      </w:r>
      <w:r>
        <w:rPr>
          <w:rFonts w:ascii="Garamond" w:hAnsi="Garamond" w:cs="FrankRuehl" w:hint="eastAsia"/>
          <w:spacing w:val="10"/>
          <w:sz w:val="28"/>
          <w:szCs w:val="28"/>
          <w:rtl/>
        </w:rPr>
        <w:t>נאשם</w:t>
      </w:r>
      <w:r>
        <w:rPr>
          <w:rFonts w:ascii="Garamond" w:hAnsi="Garamond" w:cs="FrankRuehl"/>
          <w:spacing w:val="10"/>
          <w:sz w:val="28"/>
          <w:szCs w:val="28"/>
          <w:rtl/>
        </w:rPr>
        <w:t xml:space="preserve"> </w:t>
      </w:r>
      <w:r>
        <w:rPr>
          <w:rFonts w:ascii="Garamond" w:hAnsi="Garamond" w:cs="FrankRuehl" w:hint="eastAsia"/>
          <w:spacing w:val="10"/>
          <w:sz w:val="28"/>
          <w:szCs w:val="28"/>
          <w:rtl/>
        </w:rPr>
        <w:t>שאין</w:t>
      </w:r>
      <w:r>
        <w:rPr>
          <w:rFonts w:ascii="Garamond" w:hAnsi="Garamond" w:cs="FrankRuehl"/>
          <w:spacing w:val="10"/>
          <w:sz w:val="28"/>
          <w:szCs w:val="28"/>
          <w:rtl/>
        </w:rPr>
        <w:t xml:space="preserve"> </w:t>
      </w:r>
      <w:r>
        <w:rPr>
          <w:rFonts w:ascii="Garamond" w:hAnsi="Garamond" w:cs="FrankRuehl" w:hint="eastAsia"/>
          <w:spacing w:val="10"/>
          <w:sz w:val="28"/>
          <w:szCs w:val="28"/>
          <w:rtl/>
        </w:rPr>
        <w:t>לו</w:t>
      </w:r>
      <w:r>
        <w:rPr>
          <w:rFonts w:ascii="Garamond" w:hAnsi="Garamond" w:cs="FrankRuehl"/>
          <w:spacing w:val="10"/>
          <w:sz w:val="28"/>
          <w:szCs w:val="28"/>
          <w:rtl/>
        </w:rPr>
        <w:t xml:space="preserve"> </w:t>
      </w:r>
      <w:r>
        <w:rPr>
          <w:rFonts w:ascii="Garamond" w:hAnsi="Garamond" w:cs="FrankRuehl" w:hint="eastAsia"/>
          <w:spacing w:val="10"/>
          <w:sz w:val="28"/>
          <w:szCs w:val="28"/>
          <w:rtl/>
        </w:rPr>
        <w:t>עבר</w:t>
      </w:r>
      <w:r>
        <w:rPr>
          <w:rFonts w:ascii="Garamond" w:hAnsi="Garamond" w:cs="FrankRuehl"/>
          <w:spacing w:val="10"/>
          <w:sz w:val="28"/>
          <w:szCs w:val="28"/>
          <w:rtl/>
        </w:rPr>
        <w:t xml:space="preserve"> </w:t>
      </w:r>
      <w:r>
        <w:rPr>
          <w:rFonts w:ascii="Garamond" w:hAnsi="Garamond" w:cs="FrankRuehl" w:hint="eastAsia"/>
          <w:spacing w:val="10"/>
          <w:sz w:val="28"/>
          <w:szCs w:val="28"/>
          <w:rtl/>
        </w:rPr>
        <w:t>פלילי</w:t>
      </w:r>
      <w:r>
        <w:rPr>
          <w:rFonts w:ascii="Garamond" w:hAnsi="Garamond" w:cs="FrankRuehl"/>
          <w:spacing w:val="10"/>
          <w:sz w:val="28"/>
          <w:szCs w:val="28"/>
          <w:rtl/>
        </w:rPr>
        <w:t xml:space="preserve"> </w:t>
      </w:r>
      <w:r>
        <w:rPr>
          <w:rFonts w:ascii="Garamond" w:hAnsi="Garamond" w:cs="FrankRuehl" w:hint="eastAsia"/>
          <w:spacing w:val="10"/>
          <w:sz w:val="28"/>
          <w:szCs w:val="28"/>
          <w:rtl/>
        </w:rPr>
        <w:t>מכביד</w:t>
      </w:r>
      <w:r>
        <w:rPr>
          <w:rFonts w:ascii="Garamond" w:hAnsi="Garamond" w:cs="FrankRuehl"/>
          <w:spacing w:val="10"/>
          <w:sz w:val="28"/>
          <w:szCs w:val="28"/>
          <w:rtl/>
        </w:rPr>
        <w:t xml:space="preserve">... </w:t>
      </w:r>
      <w:r>
        <w:rPr>
          <w:rFonts w:ascii="Garamond" w:hAnsi="Garamond" w:cs="FrankRuehl" w:hint="eastAsia"/>
          <w:spacing w:val="10"/>
          <w:sz w:val="28"/>
          <w:szCs w:val="28"/>
          <w:rtl/>
        </w:rPr>
        <w:t>במסגרת</w:t>
      </w:r>
      <w:r>
        <w:rPr>
          <w:rFonts w:ascii="Garamond" w:hAnsi="Garamond" w:cs="FrankRuehl"/>
          <w:spacing w:val="10"/>
          <w:sz w:val="28"/>
          <w:szCs w:val="28"/>
          <w:rtl/>
        </w:rPr>
        <w:t xml:space="preserve"> </w:t>
      </w:r>
      <w:r>
        <w:rPr>
          <w:rFonts w:ascii="Garamond" w:hAnsi="Garamond" w:cs="FrankRuehl" w:hint="eastAsia"/>
          <w:spacing w:val="10"/>
          <w:sz w:val="28"/>
          <w:szCs w:val="28"/>
          <w:rtl/>
        </w:rPr>
        <w:t>זו</w:t>
      </w:r>
      <w:r>
        <w:rPr>
          <w:rFonts w:ascii="Garamond" w:hAnsi="Garamond" w:cs="FrankRuehl"/>
          <w:spacing w:val="10"/>
          <w:sz w:val="28"/>
          <w:szCs w:val="28"/>
          <w:rtl/>
        </w:rPr>
        <w:t xml:space="preserve"> </w:t>
      </w:r>
      <w:r>
        <w:rPr>
          <w:rFonts w:ascii="Garamond" w:hAnsi="Garamond" w:cs="FrankRuehl" w:hint="eastAsia"/>
          <w:spacing w:val="10"/>
          <w:sz w:val="28"/>
          <w:szCs w:val="28"/>
          <w:rtl/>
        </w:rPr>
        <w:t>יש</w:t>
      </w:r>
      <w:r>
        <w:rPr>
          <w:rFonts w:ascii="Garamond" w:hAnsi="Garamond" w:cs="FrankRuehl"/>
          <w:spacing w:val="10"/>
          <w:sz w:val="28"/>
          <w:szCs w:val="28"/>
          <w:rtl/>
        </w:rPr>
        <w:t xml:space="preserve"> </w:t>
      </w:r>
      <w:r>
        <w:rPr>
          <w:rFonts w:ascii="Garamond" w:hAnsi="Garamond" w:cs="FrankRuehl" w:hint="eastAsia"/>
          <w:spacing w:val="10"/>
          <w:sz w:val="28"/>
          <w:szCs w:val="28"/>
          <w:rtl/>
        </w:rPr>
        <w:t>להביא</w:t>
      </w:r>
      <w:r>
        <w:rPr>
          <w:rFonts w:ascii="Garamond" w:hAnsi="Garamond" w:cs="FrankRuehl"/>
          <w:spacing w:val="10"/>
          <w:sz w:val="28"/>
          <w:szCs w:val="28"/>
          <w:rtl/>
        </w:rPr>
        <w:t xml:space="preserve"> </w:t>
      </w:r>
      <w:r>
        <w:rPr>
          <w:rFonts w:ascii="Garamond" w:hAnsi="Garamond" w:cs="FrankRuehl" w:hint="eastAsia"/>
          <w:spacing w:val="10"/>
          <w:sz w:val="28"/>
          <w:szCs w:val="28"/>
          <w:rtl/>
        </w:rPr>
        <w:t>בחשבון</w:t>
      </w:r>
      <w:r>
        <w:rPr>
          <w:rFonts w:ascii="Garamond" w:hAnsi="Garamond" w:cs="FrankRuehl"/>
          <w:spacing w:val="10"/>
          <w:sz w:val="28"/>
          <w:szCs w:val="28"/>
          <w:rtl/>
        </w:rPr>
        <w:t xml:space="preserve"> </w:t>
      </w:r>
      <w:r>
        <w:rPr>
          <w:rFonts w:ascii="Garamond" w:hAnsi="Garamond" w:cs="FrankRuehl" w:hint="eastAsia"/>
          <w:spacing w:val="10"/>
          <w:sz w:val="28"/>
          <w:szCs w:val="28"/>
          <w:rtl/>
        </w:rPr>
        <w:t>כי</w:t>
      </w:r>
      <w:r>
        <w:rPr>
          <w:rFonts w:ascii="Garamond" w:hAnsi="Garamond" w:cs="FrankRuehl"/>
          <w:spacing w:val="10"/>
          <w:sz w:val="28"/>
          <w:szCs w:val="28"/>
          <w:rtl/>
        </w:rPr>
        <w:t xml:space="preserve"> </w:t>
      </w:r>
      <w:r>
        <w:rPr>
          <w:rFonts w:ascii="Garamond" w:hAnsi="Garamond" w:cs="FrankRuehl" w:hint="eastAsia"/>
          <w:spacing w:val="10"/>
          <w:sz w:val="28"/>
          <w:szCs w:val="28"/>
          <w:rtl/>
        </w:rPr>
        <w:t>גם</w:t>
      </w:r>
      <w:r>
        <w:rPr>
          <w:rFonts w:ascii="Garamond" w:hAnsi="Garamond" w:cs="FrankRuehl"/>
          <w:spacing w:val="10"/>
          <w:sz w:val="28"/>
          <w:szCs w:val="28"/>
          <w:rtl/>
        </w:rPr>
        <w:t xml:space="preserve"> </w:t>
      </w:r>
      <w:r>
        <w:rPr>
          <w:rFonts w:ascii="Garamond" w:hAnsi="Garamond" w:cs="FrankRuehl" w:hint="eastAsia"/>
          <w:spacing w:val="10"/>
          <w:sz w:val="28"/>
          <w:szCs w:val="28"/>
          <w:rtl/>
        </w:rPr>
        <w:t>פעילות</w:t>
      </w:r>
      <w:r>
        <w:rPr>
          <w:rFonts w:ascii="Garamond" w:hAnsi="Garamond" w:cs="FrankRuehl"/>
          <w:spacing w:val="10"/>
          <w:sz w:val="28"/>
          <w:szCs w:val="28"/>
          <w:rtl/>
        </w:rPr>
        <w:t xml:space="preserve"> </w:t>
      </w:r>
      <w:r>
        <w:rPr>
          <w:rFonts w:ascii="Garamond" w:hAnsi="Garamond" w:cs="FrankRuehl" w:hint="eastAsia"/>
          <w:spacing w:val="10"/>
          <w:sz w:val="28"/>
          <w:szCs w:val="28"/>
          <w:rtl/>
        </w:rPr>
        <w:t>עבריינית</w:t>
      </w:r>
      <w:r>
        <w:rPr>
          <w:rFonts w:ascii="Garamond" w:hAnsi="Garamond" w:cs="FrankRuehl"/>
          <w:spacing w:val="10"/>
          <w:sz w:val="28"/>
          <w:szCs w:val="28"/>
          <w:rtl/>
        </w:rPr>
        <w:t xml:space="preserve"> </w:t>
      </w:r>
      <w:r>
        <w:rPr>
          <w:rFonts w:ascii="Garamond" w:hAnsi="Garamond" w:cs="FrankRuehl" w:hint="eastAsia"/>
          <w:spacing w:val="10"/>
          <w:sz w:val="28"/>
          <w:szCs w:val="28"/>
          <w:rtl/>
        </w:rPr>
        <w:t>הכוללת</w:t>
      </w:r>
      <w:r>
        <w:rPr>
          <w:rFonts w:ascii="Garamond" w:hAnsi="Garamond" w:cs="FrankRuehl"/>
          <w:spacing w:val="10"/>
          <w:sz w:val="28"/>
          <w:szCs w:val="28"/>
          <w:rtl/>
        </w:rPr>
        <w:t xml:space="preserve"> </w:t>
      </w:r>
      <w:r>
        <w:rPr>
          <w:rFonts w:ascii="Garamond" w:hAnsi="Garamond" w:cs="FrankRuehl" w:hint="eastAsia"/>
          <w:spacing w:val="10"/>
          <w:sz w:val="28"/>
          <w:szCs w:val="28"/>
          <w:rtl/>
        </w:rPr>
        <w:t>העברת</w:t>
      </w:r>
      <w:r>
        <w:rPr>
          <w:rFonts w:ascii="Garamond" w:hAnsi="Garamond" w:cs="FrankRuehl"/>
          <w:spacing w:val="10"/>
          <w:sz w:val="28"/>
          <w:szCs w:val="28"/>
          <w:rtl/>
        </w:rPr>
        <w:t xml:space="preserve"> </w:t>
      </w:r>
      <w:r>
        <w:rPr>
          <w:rFonts w:ascii="Garamond" w:hAnsi="Garamond" w:cs="FrankRuehl" w:hint="eastAsia"/>
          <w:spacing w:val="10"/>
          <w:sz w:val="28"/>
          <w:szCs w:val="28"/>
          <w:rtl/>
        </w:rPr>
        <w:t>כלי</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ממקום</w:t>
      </w:r>
      <w:r>
        <w:rPr>
          <w:rFonts w:ascii="Garamond" w:hAnsi="Garamond" w:cs="FrankRuehl"/>
          <w:spacing w:val="10"/>
          <w:sz w:val="28"/>
          <w:szCs w:val="28"/>
          <w:rtl/>
        </w:rPr>
        <w:t xml:space="preserve"> </w:t>
      </w:r>
      <w:r>
        <w:rPr>
          <w:rFonts w:ascii="Garamond" w:hAnsi="Garamond" w:cs="FrankRuehl" w:hint="eastAsia"/>
          <w:spacing w:val="10"/>
          <w:sz w:val="28"/>
          <w:szCs w:val="28"/>
          <w:rtl/>
        </w:rPr>
        <w:t>למקום</w:t>
      </w:r>
      <w:r>
        <w:rPr>
          <w:rFonts w:ascii="Garamond" w:hAnsi="Garamond" w:cs="FrankRuehl"/>
          <w:spacing w:val="10"/>
          <w:sz w:val="28"/>
          <w:szCs w:val="28"/>
          <w:rtl/>
        </w:rPr>
        <w:t xml:space="preserve"> </w:t>
      </w:r>
      <w:r>
        <w:rPr>
          <w:rFonts w:ascii="Garamond" w:hAnsi="Garamond" w:cs="FrankRuehl" w:hint="eastAsia"/>
          <w:spacing w:val="10"/>
          <w:sz w:val="28"/>
          <w:szCs w:val="28"/>
          <w:rtl/>
        </w:rPr>
        <w:t>באופן</w:t>
      </w:r>
      <w:r>
        <w:rPr>
          <w:rFonts w:ascii="Garamond" w:hAnsi="Garamond" w:cs="FrankRuehl"/>
          <w:spacing w:val="10"/>
          <w:sz w:val="28"/>
          <w:szCs w:val="28"/>
          <w:rtl/>
        </w:rPr>
        <w:t xml:space="preserve"> </w:t>
      </w:r>
      <w:r>
        <w:rPr>
          <w:rFonts w:ascii="Garamond" w:hAnsi="Garamond" w:cs="FrankRuehl" w:hint="eastAsia"/>
          <w:spacing w:val="10"/>
          <w:sz w:val="28"/>
          <w:szCs w:val="28"/>
          <w:rtl/>
        </w:rPr>
        <w:t>בלתי</w:t>
      </w:r>
      <w:r>
        <w:rPr>
          <w:rFonts w:ascii="Garamond" w:hAnsi="Garamond" w:cs="FrankRuehl"/>
          <w:spacing w:val="10"/>
          <w:sz w:val="28"/>
          <w:szCs w:val="28"/>
          <w:rtl/>
        </w:rPr>
        <w:t xml:space="preserve"> </w:t>
      </w:r>
      <w:r>
        <w:rPr>
          <w:rFonts w:ascii="Garamond" w:hAnsi="Garamond" w:cs="FrankRuehl" w:hint="eastAsia"/>
          <w:spacing w:val="10"/>
          <w:sz w:val="28"/>
          <w:szCs w:val="28"/>
          <w:rtl/>
        </w:rPr>
        <w:t>חוקי</w:t>
      </w:r>
      <w:r>
        <w:rPr>
          <w:rFonts w:ascii="Garamond" w:hAnsi="Garamond" w:cs="FrankRuehl"/>
          <w:spacing w:val="10"/>
          <w:sz w:val="28"/>
          <w:szCs w:val="28"/>
          <w:rtl/>
        </w:rPr>
        <w:t xml:space="preserve"> </w:t>
      </w:r>
      <w:r>
        <w:rPr>
          <w:rFonts w:ascii="Garamond" w:hAnsi="Garamond" w:cs="FrankRuehl" w:hint="eastAsia"/>
          <w:spacing w:val="10"/>
          <w:sz w:val="28"/>
          <w:szCs w:val="28"/>
          <w:rtl/>
        </w:rPr>
        <w:t>לרשותו</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הנאשם</w:t>
      </w:r>
      <w:r>
        <w:rPr>
          <w:rFonts w:ascii="Garamond" w:hAnsi="Garamond" w:cs="FrankRuehl"/>
          <w:spacing w:val="10"/>
          <w:sz w:val="28"/>
          <w:szCs w:val="28"/>
          <w:rtl/>
        </w:rPr>
        <w:t xml:space="preserve"> </w:t>
      </w:r>
      <w:r>
        <w:rPr>
          <w:rFonts w:ascii="Garamond" w:hAnsi="Garamond" w:cs="FrankRuehl" w:hint="eastAsia"/>
          <w:spacing w:val="10"/>
          <w:sz w:val="28"/>
          <w:szCs w:val="28"/>
          <w:rtl/>
        </w:rPr>
        <w:t>והחזקתו</w:t>
      </w:r>
      <w:r>
        <w:rPr>
          <w:rFonts w:ascii="Garamond" w:hAnsi="Garamond" w:cs="FrankRuehl"/>
          <w:spacing w:val="10"/>
          <w:sz w:val="28"/>
          <w:szCs w:val="28"/>
          <w:rtl/>
        </w:rPr>
        <w:t xml:space="preserve"> </w:t>
      </w:r>
      <w:r>
        <w:rPr>
          <w:rFonts w:ascii="Garamond" w:hAnsi="Garamond" w:cs="FrankRuehl" w:hint="eastAsia"/>
          <w:spacing w:val="10"/>
          <w:sz w:val="28"/>
          <w:szCs w:val="28"/>
          <w:rtl/>
        </w:rPr>
        <w:t>בו</w:t>
      </w:r>
      <w:r>
        <w:rPr>
          <w:rFonts w:ascii="Garamond" w:hAnsi="Garamond" w:cs="FrankRuehl"/>
          <w:spacing w:val="10"/>
          <w:sz w:val="28"/>
          <w:szCs w:val="28"/>
          <w:rtl/>
        </w:rPr>
        <w:t xml:space="preserve"> </w:t>
      </w:r>
      <w:r>
        <w:rPr>
          <w:rFonts w:ascii="Garamond" w:hAnsi="Garamond" w:cs="FrankRuehl" w:hint="eastAsia"/>
          <w:spacing w:val="10"/>
          <w:sz w:val="28"/>
          <w:szCs w:val="28"/>
          <w:rtl/>
        </w:rPr>
        <w:t>למשך</w:t>
      </w:r>
      <w:r>
        <w:rPr>
          <w:rFonts w:ascii="Garamond" w:hAnsi="Garamond" w:cs="FrankRuehl"/>
          <w:spacing w:val="10"/>
          <w:sz w:val="28"/>
          <w:szCs w:val="28"/>
          <w:rtl/>
        </w:rPr>
        <w:t xml:space="preserve"> </w:t>
      </w:r>
      <w:r>
        <w:rPr>
          <w:rFonts w:ascii="Garamond" w:hAnsi="Garamond" w:cs="FrankRuehl" w:hint="eastAsia"/>
          <w:spacing w:val="10"/>
          <w:sz w:val="28"/>
          <w:szCs w:val="28"/>
          <w:rtl/>
        </w:rPr>
        <w:t>זמן</w:t>
      </w:r>
      <w:r>
        <w:rPr>
          <w:rFonts w:ascii="Garamond" w:hAnsi="Garamond" w:cs="FrankRuehl"/>
          <w:spacing w:val="10"/>
          <w:sz w:val="28"/>
          <w:szCs w:val="28"/>
          <w:rtl/>
        </w:rPr>
        <w:t xml:space="preserve">, </w:t>
      </w:r>
      <w:r>
        <w:rPr>
          <w:rFonts w:ascii="Garamond" w:hAnsi="Garamond" w:cs="FrankRuehl" w:hint="eastAsia"/>
          <w:spacing w:val="10"/>
          <w:sz w:val="28"/>
          <w:szCs w:val="28"/>
          <w:rtl/>
        </w:rPr>
        <w:t>ללא</w:t>
      </w:r>
      <w:r>
        <w:rPr>
          <w:rFonts w:ascii="Garamond" w:hAnsi="Garamond" w:cs="FrankRuehl"/>
          <w:spacing w:val="10"/>
          <w:sz w:val="28"/>
          <w:szCs w:val="28"/>
          <w:rtl/>
        </w:rPr>
        <w:t xml:space="preserve"> </w:t>
      </w:r>
      <w:r>
        <w:rPr>
          <w:rFonts w:ascii="Garamond" w:hAnsi="Garamond" w:cs="FrankRuehl" w:hint="eastAsia"/>
          <w:spacing w:val="10"/>
          <w:sz w:val="28"/>
          <w:szCs w:val="28"/>
          <w:rtl/>
        </w:rPr>
        <w:t>כל</w:t>
      </w:r>
      <w:r>
        <w:rPr>
          <w:rFonts w:ascii="Garamond" w:hAnsi="Garamond" w:cs="FrankRuehl"/>
          <w:spacing w:val="10"/>
          <w:sz w:val="28"/>
          <w:szCs w:val="28"/>
          <w:rtl/>
        </w:rPr>
        <w:t xml:space="preserve"> </w:t>
      </w:r>
      <w:r>
        <w:rPr>
          <w:rFonts w:ascii="Garamond" w:hAnsi="Garamond" w:cs="FrankRuehl" w:hint="eastAsia"/>
          <w:spacing w:val="10"/>
          <w:sz w:val="28"/>
          <w:szCs w:val="28"/>
          <w:rtl/>
        </w:rPr>
        <w:t>פיקוח</w:t>
      </w:r>
      <w:r>
        <w:rPr>
          <w:rFonts w:ascii="Garamond" w:hAnsi="Garamond" w:cs="FrankRuehl"/>
          <w:spacing w:val="10"/>
          <w:sz w:val="28"/>
          <w:szCs w:val="28"/>
          <w:rtl/>
        </w:rPr>
        <w:t xml:space="preserve"> </w:t>
      </w:r>
      <w:r>
        <w:rPr>
          <w:rFonts w:ascii="Garamond" w:hAnsi="Garamond" w:cs="FrankRuehl" w:hint="eastAsia"/>
          <w:spacing w:val="10"/>
          <w:sz w:val="28"/>
          <w:szCs w:val="28"/>
          <w:rtl/>
        </w:rPr>
        <w:t>ובקרה</w:t>
      </w:r>
      <w:r>
        <w:rPr>
          <w:rFonts w:ascii="Garamond" w:hAnsi="Garamond" w:cs="FrankRuehl"/>
          <w:spacing w:val="10"/>
          <w:sz w:val="28"/>
          <w:szCs w:val="28"/>
          <w:rtl/>
        </w:rPr>
        <w:t xml:space="preserve">, </w:t>
      </w:r>
      <w:r>
        <w:rPr>
          <w:rFonts w:ascii="Garamond" w:hAnsi="Garamond" w:cs="FrankRuehl" w:hint="eastAsia"/>
          <w:spacing w:val="10"/>
          <w:sz w:val="28"/>
          <w:szCs w:val="28"/>
          <w:rtl/>
        </w:rPr>
        <w:t>עשויה</w:t>
      </w:r>
      <w:r>
        <w:rPr>
          <w:rFonts w:ascii="Garamond" w:hAnsi="Garamond" w:cs="FrankRuehl"/>
          <w:spacing w:val="10"/>
          <w:sz w:val="28"/>
          <w:szCs w:val="28"/>
          <w:rtl/>
        </w:rPr>
        <w:t xml:space="preserve"> </w:t>
      </w:r>
      <w:r>
        <w:rPr>
          <w:rFonts w:ascii="Garamond" w:hAnsi="Garamond" w:cs="FrankRuehl" w:hint="eastAsia"/>
          <w:spacing w:val="10"/>
          <w:sz w:val="28"/>
          <w:szCs w:val="28"/>
          <w:rtl/>
        </w:rPr>
        <w:t>להביא</w:t>
      </w:r>
      <w:r>
        <w:rPr>
          <w:rFonts w:ascii="Garamond" w:hAnsi="Garamond" w:cs="FrankRuehl"/>
          <w:spacing w:val="10"/>
          <w:sz w:val="28"/>
          <w:szCs w:val="28"/>
          <w:rtl/>
        </w:rPr>
        <w:t xml:space="preserve"> </w:t>
      </w:r>
      <w:r>
        <w:rPr>
          <w:rFonts w:ascii="Garamond" w:hAnsi="Garamond" w:cs="FrankRuehl" w:hint="eastAsia"/>
          <w:spacing w:val="10"/>
          <w:sz w:val="28"/>
          <w:szCs w:val="28"/>
          <w:rtl/>
        </w:rPr>
        <w:t>בסופו</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יום</w:t>
      </w:r>
      <w:r>
        <w:rPr>
          <w:rFonts w:ascii="Garamond" w:hAnsi="Garamond" w:cs="FrankRuehl"/>
          <w:spacing w:val="10"/>
          <w:sz w:val="28"/>
          <w:szCs w:val="28"/>
          <w:rtl/>
        </w:rPr>
        <w:t xml:space="preserve"> </w:t>
      </w:r>
      <w:r>
        <w:rPr>
          <w:rFonts w:ascii="Garamond" w:hAnsi="Garamond" w:cs="FrankRuehl" w:hint="eastAsia"/>
          <w:spacing w:val="10"/>
          <w:sz w:val="28"/>
          <w:szCs w:val="28"/>
          <w:rtl/>
        </w:rPr>
        <w:t>לתוצאות</w:t>
      </w:r>
      <w:r>
        <w:rPr>
          <w:rFonts w:ascii="Garamond" w:hAnsi="Garamond" w:cs="FrankRuehl"/>
          <w:spacing w:val="10"/>
          <w:sz w:val="28"/>
          <w:szCs w:val="28"/>
          <w:rtl/>
        </w:rPr>
        <w:t xml:space="preserve"> </w:t>
      </w:r>
      <w:r>
        <w:rPr>
          <w:rFonts w:ascii="Garamond" w:hAnsi="Garamond" w:cs="FrankRuehl" w:hint="eastAsia"/>
          <w:spacing w:val="10"/>
          <w:sz w:val="28"/>
          <w:szCs w:val="28"/>
          <w:rtl/>
        </w:rPr>
        <w:t>הרות</w:t>
      </w:r>
      <w:r>
        <w:rPr>
          <w:rFonts w:ascii="Garamond" w:hAnsi="Garamond" w:cs="FrankRuehl"/>
          <w:spacing w:val="10"/>
          <w:sz w:val="28"/>
          <w:szCs w:val="28"/>
          <w:rtl/>
        </w:rPr>
        <w:t xml:space="preserve"> </w:t>
      </w:r>
      <w:r>
        <w:rPr>
          <w:rFonts w:ascii="Garamond" w:hAnsi="Garamond" w:cs="FrankRuehl" w:hint="eastAsia"/>
          <w:spacing w:val="10"/>
          <w:sz w:val="28"/>
          <w:szCs w:val="28"/>
          <w:rtl/>
        </w:rPr>
        <w:t>אסון</w:t>
      </w:r>
      <w:r>
        <w:rPr>
          <w:rFonts w:ascii="Garamond" w:hAnsi="Garamond" w:cs="FrankRuehl"/>
          <w:spacing w:val="10"/>
          <w:sz w:val="28"/>
          <w:szCs w:val="28"/>
          <w:rtl/>
        </w:rPr>
        <w:t xml:space="preserve">. </w:t>
      </w:r>
      <w:r>
        <w:rPr>
          <w:rFonts w:ascii="Garamond" w:hAnsi="Garamond" w:cs="FrankRuehl" w:hint="eastAsia"/>
          <w:spacing w:val="10"/>
          <w:sz w:val="28"/>
          <w:szCs w:val="28"/>
          <w:rtl/>
        </w:rPr>
        <w:t>נוכח</w:t>
      </w:r>
      <w:r>
        <w:rPr>
          <w:rFonts w:ascii="Garamond" w:hAnsi="Garamond" w:cs="FrankRuehl"/>
          <w:spacing w:val="10"/>
          <w:sz w:val="28"/>
          <w:szCs w:val="28"/>
          <w:rtl/>
        </w:rPr>
        <w:t xml:space="preserve"> </w:t>
      </w:r>
      <w:r>
        <w:rPr>
          <w:rFonts w:ascii="Garamond" w:hAnsi="Garamond" w:cs="FrankRuehl" w:hint="eastAsia"/>
          <w:spacing w:val="10"/>
          <w:sz w:val="28"/>
          <w:szCs w:val="28"/>
          <w:rtl/>
        </w:rPr>
        <w:t>היק</w:t>
      </w:r>
      <w:r>
        <w:rPr>
          <w:rFonts w:ascii="Garamond" w:hAnsi="Garamond" w:cs="FrankRuehl" w:hint="eastAsia"/>
          <w:spacing w:val="10"/>
          <w:sz w:val="28"/>
          <w:szCs w:val="28"/>
          <w:rtl/>
        </w:rPr>
        <w:t>פן</w:t>
      </w:r>
      <w:r>
        <w:rPr>
          <w:rFonts w:ascii="Garamond" w:hAnsi="Garamond" w:cs="FrankRuehl"/>
          <w:spacing w:val="10"/>
          <w:sz w:val="28"/>
          <w:szCs w:val="28"/>
          <w:rtl/>
        </w:rPr>
        <w:t xml:space="preserve"> </w:t>
      </w:r>
      <w:r>
        <w:rPr>
          <w:rFonts w:ascii="Garamond" w:hAnsi="Garamond" w:cs="FrankRuehl" w:hint="eastAsia"/>
          <w:spacing w:val="10"/>
          <w:sz w:val="28"/>
          <w:szCs w:val="28"/>
          <w:rtl/>
        </w:rPr>
        <w:t>המתרחב</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עבירות</w:t>
      </w:r>
      <w:r>
        <w:rPr>
          <w:rFonts w:ascii="Garamond" w:hAnsi="Garamond" w:cs="FrankRuehl"/>
          <w:spacing w:val="10"/>
          <w:sz w:val="28"/>
          <w:szCs w:val="28"/>
          <w:rtl/>
        </w:rPr>
        <w:t xml:space="preserve"> </w:t>
      </w:r>
      <w:r>
        <w:rPr>
          <w:rFonts w:ascii="Garamond" w:hAnsi="Garamond" w:cs="FrankRuehl" w:hint="eastAsia"/>
          <w:spacing w:val="10"/>
          <w:sz w:val="28"/>
          <w:szCs w:val="28"/>
          <w:rtl/>
        </w:rPr>
        <w:t>המבוצעות</w:t>
      </w:r>
      <w:r>
        <w:rPr>
          <w:rFonts w:ascii="Garamond" w:hAnsi="Garamond" w:cs="FrankRuehl"/>
          <w:spacing w:val="10"/>
          <w:sz w:val="28"/>
          <w:szCs w:val="28"/>
          <w:rtl/>
        </w:rPr>
        <w:t xml:space="preserve"> </w:t>
      </w:r>
      <w:r>
        <w:rPr>
          <w:rFonts w:ascii="Garamond" w:hAnsi="Garamond" w:cs="FrankRuehl" w:hint="eastAsia"/>
          <w:spacing w:val="10"/>
          <w:sz w:val="28"/>
          <w:szCs w:val="28"/>
          <w:rtl/>
        </w:rPr>
        <w:t>בנשק</w:t>
      </w:r>
      <w:r>
        <w:rPr>
          <w:rFonts w:ascii="Garamond" w:hAnsi="Garamond" w:cs="FrankRuehl"/>
          <w:spacing w:val="10"/>
          <w:sz w:val="28"/>
          <w:szCs w:val="28"/>
          <w:rtl/>
        </w:rPr>
        <w:t xml:space="preserve">, </w:t>
      </w:r>
      <w:r>
        <w:rPr>
          <w:rFonts w:ascii="Garamond" w:hAnsi="Garamond" w:cs="FrankRuehl" w:hint="eastAsia"/>
          <w:spacing w:val="10"/>
          <w:sz w:val="28"/>
          <w:szCs w:val="28"/>
          <w:rtl/>
        </w:rPr>
        <w:t>החזקת</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באופן</w:t>
      </w:r>
      <w:r>
        <w:rPr>
          <w:rFonts w:ascii="Garamond" w:hAnsi="Garamond" w:cs="FrankRuehl"/>
          <w:spacing w:val="10"/>
          <w:sz w:val="28"/>
          <w:szCs w:val="28"/>
          <w:rtl/>
        </w:rPr>
        <w:t xml:space="preserve"> </w:t>
      </w:r>
      <w:r>
        <w:rPr>
          <w:rFonts w:ascii="Garamond" w:hAnsi="Garamond" w:cs="FrankRuehl" w:hint="eastAsia"/>
          <w:spacing w:val="10"/>
          <w:sz w:val="28"/>
          <w:szCs w:val="28"/>
          <w:rtl/>
        </w:rPr>
        <w:t>בלתי</w:t>
      </w:r>
      <w:r>
        <w:rPr>
          <w:rFonts w:ascii="Garamond" w:hAnsi="Garamond" w:cs="FrankRuehl"/>
          <w:spacing w:val="10"/>
          <w:sz w:val="28"/>
          <w:szCs w:val="28"/>
          <w:rtl/>
        </w:rPr>
        <w:t xml:space="preserve"> </w:t>
      </w:r>
      <w:r>
        <w:rPr>
          <w:rFonts w:ascii="Garamond" w:hAnsi="Garamond" w:cs="FrankRuehl" w:hint="eastAsia"/>
          <w:spacing w:val="10"/>
          <w:sz w:val="28"/>
          <w:szCs w:val="28"/>
          <w:rtl/>
        </w:rPr>
        <w:t>חוקי</w:t>
      </w:r>
      <w:r>
        <w:rPr>
          <w:rFonts w:ascii="Garamond" w:hAnsi="Garamond" w:cs="FrankRuehl"/>
          <w:spacing w:val="10"/>
          <w:sz w:val="28"/>
          <w:szCs w:val="28"/>
          <w:rtl/>
        </w:rPr>
        <w:t xml:space="preserve"> </w:t>
      </w:r>
      <w:r>
        <w:rPr>
          <w:rFonts w:ascii="Garamond" w:hAnsi="Garamond" w:cs="FrankRuehl" w:hint="eastAsia"/>
          <w:spacing w:val="10"/>
          <w:sz w:val="28"/>
          <w:szCs w:val="28"/>
          <w:rtl/>
        </w:rPr>
        <w:t>תוך</w:t>
      </w:r>
      <w:r>
        <w:rPr>
          <w:rFonts w:ascii="Garamond" w:hAnsi="Garamond" w:cs="FrankRuehl"/>
          <w:spacing w:val="10"/>
          <w:sz w:val="28"/>
          <w:szCs w:val="28"/>
          <w:rtl/>
        </w:rPr>
        <w:t xml:space="preserve"> </w:t>
      </w:r>
      <w:r>
        <w:rPr>
          <w:rFonts w:ascii="Garamond" w:hAnsi="Garamond" w:cs="FrankRuehl" w:hint="eastAsia"/>
          <w:spacing w:val="10"/>
          <w:sz w:val="28"/>
          <w:szCs w:val="28"/>
          <w:rtl/>
        </w:rPr>
        <w:t>יצירת</w:t>
      </w:r>
      <w:r>
        <w:rPr>
          <w:rFonts w:ascii="Garamond" w:hAnsi="Garamond" w:cs="FrankRuehl"/>
          <w:spacing w:val="10"/>
          <w:sz w:val="28"/>
          <w:szCs w:val="28"/>
          <w:rtl/>
        </w:rPr>
        <w:t xml:space="preserve"> </w:t>
      </w:r>
      <w:r>
        <w:rPr>
          <w:rFonts w:ascii="Garamond" w:hAnsi="Garamond" w:cs="FrankRuehl" w:hint="eastAsia"/>
          <w:spacing w:val="10"/>
          <w:sz w:val="28"/>
          <w:szCs w:val="28"/>
          <w:rtl/>
        </w:rPr>
        <w:t>הפתח</w:t>
      </w:r>
      <w:r>
        <w:rPr>
          <w:rFonts w:ascii="Garamond" w:hAnsi="Garamond" w:cs="FrankRuehl"/>
          <w:spacing w:val="10"/>
          <w:sz w:val="28"/>
          <w:szCs w:val="28"/>
          <w:rtl/>
        </w:rPr>
        <w:t xml:space="preserve"> </w:t>
      </w:r>
      <w:r>
        <w:rPr>
          <w:rFonts w:ascii="Garamond" w:hAnsi="Garamond" w:cs="FrankRuehl" w:hint="eastAsia"/>
          <w:spacing w:val="10"/>
          <w:sz w:val="28"/>
          <w:szCs w:val="28"/>
          <w:rtl/>
        </w:rPr>
        <w:t>והאפשרות</w:t>
      </w:r>
      <w:r>
        <w:rPr>
          <w:rFonts w:ascii="Garamond" w:hAnsi="Garamond" w:cs="FrankRuehl"/>
          <w:spacing w:val="10"/>
          <w:sz w:val="28"/>
          <w:szCs w:val="28"/>
          <w:rtl/>
        </w:rPr>
        <w:t xml:space="preserve"> </w:t>
      </w:r>
      <w:r>
        <w:rPr>
          <w:rFonts w:ascii="Garamond" w:hAnsi="Garamond" w:cs="FrankRuehl" w:hint="eastAsia"/>
          <w:spacing w:val="10"/>
          <w:sz w:val="28"/>
          <w:szCs w:val="28"/>
          <w:rtl/>
        </w:rPr>
        <w:t>הזמינה</w:t>
      </w:r>
      <w:r>
        <w:rPr>
          <w:rFonts w:ascii="Garamond" w:hAnsi="Garamond" w:cs="FrankRuehl"/>
          <w:spacing w:val="10"/>
          <w:sz w:val="28"/>
          <w:szCs w:val="28"/>
          <w:rtl/>
        </w:rPr>
        <w:t xml:space="preserve"> </w:t>
      </w:r>
      <w:r>
        <w:rPr>
          <w:rFonts w:ascii="Garamond" w:hAnsi="Garamond" w:cs="FrankRuehl" w:hint="eastAsia"/>
          <w:spacing w:val="10"/>
          <w:sz w:val="28"/>
          <w:szCs w:val="28"/>
          <w:rtl/>
        </w:rPr>
        <w:t>לשימוש</w:t>
      </w:r>
      <w:r>
        <w:rPr>
          <w:rFonts w:ascii="Garamond" w:hAnsi="Garamond" w:cs="FrankRuehl"/>
          <w:spacing w:val="10"/>
          <w:sz w:val="28"/>
          <w:szCs w:val="28"/>
          <w:rtl/>
        </w:rPr>
        <w:t xml:space="preserve"> </w:t>
      </w:r>
      <w:r>
        <w:rPr>
          <w:rFonts w:ascii="Garamond" w:hAnsi="Garamond" w:cs="FrankRuehl" w:hint="eastAsia"/>
          <w:spacing w:val="10"/>
          <w:sz w:val="28"/>
          <w:szCs w:val="28"/>
          <w:rtl/>
        </w:rPr>
        <w:t>בו</w:t>
      </w:r>
      <w:r>
        <w:rPr>
          <w:rFonts w:ascii="Garamond" w:hAnsi="Garamond" w:cs="FrankRuehl"/>
          <w:spacing w:val="10"/>
          <w:sz w:val="28"/>
          <w:szCs w:val="28"/>
          <w:rtl/>
        </w:rPr>
        <w:t xml:space="preserve">, </w:t>
      </w:r>
      <w:r>
        <w:rPr>
          <w:rFonts w:ascii="Garamond" w:hAnsi="Garamond" w:cs="FrankRuehl" w:hint="eastAsia"/>
          <w:spacing w:val="10"/>
          <w:sz w:val="28"/>
          <w:szCs w:val="28"/>
          <w:rtl/>
        </w:rPr>
        <w:t>מהווה</w:t>
      </w:r>
      <w:r>
        <w:rPr>
          <w:rFonts w:ascii="Garamond" w:hAnsi="Garamond" w:cs="FrankRuehl"/>
          <w:spacing w:val="10"/>
          <w:sz w:val="28"/>
          <w:szCs w:val="28"/>
          <w:rtl/>
        </w:rPr>
        <w:t xml:space="preserve"> </w:t>
      </w:r>
      <w:r>
        <w:rPr>
          <w:rFonts w:ascii="Garamond" w:hAnsi="Garamond" w:cs="FrankRuehl" w:hint="eastAsia"/>
          <w:spacing w:val="10"/>
          <w:sz w:val="28"/>
          <w:szCs w:val="28"/>
          <w:rtl/>
        </w:rPr>
        <w:t>סיכון</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ממש</w:t>
      </w:r>
      <w:r>
        <w:rPr>
          <w:rFonts w:ascii="Garamond" w:hAnsi="Garamond" w:cs="FrankRuehl"/>
          <w:spacing w:val="10"/>
          <w:sz w:val="28"/>
          <w:szCs w:val="28"/>
          <w:rtl/>
        </w:rPr>
        <w:t xml:space="preserve"> </w:t>
      </w:r>
      <w:r>
        <w:rPr>
          <w:rFonts w:ascii="Garamond" w:hAnsi="Garamond" w:cs="FrankRuehl" w:hint="eastAsia"/>
          <w:spacing w:val="10"/>
          <w:sz w:val="28"/>
          <w:szCs w:val="28"/>
          <w:rtl/>
        </w:rPr>
        <w:t>לשלום</w:t>
      </w:r>
      <w:r>
        <w:rPr>
          <w:rFonts w:ascii="Garamond" w:hAnsi="Garamond" w:cs="FrankRuehl"/>
          <w:spacing w:val="10"/>
          <w:sz w:val="28"/>
          <w:szCs w:val="28"/>
          <w:rtl/>
        </w:rPr>
        <w:t xml:space="preserve"> </w:t>
      </w:r>
      <w:r>
        <w:rPr>
          <w:rFonts w:ascii="Garamond" w:hAnsi="Garamond" w:cs="FrankRuehl" w:hint="eastAsia"/>
          <w:spacing w:val="10"/>
          <w:sz w:val="28"/>
          <w:szCs w:val="28"/>
          <w:rtl/>
        </w:rPr>
        <w:t>הציבור</w:t>
      </w:r>
      <w:r>
        <w:rPr>
          <w:rFonts w:ascii="Garamond" w:hAnsi="Garamond" w:cs="FrankRuehl"/>
          <w:spacing w:val="10"/>
          <w:sz w:val="28"/>
          <w:szCs w:val="28"/>
          <w:rtl/>
        </w:rPr>
        <w:t xml:space="preserve"> ...</w:t>
      </w:r>
      <w:r>
        <w:rPr>
          <w:rFonts w:ascii="Garamond" w:hAnsi="Garamond" w:cs="FrankRuehl" w:hint="eastAsia"/>
          <w:spacing w:val="10"/>
          <w:sz w:val="28"/>
          <w:szCs w:val="28"/>
          <w:rtl/>
        </w:rPr>
        <w:t>זאת</w:t>
      </w:r>
      <w:r>
        <w:rPr>
          <w:rFonts w:ascii="Garamond" w:hAnsi="Garamond" w:cs="FrankRuehl"/>
          <w:spacing w:val="10"/>
          <w:sz w:val="28"/>
          <w:szCs w:val="28"/>
          <w:rtl/>
        </w:rPr>
        <w:t xml:space="preserve"> </w:t>
      </w:r>
      <w:r>
        <w:rPr>
          <w:rFonts w:ascii="Garamond" w:hAnsi="Garamond" w:cs="FrankRuehl" w:hint="eastAsia"/>
          <w:spacing w:val="10"/>
          <w:sz w:val="28"/>
          <w:szCs w:val="28"/>
          <w:rtl/>
        </w:rPr>
        <w:t>על</w:t>
      </w:r>
      <w:r>
        <w:rPr>
          <w:rFonts w:ascii="Garamond" w:hAnsi="Garamond" w:cs="FrankRuehl"/>
          <w:spacing w:val="10"/>
          <w:sz w:val="28"/>
          <w:szCs w:val="28"/>
          <w:rtl/>
        </w:rPr>
        <w:t xml:space="preserve"> </w:t>
      </w:r>
      <w:r>
        <w:rPr>
          <w:rFonts w:ascii="Garamond" w:hAnsi="Garamond" w:cs="FrankRuehl" w:hint="eastAsia"/>
          <w:spacing w:val="10"/>
          <w:sz w:val="28"/>
          <w:szCs w:val="28"/>
          <w:rtl/>
        </w:rPr>
        <w:t>אחת</w:t>
      </w:r>
      <w:r>
        <w:rPr>
          <w:rFonts w:ascii="Garamond" w:hAnsi="Garamond" w:cs="FrankRuehl"/>
          <w:spacing w:val="10"/>
          <w:sz w:val="28"/>
          <w:szCs w:val="28"/>
          <w:rtl/>
        </w:rPr>
        <w:t xml:space="preserve"> </w:t>
      </w:r>
      <w:r>
        <w:rPr>
          <w:rFonts w:ascii="Garamond" w:hAnsi="Garamond" w:cs="FrankRuehl" w:hint="eastAsia"/>
          <w:spacing w:val="10"/>
          <w:sz w:val="28"/>
          <w:szCs w:val="28"/>
          <w:rtl/>
        </w:rPr>
        <w:t>כמה</w:t>
      </w:r>
      <w:r>
        <w:rPr>
          <w:rFonts w:ascii="Garamond" w:hAnsi="Garamond" w:cs="FrankRuehl"/>
          <w:spacing w:val="10"/>
          <w:sz w:val="28"/>
          <w:szCs w:val="28"/>
          <w:rtl/>
        </w:rPr>
        <w:t xml:space="preserve"> </w:t>
      </w:r>
      <w:r>
        <w:rPr>
          <w:rFonts w:ascii="Garamond" w:hAnsi="Garamond" w:cs="FrankRuehl" w:hint="eastAsia"/>
          <w:spacing w:val="10"/>
          <w:sz w:val="28"/>
          <w:szCs w:val="28"/>
          <w:rtl/>
        </w:rPr>
        <w:t>וכמה</w:t>
      </w:r>
      <w:r>
        <w:rPr>
          <w:rFonts w:ascii="Garamond" w:hAnsi="Garamond" w:cs="FrankRuehl"/>
          <w:spacing w:val="10"/>
          <w:sz w:val="28"/>
          <w:szCs w:val="28"/>
          <w:rtl/>
        </w:rPr>
        <w:t xml:space="preserve"> </w:t>
      </w:r>
      <w:r>
        <w:rPr>
          <w:rFonts w:ascii="Garamond" w:hAnsi="Garamond" w:cs="FrankRuehl" w:hint="eastAsia"/>
          <w:spacing w:val="10"/>
          <w:sz w:val="28"/>
          <w:szCs w:val="28"/>
          <w:rtl/>
        </w:rPr>
        <w:t>שעה</w:t>
      </w:r>
      <w:r>
        <w:rPr>
          <w:rFonts w:ascii="Garamond" w:hAnsi="Garamond" w:cs="FrankRuehl"/>
          <w:spacing w:val="10"/>
          <w:sz w:val="28"/>
          <w:szCs w:val="28"/>
          <w:rtl/>
        </w:rPr>
        <w:t xml:space="preserve"> </w:t>
      </w:r>
      <w:r>
        <w:rPr>
          <w:rFonts w:ascii="Garamond" w:hAnsi="Garamond" w:cs="FrankRuehl" w:hint="eastAsia"/>
          <w:spacing w:val="10"/>
          <w:sz w:val="28"/>
          <w:szCs w:val="28"/>
          <w:rtl/>
        </w:rPr>
        <w:t>שמדובר</w:t>
      </w:r>
      <w:r>
        <w:rPr>
          <w:rFonts w:ascii="Garamond" w:hAnsi="Garamond" w:cs="FrankRuehl"/>
          <w:spacing w:val="10"/>
          <w:sz w:val="28"/>
          <w:szCs w:val="28"/>
          <w:rtl/>
        </w:rPr>
        <w:t xml:space="preserve"> </w:t>
      </w:r>
      <w:r>
        <w:rPr>
          <w:rFonts w:ascii="Garamond" w:hAnsi="Garamond" w:cs="FrankRuehl" w:hint="eastAsia"/>
          <w:spacing w:val="10"/>
          <w:sz w:val="28"/>
          <w:szCs w:val="28"/>
          <w:rtl/>
        </w:rPr>
        <w:t>בסוג</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כלי</w:t>
      </w:r>
      <w:r>
        <w:rPr>
          <w:rFonts w:ascii="Garamond" w:hAnsi="Garamond" w:cs="FrankRuehl"/>
          <w:spacing w:val="10"/>
          <w:sz w:val="28"/>
          <w:szCs w:val="28"/>
          <w:rtl/>
        </w:rPr>
        <w:t xml:space="preserve"> </w:t>
      </w:r>
      <w:r>
        <w:rPr>
          <w:rFonts w:ascii="Garamond" w:hAnsi="Garamond" w:cs="FrankRuehl" w:hint="eastAsia"/>
          <w:spacing w:val="10"/>
          <w:sz w:val="28"/>
          <w:szCs w:val="28"/>
          <w:rtl/>
        </w:rPr>
        <w:t>נשק</w:t>
      </w:r>
      <w:r>
        <w:rPr>
          <w:rFonts w:ascii="Garamond" w:hAnsi="Garamond" w:cs="FrankRuehl"/>
          <w:spacing w:val="10"/>
          <w:sz w:val="28"/>
          <w:szCs w:val="28"/>
          <w:rtl/>
        </w:rPr>
        <w:t xml:space="preserve"> </w:t>
      </w:r>
      <w:r>
        <w:rPr>
          <w:rFonts w:ascii="Garamond" w:hAnsi="Garamond" w:cs="FrankRuehl" w:hint="eastAsia"/>
          <w:spacing w:val="10"/>
          <w:sz w:val="28"/>
          <w:szCs w:val="28"/>
          <w:rtl/>
        </w:rPr>
        <w:t>שעשוי</w:t>
      </w:r>
      <w:r>
        <w:rPr>
          <w:rFonts w:ascii="Garamond" w:hAnsi="Garamond" w:cs="FrankRuehl"/>
          <w:spacing w:val="10"/>
          <w:sz w:val="28"/>
          <w:szCs w:val="28"/>
          <w:rtl/>
        </w:rPr>
        <w:t xml:space="preserve"> </w:t>
      </w:r>
      <w:r>
        <w:rPr>
          <w:rFonts w:ascii="Garamond" w:hAnsi="Garamond" w:cs="FrankRuehl" w:hint="eastAsia"/>
          <w:spacing w:val="10"/>
          <w:sz w:val="28"/>
          <w:szCs w:val="28"/>
          <w:rtl/>
        </w:rPr>
        <w:t>להביא</w:t>
      </w:r>
      <w:r>
        <w:rPr>
          <w:rFonts w:ascii="Garamond" w:hAnsi="Garamond" w:cs="FrankRuehl"/>
          <w:spacing w:val="10"/>
          <w:sz w:val="28"/>
          <w:szCs w:val="28"/>
          <w:rtl/>
        </w:rPr>
        <w:t xml:space="preserve"> </w:t>
      </w:r>
      <w:r>
        <w:rPr>
          <w:rFonts w:ascii="Garamond" w:hAnsi="Garamond" w:cs="FrankRuehl" w:hint="eastAsia"/>
          <w:spacing w:val="10"/>
          <w:sz w:val="28"/>
          <w:szCs w:val="28"/>
          <w:rtl/>
        </w:rPr>
        <w:t>למותו</w:t>
      </w:r>
      <w:r>
        <w:rPr>
          <w:rFonts w:ascii="Garamond" w:hAnsi="Garamond" w:cs="FrankRuehl"/>
          <w:spacing w:val="10"/>
          <w:sz w:val="28"/>
          <w:szCs w:val="28"/>
          <w:rtl/>
        </w:rPr>
        <w:t xml:space="preserve"> </w:t>
      </w:r>
      <w:r>
        <w:rPr>
          <w:rFonts w:ascii="Garamond" w:hAnsi="Garamond" w:cs="FrankRuehl" w:hint="eastAsia"/>
          <w:spacing w:val="10"/>
          <w:sz w:val="28"/>
          <w:szCs w:val="28"/>
          <w:rtl/>
        </w:rPr>
        <w:t>של</w:t>
      </w:r>
      <w:r>
        <w:rPr>
          <w:rFonts w:ascii="Garamond" w:hAnsi="Garamond" w:cs="FrankRuehl"/>
          <w:spacing w:val="10"/>
          <w:sz w:val="28"/>
          <w:szCs w:val="28"/>
          <w:rtl/>
        </w:rPr>
        <w:t xml:space="preserve"> </w:t>
      </w:r>
      <w:r>
        <w:rPr>
          <w:rFonts w:ascii="Garamond" w:hAnsi="Garamond" w:cs="FrankRuehl" w:hint="eastAsia"/>
          <w:spacing w:val="10"/>
          <w:sz w:val="28"/>
          <w:szCs w:val="28"/>
          <w:rtl/>
        </w:rPr>
        <w:t>אדם</w:t>
      </w:r>
      <w:r>
        <w:rPr>
          <w:rFonts w:ascii="Garamond" w:hAnsi="Garamond" w:cs="FrankRuehl"/>
          <w:spacing w:val="10"/>
          <w:sz w:val="28"/>
          <w:szCs w:val="28"/>
          <w:rtl/>
        </w:rPr>
        <w:t>".</w:t>
      </w:r>
    </w:p>
    <w:p w14:paraId="3DDFC852" w14:textId="77777777" w:rsidR="00CE7F0A" w:rsidRDefault="00CE7F0A">
      <w:pPr>
        <w:tabs>
          <w:tab w:val="left" w:pos="3210"/>
          <w:tab w:val="left" w:pos="6753"/>
        </w:tabs>
        <w:overflowPunct w:val="0"/>
        <w:adjustRightInd w:val="0"/>
        <w:spacing w:line="360" w:lineRule="auto"/>
        <w:ind w:left="720"/>
        <w:rPr>
          <w:rFonts w:cs="FrankRuehl"/>
          <w:spacing w:val="10"/>
          <w:sz w:val="28"/>
          <w:szCs w:val="28"/>
          <w:rtl/>
        </w:rPr>
      </w:pPr>
    </w:p>
    <w:p w14:paraId="4D14C52F" w14:textId="77777777" w:rsidR="00CE7F0A" w:rsidRDefault="00CE7F0A">
      <w:pPr>
        <w:tabs>
          <w:tab w:val="left" w:pos="3210"/>
          <w:tab w:val="left" w:pos="6753"/>
        </w:tabs>
        <w:overflowPunct w:val="0"/>
        <w:adjustRightInd w:val="0"/>
        <w:spacing w:line="360" w:lineRule="auto"/>
        <w:ind w:left="720"/>
        <w:rPr>
          <w:rFonts w:cs="FrankRuehl"/>
          <w:spacing w:val="10"/>
          <w:sz w:val="28"/>
          <w:szCs w:val="28"/>
          <w:rtl/>
        </w:rPr>
      </w:pPr>
      <w:r>
        <w:rPr>
          <w:rFonts w:cs="FrankRuehl"/>
          <w:spacing w:val="10"/>
          <w:sz w:val="28"/>
          <w:szCs w:val="28"/>
          <w:rtl/>
        </w:rPr>
        <w:t xml:space="preserve">בית המשפט העליון קבע כי בנסיבותיו של אותו מקרה מתחם העונש ההולם נע בין 10 </w:t>
      </w:r>
      <w:r>
        <w:rPr>
          <w:rFonts w:cs="FrankRuehl" w:hint="cs"/>
          <w:spacing w:val="10"/>
          <w:sz w:val="28"/>
          <w:szCs w:val="28"/>
          <w:rtl/>
        </w:rPr>
        <w:t>ל-</w:t>
      </w:r>
      <w:r>
        <w:rPr>
          <w:rFonts w:cs="FrankRuehl"/>
          <w:spacing w:val="10"/>
          <w:sz w:val="28"/>
          <w:szCs w:val="28"/>
          <w:rtl/>
        </w:rPr>
        <w:t>30 חודשי מאסר בפועל.</w:t>
      </w:r>
    </w:p>
    <w:p w14:paraId="30DD7C49" w14:textId="77777777" w:rsidR="00CE7F0A" w:rsidRDefault="00CE7F0A">
      <w:pPr>
        <w:tabs>
          <w:tab w:val="left" w:pos="3210"/>
          <w:tab w:val="left" w:pos="6753"/>
        </w:tabs>
        <w:overflowPunct w:val="0"/>
        <w:adjustRightInd w:val="0"/>
        <w:spacing w:line="360" w:lineRule="auto"/>
        <w:ind w:left="720"/>
        <w:rPr>
          <w:rFonts w:cs="FrankRuehl"/>
          <w:spacing w:val="10"/>
          <w:sz w:val="28"/>
          <w:szCs w:val="28"/>
          <w:rtl/>
        </w:rPr>
      </w:pPr>
    </w:p>
    <w:p w14:paraId="3BF5B8B0" w14:textId="77777777" w:rsidR="00CE7F0A" w:rsidRDefault="00CE7F0A">
      <w:pPr>
        <w:tabs>
          <w:tab w:val="left" w:pos="3210"/>
          <w:tab w:val="left" w:pos="6753"/>
        </w:tabs>
        <w:overflowPunct w:val="0"/>
        <w:adjustRightInd w:val="0"/>
        <w:spacing w:line="360" w:lineRule="auto"/>
        <w:ind w:left="720"/>
        <w:jc w:val="both"/>
        <w:rPr>
          <w:rFonts w:cs="FrankRuehl"/>
          <w:spacing w:val="10"/>
          <w:sz w:val="28"/>
          <w:szCs w:val="28"/>
          <w:rtl/>
        </w:rPr>
      </w:pPr>
      <w:r>
        <w:rPr>
          <w:rFonts w:cs="FrankRuehl"/>
          <w:spacing w:val="10"/>
          <w:sz w:val="28"/>
          <w:szCs w:val="28"/>
          <w:rtl/>
        </w:rPr>
        <w:t>ב</w:t>
      </w:r>
      <w:hyperlink r:id="rId27" w:history="1">
        <w:r>
          <w:rPr>
            <w:rFonts w:cs="FrankRuehl"/>
            <w:color w:val="0000FF"/>
            <w:spacing w:val="10"/>
            <w:sz w:val="28"/>
            <w:szCs w:val="28"/>
            <w:u w:val="single"/>
            <w:rtl/>
          </w:rPr>
          <w:t>ע"פ 5004/17</w:t>
        </w:r>
      </w:hyperlink>
      <w:r>
        <w:rPr>
          <w:rFonts w:cs="FrankRuehl"/>
          <w:spacing w:val="10"/>
          <w:sz w:val="28"/>
          <w:szCs w:val="28"/>
          <w:rtl/>
        </w:rPr>
        <w:t xml:space="preserve"> </w:t>
      </w:r>
      <w:r>
        <w:rPr>
          <w:rFonts w:cs="Miriam"/>
          <w:spacing w:val="10"/>
          <w:rtl/>
        </w:rPr>
        <w:t>מדינת ישראל נגד אלעטאונה</w:t>
      </w:r>
      <w:r>
        <w:rPr>
          <w:rFonts w:cs="FrankRuehl"/>
          <w:spacing w:val="10"/>
          <w:sz w:val="28"/>
          <w:szCs w:val="28"/>
          <w:rtl/>
        </w:rPr>
        <w:t xml:space="preserve">  </w:t>
      </w:r>
      <w:r>
        <w:rPr>
          <w:sz w:val="22"/>
          <w:rtl/>
        </w:rPr>
        <w:t xml:space="preserve">[פורסם בנבו] </w:t>
      </w:r>
      <w:r>
        <w:rPr>
          <w:rFonts w:cs="FrankRuehl"/>
          <w:spacing w:val="10"/>
          <w:sz w:val="28"/>
          <w:szCs w:val="28"/>
          <w:rtl/>
        </w:rPr>
        <w:t>(20.11.2017) החמיר בית המשפט העליון בעונשו של המשיב שהחזיק ברובה ושני אקדחים והעמיד את עונשו על 12 חודשי מאסר בפועל (חלף 6 חודשי עבודות שירות שהטיל בית משפט קמא).</w:t>
      </w:r>
    </w:p>
    <w:p w14:paraId="5CBB0C4E" w14:textId="77777777" w:rsidR="00CE7F0A" w:rsidRDefault="00CE7F0A">
      <w:pPr>
        <w:tabs>
          <w:tab w:val="left" w:pos="3210"/>
          <w:tab w:val="left" w:pos="6753"/>
        </w:tabs>
        <w:overflowPunct w:val="0"/>
        <w:adjustRightInd w:val="0"/>
        <w:spacing w:line="360" w:lineRule="auto"/>
        <w:ind w:left="720"/>
        <w:jc w:val="both"/>
        <w:rPr>
          <w:rFonts w:cs="FrankRuehl"/>
          <w:spacing w:val="10"/>
          <w:sz w:val="28"/>
          <w:szCs w:val="28"/>
          <w:rtl/>
        </w:rPr>
      </w:pPr>
      <w:r>
        <w:rPr>
          <w:rFonts w:cs="FrankRuehl"/>
          <w:spacing w:val="10"/>
          <w:sz w:val="28"/>
          <w:szCs w:val="28"/>
          <w:rtl/>
        </w:rPr>
        <w:t>באותו מקרה המשיב היה צעיר, ללא עבר פלילי, הוא נטל אחריות על מעשיו, התארס ועמד להינשא ותסקירי שירות המבחן היו חיוביים.</w:t>
      </w:r>
    </w:p>
    <w:p w14:paraId="0ED3FA69" w14:textId="77777777" w:rsidR="00CE7F0A" w:rsidRDefault="00CE7F0A">
      <w:pPr>
        <w:tabs>
          <w:tab w:val="left" w:pos="3210"/>
          <w:tab w:val="left" w:pos="6753"/>
        </w:tabs>
        <w:overflowPunct w:val="0"/>
        <w:adjustRightInd w:val="0"/>
        <w:spacing w:line="360" w:lineRule="auto"/>
        <w:rPr>
          <w:spacing w:val="10"/>
          <w:rtl/>
        </w:rPr>
      </w:pPr>
    </w:p>
    <w:p w14:paraId="753A3B19" w14:textId="77777777" w:rsidR="00CE7F0A" w:rsidRDefault="00CE7F0A">
      <w:pPr>
        <w:tabs>
          <w:tab w:val="left" w:pos="800"/>
        </w:tabs>
        <w:overflowPunct w:val="0"/>
        <w:autoSpaceDE w:val="0"/>
        <w:autoSpaceDN w:val="0"/>
        <w:adjustRightInd w:val="0"/>
        <w:spacing w:line="360" w:lineRule="auto"/>
        <w:ind w:left="720"/>
        <w:jc w:val="both"/>
        <w:rPr>
          <w:rFonts w:ascii="Arial TUR" w:hAnsi="Arial TUR" w:cs="FrankRuehl"/>
          <w:spacing w:val="10"/>
          <w:sz w:val="22"/>
          <w:szCs w:val="28"/>
          <w:rtl/>
        </w:rPr>
      </w:pPr>
      <w:r>
        <w:rPr>
          <w:rFonts w:ascii="Arial TUR" w:hAnsi="Arial TUR" w:cs="FrankRuehl"/>
          <w:spacing w:val="10"/>
          <w:sz w:val="22"/>
          <w:szCs w:val="28"/>
          <w:rtl/>
        </w:rPr>
        <w:t>ב</w:t>
      </w:r>
      <w:hyperlink r:id="rId28" w:history="1">
        <w:r>
          <w:rPr>
            <w:rFonts w:ascii="Arial TUR" w:hAnsi="Arial TUR" w:cs="FrankRuehl"/>
            <w:color w:val="0000FF"/>
            <w:spacing w:val="10"/>
            <w:sz w:val="22"/>
            <w:szCs w:val="28"/>
            <w:u w:val="single"/>
            <w:rtl/>
          </w:rPr>
          <w:t>ע"פ 2243/17</w:t>
        </w:r>
      </w:hyperlink>
      <w:r>
        <w:rPr>
          <w:rFonts w:ascii="Arial TUR" w:hAnsi="Arial TUR" w:cs="FrankRuehl"/>
          <w:spacing w:val="10"/>
          <w:sz w:val="22"/>
          <w:szCs w:val="28"/>
          <w:rtl/>
        </w:rPr>
        <w:t xml:space="preserve"> </w:t>
      </w:r>
      <w:r>
        <w:rPr>
          <w:rFonts w:ascii="Arial TUR" w:hAnsi="Arial TUR" w:cs="Miriam"/>
          <w:spacing w:val="10"/>
          <w:rtl/>
        </w:rPr>
        <w:t>אכראם נגד מדינת  ישראל</w:t>
      </w:r>
      <w:r>
        <w:rPr>
          <w:rFonts w:ascii="Arial TUR" w:hAnsi="Arial TUR" w:cs="FrankRuehl"/>
          <w:spacing w:val="10"/>
          <w:sz w:val="22"/>
          <w:szCs w:val="28"/>
          <w:rtl/>
        </w:rPr>
        <w:t xml:space="preserve"> </w:t>
      </w:r>
      <w:r>
        <w:rPr>
          <w:sz w:val="22"/>
          <w:rtl/>
        </w:rPr>
        <w:t xml:space="preserve">[פורסם בנבו] </w:t>
      </w:r>
      <w:r>
        <w:rPr>
          <w:rFonts w:ascii="Arial TUR" w:hAnsi="Arial TUR" w:cs="FrankRuehl"/>
          <w:spacing w:val="10"/>
          <w:sz w:val="22"/>
          <w:szCs w:val="28"/>
          <w:rtl/>
        </w:rPr>
        <w:t>(29.10.2017) נדחה ערעורו של המשיב שהחזיק באקדח ותחמושת ונטל ונשא את הנשק ברכבו, אותו נאשם נדון ל-12 חודשי מאסר.</w:t>
      </w:r>
    </w:p>
    <w:p w14:paraId="55FA2DAF" w14:textId="77777777" w:rsidR="00CE7F0A" w:rsidRDefault="00CE7F0A">
      <w:pPr>
        <w:tabs>
          <w:tab w:val="left" w:pos="3210"/>
          <w:tab w:val="left" w:pos="6753"/>
        </w:tabs>
        <w:overflowPunct w:val="0"/>
        <w:adjustRightInd w:val="0"/>
        <w:spacing w:line="360" w:lineRule="auto"/>
        <w:ind w:left="720"/>
        <w:rPr>
          <w:rFonts w:cs="FrankRuehl"/>
          <w:spacing w:val="10"/>
          <w:sz w:val="28"/>
          <w:szCs w:val="28"/>
          <w:rtl/>
        </w:rPr>
      </w:pPr>
    </w:p>
    <w:p w14:paraId="79B7794C" w14:textId="77777777" w:rsidR="00CE7F0A" w:rsidRDefault="00CE7F0A">
      <w:pPr>
        <w:overflowPunct w:val="0"/>
        <w:spacing w:line="360" w:lineRule="auto"/>
        <w:ind w:left="720"/>
        <w:jc w:val="both"/>
        <w:rPr>
          <w:rFonts w:ascii="Arial TUR" w:hAnsi="Arial TUR" w:cs="FrankRuehl"/>
          <w:spacing w:val="10"/>
          <w:sz w:val="28"/>
          <w:szCs w:val="28"/>
          <w:rtl/>
        </w:rPr>
      </w:pPr>
      <w:r>
        <w:rPr>
          <w:rFonts w:ascii="Arial TUR" w:hAnsi="Arial TUR" w:cs="FrankRuehl"/>
          <w:spacing w:val="10"/>
          <w:sz w:val="28"/>
          <w:szCs w:val="28"/>
          <w:rtl/>
        </w:rPr>
        <w:t>ב</w:t>
      </w:r>
      <w:hyperlink r:id="rId29" w:history="1">
        <w:r>
          <w:rPr>
            <w:rFonts w:ascii="Arial TUR" w:hAnsi="Arial TUR" w:cs="FrankRuehl"/>
            <w:color w:val="0000FF"/>
            <w:spacing w:val="10"/>
            <w:sz w:val="28"/>
            <w:szCs w:val="28"/>
            <w:u w:val="single"/>
            <w:rtl/>
          </w:rPr>
          <w:t>ע"פ 135/17</w:t>
        </w:r>
      </w:hyperlink>
      <w:r>
        <w:rPr>
          <w:rFonts w:ascii="Arial TUR" w:hAnsi="Arial TUR" w:cs="FrankRuehl"/>
          <w:spacing w:val="10"/>
          <w:sz w:val="28"/>
          <w:szCs w:val="28"/>
          <w:rtl/>
        </w:rPr>
        <w:t xml:space="preserve"> </w:t>
      </w:r>
      <w:r>
        <w:rPr>
          <w:rFonts w:ascii="Arial TUR" w:hAnsi="Arial TUR" w:cs="Miriam"/>
          <w:spacing w:val="10"/>
          <w:rtl/>
        </w:rPr>
        <w:t>מדינת ישראל נגד בסל</w:t>
      </w:r>
      <w:r>
        <w:rPr>
          <w:rFonts w:ascii="Arial TUR" w:hAnsi="Arial TUR" w:cs="FrankRuehl"/>
          <w:spacing w:val="10"/>
          <w:sz w:val="28"/>
          <w:szCs w:val="28"/>
          <w:rtl/>
        </w:rPr>
        <w:t xml:space="preserve"> </w:t>
      </w:r>
      <w:r>
        <w:rPr>
          <w:sz w:val="22"/>
          <w:rtl/>
        </w:rPr>
        <w:t xml:space="preserve">[פורסם בנבו] </w:t>
      </w:r>
      <w:r>
        <w:rPr>
          <w:rFonts w:ascii="Arial TUR" w:hAnsi="Arial TUR" w:cs="FrankRuehl"/>
          <w:spacing w:val="10"/>
          <w:sz w:val="28"/>
          <w:szCs w:val="28"/>
          <w:rtl/>
        </w:rPr>
        <w:t>(8.3.2017), הורשע הנאשם בהחזקה ונשיאה של נשק, תת מקלע מאולתר בו החזיק למשך שבוע ימים. הנאשם היה צעיר כבן 20 שנה וחצי. בית המשפט קמא דן אותו ל-12 חודשי מאסר בפועל. בית המשפט העליון החמיר בעונשו והעמידו על 18 חודשי מאסר בפועל וכך קבע</w:t>
      </w:r>
      <w:r>
        <w:rPr>
          <w:rFonts w:ascii="Arial TUR" w:hAnsi="Arial TUR" w:cs="FrankRuehl" w:hint="cs"/>
          <w:spacing w:val="10"/>
          <w:sz w:val="28"/>
          <w:szCs w:val="28"/>
          <w:rtl/>
        </w:rPr>
        <w:t>:</w:t>
      </w:r>
    </w:p>
    <w:p w14:paraId="0EB559F0" w14:textId="77777777" w:rsidR="00CE7F0A" w:rsidRDefault="00CE7F0A">
      <w:pPr>
        <w:overflowPunct w:val="0"/>
        <w:ind w:left="1440" w:right="709"/>
        <w:jc w:val="both"/>
        <w:rPr>
          <w:rFonts w:ascii="Arial TUR" w:hAnsi="Arial TUR" w:cs="FrankRuehl"/>
          <w:spacing w:val="10"/>
          <w:sz w:val="28"/>
          <w:szCs w:val="28"/>
          <w:rtl/>
        </w:rPr>
      </w:pPr>
      <w:r>
        <w:rPr>
          <w:rFonts w:ascii="Arial TUR" w:hAnsi="Arial TUR" w:cs="FrankRuehl"/>
          <w:spacing w:val="10"/>
          <w:sz w:val="28"/>
          <w:szCs w:val="28"/>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w:t>
      </w:r>
      <w:r>
        <w:rPr>
          <w:rFonts w:ascii="Arial TUR" w:hAnsi="Arial TUR" w:cs="FrankRuehl"/>
          <w:spacing w:val="10"/>
          <w:sz w:val="28"/>
          <w:szCs w:val="28"/>
          <w:rtl/>
        </w:rPr>
        <w:t xml:space="preserve">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5E481371" w14:textId="77777777" w:rsidR="00CE7F0A" w:rsidRDefault="00CE7F0A">
      <w:pPr>
        <w:overflowPunct w:val="0"/>
        <w:spacing w:line="360" w:lineRule="auto"/>
        <w:jc w:val="both"/>
        <w:rPr>
          <w:rFonts w:ascii="Arial TUR" w:hAnsi="Arial TUR" w:cs="Arial TUR"/>
          <w:spacing w:val="10"/>
          <w:sz w:val="22"/>
          <w:szCs w:val="22"/>
          <w:rtl/>
        </w:rPr>
      </w:pPr>
      <w:r>
        <w:rPr>
          <w:rFonts w:ascii="Arial TUR" w:hAnsi="Arial TUR" w:cs="Arial TUR"/>
          <w:spacing w:val="10"/>
          <w:sz w:val="22"/>
          <w:szCs w:val="22"/>
          <w:rtl/>
        </w:rPr>
        <w:t xml:space="preserve"> </w:t>
      </w:r>
    </w:p>
    <w:p w14:paraId="0E1ECC4A" w14:textId="77777777" w:rsidR="00CE7F0A" w:rsidRDefault="00CE7F0A">
      <w:pPr>
        <w:overflowPunct w:val="0"/>
        <w:spacing w:line="360" w:lineRule="auto"/>
        <w:ind w:left="708" w:firstLine="12"/>
        <w:jc w:val="both"/>
        <w:rPr>
          <w:rFonts w:ascii="Garamond" w:hAnsi="Garamond" w:cs="FrankRuehl"/>
          <w:spacing w:val="10"/>
          <w:szCs w:val="28"/>
        </w:rPr>
      </w:pPr>
      <w:r>
        <w:rPr>
          <w:rFonts w:ascii="Arial" w:hAnsi="Arial" w:cs="FrankRuehl"/>
          <w:szCs w:val="28"/>
          <w:rtl/>
        </w:rPr>
        <w:t xml:space="preserve">אין להתעלם כי העבירות בנשק בוצעו ביחד עם עבירות של הסעת תושב הרשות הפלסתינאית ששהה בישראל שלא כדין והחזיק בנשק, עבירת הסעת שב"ח מצדיקה לכשעצמה עונש של מאסר בפועל ובמיוחד שהוא מחזיק בידו נשק, יורה בו ומוכר אותו לאדם זר בנוכחות הנאשם (ראו לענין זה </w:t>
      </w:r>
      <w:bookmarkStart w:id="7" w:name="casename_body"/>
      <w:r>
        <w:rPr>
          <w:rFonts w:ascii="Arial" w:hAnsi="Arial" w:cs="FrankRuehl"/>
          <w:color w:val="0000FF"/>
          <w:szCs w:val="28"/>
          <w:u w:val="single"/>
          <w:rtl/>
        </w:rPr>
        <w:fldChar w:fldCharType="begin"/>
      </w:r>
      <w:r>
        <w:rPr>
          <w:rFonts w:ascii="Arial" w:hAnsi="Arial" w:cs="FrankRuehl"/>
          <w:color w:val="0000FF"/>
          <w:szCs w:val="28"/>
          <w:u w:val="single"/>
          <w:rtl/>
        </w:rPr>
        <w:instrText xml:space="preserve"> </w:instrText>
      </w:r>
      <w:r>
        <w:rPr>
          <w:rFonts w:ascii="Arial" w:hAnsi="Arial" w:cs="FrankRuehl"/>
          <w:color w:val="0000FF"/>
          <w:szCs w:val="28"/>
          <w:u w:val="single"/>
        </w:rPr>
        <w:instrText>HYPERLINK</w:instrText>
      </w:r>
      <w:r>
        <w:rPr>
          <w:rFonts w:ascii="Arial" w:hAnsi="Arial" w:cs="FrankRuehl"/>
          <w:color w:val="0000FF"/>
          <w:szCs w:val="28"/>
          <w:u w:val="single"/>
          <w:rtl/>
        </w:rPr>
        <w:instrText xml:space="preserve"> "</w:instrText>
      </w:r>
      <w:r>
        <w:rPr>
          <w:rFonts w:ascii="Arial" w:hAnsi="Arial" w:cs="FrankRuehl"/>
          <w:color w:val="0000FF"/>
          <w:szCs w:val="28"/>
          <w:u w:val="single"/>
        </w:rPr>
        <w:instrText>http://www.nevo.co.il/case/20003034</w:instrText>
      </w:r>
      <w:r>
        <w:rPr>
          <w:rFonts w:ascii="Arial" w:hAnsi="Arial" w:cs="FrankRuehl"/>
          <w:color w:val="0000FF"/>
          <w:szCs w:val="28"/>
          <w:u w:val="single"/>
          <w:rtl/>
        </w:rPr>
        <w:instrText xml:space="preserve">" </w:instrText>
      </w:r>
      <w:r>
        <w:rPr>
          <w:rFonts w:ascii="Arial" w:hAnsi="Arial" w:cs="FrankRuehl"/>
          <w:color w:val="0000FF"/>
          <w:szCs w:val="28"/>
          <w:u w:val="single"/>
          <w:rtl/>
        </w:rPr>
      </w:r>
      <w:r>
        <w:rPr>
          <w:rFonts w:ascii="Arial" w:hAnsi="Arial" w:cs="FrankRuehl"/>
          <w:color w:val="0000FF"/>
          <w:szCs w:val="28"/>
          <w:u w:val="single"/>
          <w:rtl/>
        </w:rPr>
        <w:fldChar w:fldCharType="separate"/>
      </w:r>
      <w:bookmarkEnd w:id="7"/>
      <w:r>
        <w:rPr>
          <w:rFonts w:ascii="Arial" w:hAnsi="Arial" w:cs="FrankRuehl"/>
          <w:color w:val="0000FF"/>
          <w:szCs w:val="28"/>
          <w:u w:val="single"/>
          <w:rtl/>
        </w:rPr>
        <w:t>ע"פ  617/15</w:t>
      </w:r>
      <w:r>
        <w:rPr>
          <w:rFonts w:ascii="Arial" w:hAnsi="Arial" w:cs="FrankRuehl"/>
          <w:color w:val="0000FF"/>
          <w:szCs w:val="28"/>
          <w:u w:val="single"/>
          <w:rtl/>
        </w:rPr>
        <w:fldChar w:fldCharType="end"/>
      </w:r>
      <w:r>
        <w:rPr>
          <w:rFonts w:ascii="Arial" w:hAnsi="Arial" w:cs="FrankRuehl"/>
          <w:szCs w:val="28"/>
          <w:rtl/>
        </w:rPr>
        <w:t xml:space="preserve"> </w:t>
      </w:r>
      <w:r>
        <w:rPr>
          <w:rFonts w:ascii="Arial" w:hAnsi="Arial" w:cs="Miriam"/>
          <w:rtl/>
        </w:rPr>
        <w:t>מונתסר נ' מדינת ישראל</w:t>
      </w:r>
      <w:r>
        <w:rPr>
          <w:rFonts w:ascii="Arial" w:hAnsi="Arial" w:cs="FrankRuehl"/>
          <w:szCs w:val="28"/>
          <w:rtl/>
        </w:rPr>
        <w:t xml:space="preserve"> </w:t>
      </w:r>
      <w:r>
        <w:rPr>
          <w:sz w:val="22"/>
          <w:rtl/>
        </w:rPr>
        <w:t xml:space="preserve">[פורסם בנבו] </w:t>
      </w:r>
      <w:r>
        <w:rPr>
          <w:rFonts w:ascii="Arial" w:hAnsi="Arial" w:cs="FrankRuehl"/>
          <w:szCs w:val="28"/>
          <w:rtl/>
        </w:rPr>
        <w:t>(‏2.4.2015)).</w:t>
      </w:r>
    </w:p>
    <w:p w14:paraId="4E8FFE7C" w14:textId="77777777" w:rsidR="00CE7F0A" w:rsidRDefault="00CE7F0A">
      <w:pPr>
        <w:spacing w:before="120" w:after="240" w:line="360" w:lineRule="auto"/>
        <w:ind w:left="708"/>
        <w:jc w:val="both"/>
        <w:rPr>
          <w:rFonts w:ascii="Arial" w:hAnsi="Arial" w:cs="FrankRuehl"/>
          <w:szCs w:val="28"/>
          <w:u w:val="single"/>
          <w:rtl/>
        </w:rPr>
      </w:pPr>
      <w:r>
        <w:rPr>
          <w:rFonts w:ascii="Arial" w:hAnsi="Arial" w:cs="FrankRuehl"/>
          <w:szCs w:val="28"/>
          <w:rtl/>
        </w:rPr>
        <w:t xml:space="preserve">בהתחשב בערכים החברתיים שנפגעו מביצוע העבירות, במידת הפגיעה בהם, במדיניות הענישה הנהוגה ובנסיבות הקשורות בביצוע העבירות אני קובע כי העונש ההולם במקרה זה הוא מאסר במתחם שבין </w:t>
      </w:r>
      <w:r>
        <w:rPr>
          <w:rFonts w:ascii="Arial" w:hAnsi="Arial" w:cs="FrankRuehl"/>
          <w:szCs w:val="28"/>
          <w:u w:val="single"/>
          <w:rtl/>
        </w:rPr>
        <w:t>18</w:t>
      </w:r>
      <w:r>
        <w:rPr>
          <w:rFonts w:ascii="Arial" w:hAnsi="Arial" w:cs="FrankRuehl"/>
          <w:szCs w:val="28"/>
          <w:rtl/>
        </w:rPr>
        <w:t xml:space="preserve"> לבין </w:t>
      </w:r>
      <w:r>
        <w:rPr>
          <w:rFonts w:ascii="Arial" w:hAnsi="Arial" w:cs="FrankRuehl"/>
          <w:szCs w:val="28"/>
          <w:u w:val="single"/>
          <w:rtl/>
        </w:rPr>
        <w:t xml:space="preserve">42 </w:t>
      </w:r>
      <w:r>
        <w:rPr>
          <w:rFonts w:ascii="Arial" w:hAnsi="Arial" w:cs="FrankRuehl"/>
          <w:szCs w:val="28"/>
          <w:rtl/>
        </w:rPr>
        <w:t>חודשי מאסר בפועל.</w:t>
      </w:r>
    </w:p>
    <w:p w14:paraId="0522BF74" w14:textId="77777777" w:rsidR="00CE7F0A" w:rsidRDefault="00CE7F0A">
      <w:pPr>
        <w:spacing w:line="360" w:lineRule="auto"/>
        <w:ind w:firstLine="708"/>
        <w:contextualSpacing/>
        <w:rPr>
          <w:rFonts w:ascii="Arial" w:hAnsi="Arial" w:cs="Miriam"/>
          <w:rtl/>
        </w:rPr>
      </w:pPr>
      <w:r>
        <w:rPr>
          <w:rFonts w:ascii="Arial" w:hAnsi="Arial" w:cs="Miriam"/>
          <w:rtl/>
        </w:rPr>
        <w:t>האירוע השני - מתחם העונש ההולם</w:t>
      </w:r>
    </w:p>
    <w:p w14:paraId="211787E7" w14:textId="77777777" w:rsidR="00CE7F0A" w:rsidRDefault="00CE7F0A">
      <w:pPr>
        <w:numPr>
          <w:ilvl w:val="0"/>
          <w:numId w:val="1"/>
        </w:numPr>
        <w:spacing w:after="120" w:line="360" w:lineRule="auto"/>
        <w:contextualSpacing/>
        <w:jc w:val="both"/>
        <w:rPr>
          <w:rFonts w:ascii="Arial" w:hAnsi="Arial" w:cs="FrankRuehl"/>
          <w:color w:val="000000"/>
          <w:sz w:val="28"/>
          <w:szCs w:val="28"/>
          <w:rtl/>
        </w:rPr>
      </w:pPr>
      <w:r>
        <w:rPr>
          <w:rFonts w:ascii="Arial" w:hAnsi="Arial" w:cs="FrankRuehl"/>
          <w:color w:val="000000"/>
          <w:sz w:val="28"/>
          <w:szCs w:val="28"/>
          <w:rtl/>
        </w:rPr>
        <w:t xml:space="preserve">לפי עובדות כתב האישום המתוקן באירוע השני החזיק הנאשם סמוך לביתו </w:t>
      </w:r>
      <w:r>
        <w:rPr>
          <w:rFonts w:ascii="Arial" w:hAnsi="Arial" w:cs="FrankRuehl"/>
          <w:szCs w:val="28"/>
          <w:rtl/>
        </w:rPr>
        <w:t>34 כדורי רובה בקוטר 5.56 מ"מ וכדור בודד לרובה צייד</w:t>
      </w:r>
      <w:r>
        <w:rPr>
          <w:rFonts w:ascii="Arial" w:hAnsi="Arial" w:cs="FrankRuehl"/>
          <w:color w:val="000000"/>
          <w:sz w:val="28"/>
          <w:szCs w:val="28"/>
          <w:rtl/>
        </w:rPr>
        <w:t xml:space="preserve"> וזאת בלא רשות על פי הדין.</w:t>
      </w:r>
    </w:p>
    <w:p w14:paraId="1EC57CB1" w14:textId="77777777" w:rsidR="00CE7F0A" w:rsidRDefault="00CE7F0A">
      <w:pPr>
        <w:spacing w:before="120" w:after="120" w:line="360" w:lineRule="auto"/>
        <w:ind w:left="720"/>
        <w:jc w:val="both"/>
        <w:rPr>
          <w:rFonts w:ascii="Arial" w:hAnsi="Arial" w:cs="FrankRuehl"/>
          <w:sz w:val="28"/>
          <w:szCs w:val="28"/>
          <w:rtl/>
        </w:rPr>
      </w:pPr>
    </w:p>
    <w:p w14:paraId="194D48A0" w14:textId="77777777" w:rsidR="00CE7F0A" w:rsidRDefault="00CE7F0A">
      <w:pPr>
        <w:spacing w:before="120" w:after="120" w:line="360" w:lineRule="auto"/>
        <w:ind w:left="720"/>
        <w:jc w:val="both"/>
        <w:rPr>
          <w:rFonts w:ascii="Arial" w:hAnsi="Arial" w:cs="FrankRuehl"/>
          <w:color w:val="000000"/>
          <w:sz w:val="28"/>
          <w:szCs w:val="28"/>
          <w:rtl/>
        </w:rPr>
      </w:pPr>
      <w:r>
        <w:rPr>
          <w:rFonts w:ascii="Arial" w:hAnsi="Arial" w:cs="FrankRuehl"/>
          <w:sz w:val="28"/>
          <w:szCs w:val="28"/>
          <w:rtl/>
        </w:rPr>
        <w:t>הערכים המוגנים שנפגעו ממעשה זה של הנאשם הם ביטחון הציבור ושלומו, אשר נפגעו בצורה  קלה.</w:t>
      </w:r>
    </w:p>
    <w:p w14:paraId="44E7F00D" w14:textId="77777777" w:rsidR="00CE7F0A" w:rsidRDefault="00CE7F0A">
      <w:pPr>
        <w:spacing w:before="120" w:after="120" w:line="360" w:lineRule="auto"/>
        <w:ind w:left="720"/>
        <w:jc w:val="both"/>
        <w:rPr>
          <w:rFonts w:ascii="Arial" w:hAnsi="Arial" w:cs="FrankRuehl"/>
          <w:szCs w:val="28"/>
          <w:u w:val="single"/>
          <w:rtl/>
        </w:rPr>
      </w:pPr>
      <w:r>
        <w:rPr>
          <w:rFonts w:ascii="Arial" w:hAnsi="Arial" w:cs="FrankRuehl"/>
          <w:color w:val="000000"/>
          <w:sz w:val="28"/>
          <w:szCs w:val="28"/>
          <w:rtl/>
        </w:rPr>
        <w:t xml:space="preserve">אין להקל ראש גם </w:t>
      </w:r>
      <w:r>
        <w:rPr>
          <w:rFonts w:ascii="Arial" w:hAnsi="Arial" w:cs="FrankRuehl" w:hint="cs"/>
          <w:color w:val="000000"/>
          <w:sz w:val="28"/>
          <w:szCs w:val="28"/>
          <w:rtl/>
        </w:rPr>
        <w:t>ב</w:t>
      </w:r>
      <w:r>
        <w:rPr>
          <w:rFonts w:ascii="Arial" w:hAnsi="Arial" w:cs="FrankRuehl"/>
          <w:color w:val="000000"/>
          <w:sz w:val="28"/>
          <w:szCs w:val="28"/>
          <w:rtl/>
        </w:rPr>
        <w:t xml:space="preserve">החזקת תחמושת שלא כדין ומיותר להזכיר כי לנשק אין ערך ללא התחמושת ופוטנציאל הנזק הטמון בה רב. מאחר ועבירה זו אינה עומדת בפני עצמה והיא קלה בהתחשב בכל העבירות האחרות אקבע כי </w:t>
      </w:r>
      <w:r>
        <w:rPr>
          <w:rFonts w:ascii="Arial" w:hAnsi="Arial" w:cs="FrankRuehl"/>
          <w:szCs w:val="28"/>
          <w:rtl/>
        </w:rPr>
        <w:t xml:space="preserve">העונש ההולם במקרה זה הוא </w:t>
      </w:r>
      <w:r>
        <w:rPr>
          <w:rFonts w:ascii="Arial" w:hAnsi="Arial" w:cs="FrankRuehl"/>
          <w:szCs w:val="28"/>
          <w:u w:val="single"/>
          <w:rtl/>
        </w:rPr>
        <w:t>ממאסר על תנאי ועד מאסר בפועל שיכול להיות בעבודות שירות.</w:t>
      </w:r>
    </w:p>
    <w:p w14:paraId="10F0F8F8" w14:textId="77777777" w:rsidR="00CE7F0A" w:rsidRDefault="00CE7F0A">
      <w:pPr>
        <w:spacing w:after="120" w:line="360" w:lineRule="auto"/>
        <w:contextualSpacing/>
        <w:jc w:val="both"/>
        <w:rPr>
          <w:rFonts w:ascii="Arial" w:hAnsi="Arial" w:cs="FrankRuehl"/>
          <w:szCs w:val="28"/>
          <w:u w:val="single"/>
          <w:rtl/>
        </w:rPr>
      </w:pPr>
    </w:p>
    <w:p w14:paraId="078BF832" w14:textId="77777777" w:rsidR="00CE7F0A" w:rsidRDefault="00CE7F0A">
      <w:pPr>
        <w:spacing w:after="120" w:line="360" w:lineRule="auto"/>
        <w:ind w:firstLine="720"/>
        <w:contextualSpacing/>
        <w:rPr>
          <w:rFonts w:ascii="Arial" w:hAnsi="Arial" w:cs="FrankRuehl"/>
          <w:color w:val="000000"/>
          <w:sz w:val="28"/>
          <w:szCs w:val="28"/>
          <w:rtl/>
        </w:rPr>
      </w:pPr>
      <w:r>
        <w:rPr>
          <w:rFonts w:ascii="Arial" w:hAnsi="Arial" w:cs="Miriam"/>
          <w:rtl/>
        </w:rPr>
        <w:t>האירוע השלישי - מתחם העונש ההולם</w:t>
      </w:r>
    </w:p>
    <w:p w14:paraId="1FBD4F30" w14:textId="77777777" w:rsidR="00CE7F0A" w:rsidRDefault="00CE7F0A">
      <w:pPr>
        <w:numPr>
          <w:ilvl w:val="0"/>
          <w:numId w:val="1"/>
        </w:numPr>
        <w:spacing w:after="120" w:line="360" w:lineRule="auto"/>
        <w:contextualSpacing/>
        <w:jc w:val="both"/>
        <w:rPr>
          <w:rFonts w:ascii="Arial" w:hAnsi="Arial" w:cs="FrankRuehl"/>
          <w:color w:val="000000"/>
          <w:sz w:val="28"/>
          <w:szCs w:val="28"/>
          <w:rtl/>
        </w:rPr>
      </w:pPr>
      <w:r>
        <w:rPr>
          <w:rFonts w:ascii="Arial" w:hAnsi="Arial" w:cs="FrankRuehl"/>
          <w:color w:val="000000"/>
          <w:sz w:val="28"/>
          <w:szCs w:val="28"/>
          <w:rtl/>
        </w:rPr>
        <w:t xml:space="preserve">לפי עובדות כתב האישום </w:t>
      </w:r>
      <w:r>
        <w:rPr>
          <w:rFonts w:ascii="Arial" w:hAnsi="Arial" w:cs="FrankRuehl" w:hint="cs"/>
          <w:color w:val="000000"/>
          <w:sz w:val="28"/>
          <w:szCs w:val="28"/>
          <w:rtl/>
        </w:rPr>
        <w:t xml:space="preserve">המתוקן </w:t>
      </w:r>
      <w:r>
        <w:rPr>
          <w:rFonts w:ascii="Arial" w:hAnsi="Arial" w:cs="FrankRuehl"/>
          <w:color w:val="000000"/>
          <w:sz w:val="28"/>
          <w:szCs w:val="28"/>
          <w:rtl/>
        </w:rPr>
        <w:t>שצורף, שבוע ימים לפני שנמצאה אצל הנאשם התחמושת, ביום 24.1.2017, נמצא בביתו של הנאשם תת מקלע מאולתר מסוג "קרל גוסטב" ללא שהייתה לו רשות על פי דין להחזיקו.</w:t>
      </w:r>
    </w:p>
    <w:p w14:paraId="3C93A0AE" w14:textId="77777777" w:rsidR="00CE7F0A" w:rsidRDefault="00CE7F0A">
      <w:pPr>
        <w:spacing w:line="360" w:lineRule="auto"/>
        <w:jc w:val="both"/>
        <w:rPr>
          <w:rFonts w:ascii="Arial" w:hAnsi="Arial" w:cs="FrankRuehl"/>
          <w:sz w:val="28"/>
          <w:szCs w:val="28"/>
          <w:rtl/>
        </w:rPr>
      </w:pPr>
    </w:p>
    <w:p w14:paraId="06880E8D" w14:textId="77777777" w:rsidR="00CE7F0A" w:rsidRDefault="00CE7F0A">
      <w:pPr>
        <w:spacing w:line="360" w:lineRule="auto"/>
        <w:ind w:firstLine="720"/>
        <w:jc w:val="both"/>
        <w:rPr>
          <w:rFonts w:ascii="Arial" w:hAnsi="Arial" w:cs="FrankRuehl"/>
          <w:sz w:val="28"/>
          <w:szCs w:val="28"/>
          <w:rtl/>
        </w:rPr>
      </w:pPr>
      <w:r>
        <w:rPr>
          <w:rFonts w:ascii="Arial" w:hAnsi="Arial" w:cs="FrankRuehl"/>
          <w:sz w:val="28"/>
          <w:szCs w:val="28"/>
          <w:rtl/>
        </w:rPr>
        <w:t>באירוע זה נפגעו בצורה בינונית ערכים מוגנים של פגיעה בביטחון הציבור ושלומו.</w:t>
      </w:r>
    </w:p>
    <w:p w14:paraId="2CA2FACF" w14:textId="77777777" w:rsidR="00CE7F0A" w:rsidRDefault="00CE7F0A">
      <w:pPr>
        <w:spacing w:line="360" w:lineRule="auto"/>
        <w:jc w:val="both"/>
        <w:rPr>
          <w:rFonts w:ascii="Arial" w:hAnsi="Arial" w:cs="FrankRuehl"/>
          <w:color w:val="000000"/>
          <w:sz w:val="28"/>
          <w:szCs w:val="28"/>
          <w:rtl/>
        </w:rPr>
      </w:pPr>
    </w:p>
    <w:p w14:paraId="037CAAE6" w14:textId="77777777" w:rsidR="00CE7F0A" w:rsidRDefault="00CE7F0A">
      <w:pPr>
        <w:spacing w:line="360" w:lineRule="auto"/>
        <w:ind w:left="720"/>
        <w:jc w:val="both"/>
        <w:rPr>
          <w:rFonts w:ascii="Arial" w:hAnsi="Arial" w:cs="FrankRuehl"/>
          <w:color w:val="000000"/>
          <w:sz w:val="28"/>
          <w:szCs w:val="28"/>
          <w:rtl/>
        </w:rPr>
      </w:pPr>
      <w:r>
        <w:rPr>
          <w:rFonts w:ascii="Arial" w:hAnsi="Arial" w:cs="FrankRuehl"/>
          <w:color w:val="000000"/>
          <w:sz w:val="28"/>
          <w:szCs w:val="28"/>
          <w:rtl/>
        </w:rPr>
        <w:t>לעניין מדיניות הענישה הנהוגה ראו המדיניות המוזכרת בא</w:t>
      </w:r>
      <w:r>
        <w:rPr>
          <w:rFonts w:ascii="Arial" w:hAnsi="Arial" w:cs="FrankRuehl" w:hint="cs"/>
          <w:color w:val="000000"/>
          <w:sz w:val="28"/>
          <w:szCs w:val="28"/>
          <w:rtl/>
        </w:rPr>
        <w:t>י</w:t>
      </w:r>
      <w:r>
        <w:rPr>
          <w:rFonts w:ascii="Arial" w:hAnsi="Arial" w:cs="FrankRuehl"/>
          <w:color w:val="000000"/>
          <w:sz w:val="28"/>
          <w:szCs w:val="28"/>
          <w:rtl/>
        </w:rPr>
        <w:t xml:space="preserve">רוע הראשון לגבי פסקי דין שדנים רק בהחזקה או קביעת המדיניות הראויה לעבירות נשק. </w:t>
      </w:r>
    </w:p>
    <w:p w14:paraId="60B4E8E8" w14:textId="77777777" w:rsidR="00CE7F0A" w:rsidRDefault="00CE7F0A">
      <w:pPr>
        <w:spacing w:line="360" w:lineRule="auto"/>
        <w:jc w:val="both"/>
        <w:rPr>
          <w:rFonts w:ascii="Arial" w:hAnsi="Arial" w:cs="FrankRuehl"/>
          <w:color w:val="000000"/>
          <w:sz w:val="28"/>
          <w:szCs w:val="28"/>
          <w:rtl/>
        </w:rPr>
      </w:pPr>
    </w:p>
    <w:p w14:paraId="175804B2" w14:textId="77777777" w:rsidR="00CE7F0A" w:rsidRDefault="00CE7F0A">
      <w:pPr>
        <w:spacing w:line="360" w:lineRule="auto"/>
        <w:ind w:left="720"/>
        <w:jc w:val="both"/>
        <w:rPr>
          <w:rFonts w:ascii="Arial" w:hAnsi="Arial" w:cs="FrankRuehl"/>
          <w:color w:val="000000"/>
          <w:sz w:val="28"/>
          <w:szCs w:val="28"/>
          <w:rtl/>
        </w:rPr>
      </w:pPr>
      <w:r>
        <w:rPr>
          <w:rFonts w:ascii="Arial" w:hAnsi="Arial" w:cs="FrankRuehl"/>
          <w:color w:val="000000"/>
          <w:sz w:val="28"/>
          <w:szCs w:val="28"/>
          <w:rtl/>
        </w:rPr>
        <w:t>הסניגור הפנה בין היתר, ל</w:t>
      </w:r>
      <w:hyperlink r:id="rId30" w:history="1">
        <w:r>
          <w:rPr>
            <w:rFonts w:ascii="Arial" w:hAnsi="Arial" w:cs="FrankRuehl"/>
            <w:color w:val="0000FF"/>
            <w:sz w:val="28"/>
            <w:szCs w:val="28"/>
            <w:u w:val="single"/>
            <w:rtl/>
          </w:rPr>
          <w:t>ת"פ 3622-10-13</w:t>
        </w:r>
      </w:hyperlink>
      <w:r>
        <w:rPr>
          <w:rFonts w:ascii="Arial" w:hAnsi="Arial" w:cs="Miriam"/>
          <w:rtl/>
        </w:rPr>
        <w:t xml:space="preserve"> מדינת ישראל נגד   עמאש </w:t>
      </w:r>
      <w:r>
        <w:rPr>
          <w:sz w:val="22"/>
          <w:rtl/>
        </w:rPr>
        <w:t xml:space="preserve">[פורסם בנבו] </w:t>
      </w:r>
      <w:r>
        <w:rPr>
          <w:rFonts w:ascii="Arial" w:hAnsi="Arial" w:cs="FrankRuehl"/>
          <w:color w:val="000000"/>
          <w:sz w:val="28"/>
          <w:szCs w:val="28"/>
          <w:rtl/>
        </w:rPr>
        <w:t>(5.5.2015)  שנדון בפניי בו קבעתי מתחם ענישה בין 8 ל-24 חודשי מאסר בפועל, העבירה הייתה של נשיאה והובלה של נשק מסוג תת מקלע דמוי קארל גוסטב (</w:t>
      </w:r>
      <w:r>
        <w:rPr>
          <w:rFonts w:ascii="Arial" w:hAnsi="Arial" w:cs="FrankRuehl" w:hint="cs"/>
          <w:color w:val="000000"/>
          <w:sz w:val="28"/>
          <w:szCs w:val="28"/>
          <w:rtl/>
        </w:rPr>
        <w:t>ב</w:t>
      </w:r>
      <w:r>
        <w:rPr>
          <w:rFonts w:ascii="Arial" w:hAnsi="Arial" w:cs="FrankRuehl"/>
          <w:color w:val="000000"/>
          <w:sz w:val="28"/>
          <w:szCs w:val="28"/>
          <w:rtl/>
        </w:rPr>
        <w:t>עת קביעת העונש המתאים חרגתי מהמתחם משיקולי שיקום).</w:t>
      </w:r>
    </w:p>
    <w:p w14:paraId="26B8D02C" w14:textId="77777777" w:rsidR="00CE7F0A" w:rsidRDefault="00CE7F0A">
      <w:pPr>
        <w:tabs>
          <w:tab w:val="left" w:pos="800"/>
          <w:tab w:val="num" w:pos="907"/>
        </w:tabs>
        <w:overflowPunct w:val="0"/>
        <w:adjustRightInd w:val="0"/>
        <w:spacing w:line="360" w:lineRule="auto"/>
        <w:ind w:right="142"/>
        <w:jc w:val="both"/>
        <w:rPr>
          <w:rFonts w:ascii="Arial" w:hAnsi="Arial" w:cs="FrankRuehl"/>
          <w:szCs w:val="28"/>
          <w:rtl/>
        </w:rPr>
      </w:pPr>
    </w:p>
    <w:p w14:paraId="1B16E19B" w14:textId="77777777" w:rsidR="00CE7F0A" w:rsidRDefault="00CE7F0A">
      <w:pPr>
        <w:overflowPunct w:val="0"/>
        <w:adjustRightInd w:val="0"/>
        <w:spacing w:before="120" w:after="120" w:line="360" w:lineRule="auto"/>
        <w:ind w:left="720" w:right="142"/>
        <w:contextualSpacing/>
        <w:jc w:val="both"/>
        <w:rPr>
          <w:rFonts w:ascii="Arial" w:hAnsi="Arial" w:cs="FrankRuehl"/>
          <w:szCs w:val="28"/>
          <w:u w:val="single"/>
        </w:rPr>
      </w:pPr>
      <w:r>
        <w:rPr>
          <w:rFonts w:ascii="Arial" w:hAnsi="Arial" w:cs="FrankRuehl"/>
          <w:szCs w:val="28"/>
          <w:rtl/>
        </w:rPr>
        <w:t>אשר לנסיבות הקשורות בביצוע העבירה (</w:t>
      </w:r>
      <w:hyperlink r:id="rId31" w:history="1">
        <w:r>
          <w:rPr>
            <w:rFonts w:ascii="Arial" w:hAnsi="Arial" w:cs="FrankRuehl"/>
            <w:color w:val="0000FF"/>
            <w:szCs w:val="28"/>
            <w:u w:val="single"/>
            <w:rtl/>
          </w:rPr>
          <w:t>סעיף 40ט'</w:t>
        </w:r>
      </w:hyperlink>
      <w:r>
        <w:rPr>
          <w:rFonts w:ascii="Arial" w:hAnsi="Arial" w:cs="FrankRuehl"/>
          <w:szCs w:val="28"/>
          <w:rtl/>
        </w:rPr>
        <w:t xml:space="preserve"> לחוק), </w:t>
      </w:r>
      <w:r>
        <w:rPr>
          <w:rFonts w:ascii="Arial" w:hAnsi="Arial" w:cs="FrankRuehl"/>
          <w:color w:val="000000"/>
          <w:sz w:val="28"/>
          <w:szCs w:val="28"/>
          <w:rtl/>
        </w:rPr>
        <w:t xml:space="preserve">אין בעובדות כתב האישום שצורף פרטים </w:t>
      </w:r>
      <w:r>
        <w:rPr>
          <w:rFonts w:ascii="Arial" w:hAnsi="Arial" w:cs="FrankRuehl"/>
          <w:szCs w:val="28"/>
          <w:rtl/>
        </w:rPr>
        <w:t xml:space="preserve">מעבר לעצם ההחזקה. </w:t>
      </w:r>
    </w:p>
    <w:p w14:paraId="57D9C4EF" w14:textId="77777777" w:rsidR="00CE7F0A" w:rsidRDefault="00CE7F0A">
      <w:pPr>
        <w:overflowPunct w:val="0"/>
        <w:adjustRightInd w:val="0"/>
        <w:spacing w:before="120" w:after="120" w:line="360" w:lineRule="auto"/>
        <w:ind w:left="-58" w:right="142" w:firstLine="778"/>
        <w:contextualSpacing/>
        <w:jc w:val="both"/>
        <w:rPr>
          <w:rFonts w:ascii="Arial" w:hAnsi="Arial" w:cs="FrankRuehl"/>
          <w:szCs w:val="28"/>
          <w:rtl/>
        </w:rPr>
      </w:pPr>
    </w:p>
    <w:p w14:paraId="5864E58E" w14:textId="77777777" w:rsidR="00CE7F0A" w:rsidRDefault="00CE7F0A">
      <w:pPr>
        <w:overflowPunct w:val="0"/>
        <w:adjustRightInd w:val="0"/>
        <w:spacing w:before="120" w:after="120" w:line="360" w:lineRule="auto"/>
        <w:ind w:left="720" w:right="142"/>
        <w:contextualSpacing/>
        <w:jc w:val="both"/>
        <w:rPr>
          <w:rFonts w:ascii="Arial" w:hAnsi="Arial" w:cs="FrankRuehl"/>
          <w:szCs w:val="28"/>
          <w:u w:val="single"/>
          <w:rtl/>
        </w:rPr>
      </w:pPr>
      <w:r>
        <w:rPr>
          <w:rFonts w:ascii="Arial" w:hAnsi="Arial" w:cs="FrankRuehl"/>
          <w:szCs w:val="28"/>
          <w:rtl/>
        </w:rPr>
        <w:t xml:space="preserve">בהתחשב בערכים החברתיים שנפגעו מביצוע העבירה, במידת הפגיעה בהם, במדיניות הענישה הנהוגה ובנסיבות הקשורות בביצוע העבירה אני קובע כי העונש ההולם במקרה זה הוא מאסר במתחם שבין </w:t>
      </w:r>
      <w:r>
        <w:rPr>
          <w:rFonts w:ascii="Arial" w:hAnsi="Arial" w:cs="FrankRuehl" w:hint="cs"/>
          <w:szCs w:val="28"/>
          <w:u w:val="single"/>
          <w:rtl/>
        </w:rPr>
        <w:t>8</w:t>
      </w:r>
      <w:r>
        <w:rPr>
          <w:rFonts w:ascii="Arial" w:hAnsi="Arial" w:cs="FrankRuehl"/>
          <w:szCs w:val="28"/>
          <w:rtl/>
        </w:rPr>
        <w:t xml:space="preserve"> לבין </w:t>
      </w:r>
      <w:r>
        <w:rPr>
          <w:rFonts w:ascii="Arial" w:hAnsi="Arial" w:cs="FrankRuehl"/>
          <w:szCs w:val="28"/>
          <w:u w:val="single"/>
          <w:rtl/>
        </w:rPr>
        <w:t xml:space="preserve">24 </w:t>
      </w:r>
      <w:r>
        <w:rPr>
          <w:rFonts w:ascii="Arial" w:hAnsi="Arial" w:cs="FrankRuehl"/>
          <w:szCs w:val="28"/>
          <w:rtl/>
        </w:rPr>
        <w:t>חודשי מאסר בפועל.</w:t>
      </w:r>
    </w:p>
    <w:p w14:paraId="31C76588" w14:textId="77777777" w:rsidR="00CE7F0A" w:rsidRDefault="00CE7F0A">
      <w:pPr>
        <w:spacing w:line="360" w:lineRule="auto"/>
        <w:contextualSpacing/>
        <w:jc w:val="both"/>
        <w:rPr>
          <w:rFonts w:ascii="Arial" w:hAnsi="Arial" w:cs="Miriam"/>
          <w:szCs w:val="28"/>
          <w:rtl/>
        </w:rPr>
      </w:pPr>
    </w:p>
    <w:p w14:paraId="498EF04B" w14:textId="77777777" w:rsidR="00CE7F0A" w:rsidRDefault="00CE7F0A">
      <w:pPr>
        <w:spacing w:line="360" w:lineRule="auto"/>
        <w:ind w:firstLine="720"/>
        <w:contextualSpacing/>
        <w:jc w:val="both"/>
        <w:rPr>
          <w:rFonts w:ascii="Arial" w:hAnsi="Arial"/>
          <w:rtl/>
        </w:rPr>
      </w:pPr>
      <w:r>
        <w:rPr>
          <w:rFonts w:ascii="Arial" w:hAnsi="Arial" w:cs="Miriam"/>
          <w:rtl/>
        </w:rPr>
        <w:t>העונש המתאים</w:t>
      </w:r>
    </w:p>
    <w:p w14:paraId="0BA53794" w14:textId="77777777" w:rsidR="00CE7F0A" w:rsidRDefault="00CE7F0A">
      <w:pPr>
        <w:spacing w:line="360" w:lineRule="auto"/>
        <w:ind w:left="720"/>
        <w:contextualSpacing/>
        <w:jc w:val="both"/>
        <w:rPr>
          <w:rFonts w:ascii="Arial" w:hAnsi="Arial" w:cs="Guttman Yad-Brush"/>
          <w:szCs w:val="28"/>
        </w:rPr>
      </w:pPr>
      <w:r>
        <w:rPr>
          <w:rFonts w:ascii="Arial" w:hAnsi="Arial" w:cs="FrankRuehl"/>
          <w:szCs w:val="28"/>
          <w:rtl/>
        </w:rPr>
        <w:t xml:space="preserve">בהתאם </w:t>
      </w:r>
      <w:hyperlink r:id="rId32" w:history="1">
        <w:r>
          <w:rPr>
            <w:rFonts w:ascii="Arial" w:hAnsi="Arial" w:cs="FrankRuehl"/>
            <w:color w:val="0000FF"/>
            <w:szCs w:val="28"/>
            <w:u w:val="single"/>
            <w:rtl/>
          </w:rPr>
          <w:t>לסעיף 40יג(ב)</w:t>
        </w:r>
      </w:hyperlink>
      <w:r>
        <w:rPr>
          <w:rFonts w:ascii="Arial" w:hAnsi="Arial" w:cs="FrankRuehl"/>
          <w:szCs w:val="28"/>
          <w:rtl/>
        </w:rPr>
        <w:t xml:space="preserve"> החלטתי לגזור עונש כולל לכל האירועים.</w:t>
      </w:r>
    </w:p>
    <w:p w14:paraId="5C51E36F" w14:textId="77777777" w:rsidR="00CE7F0A" w:rsidRDefault="00CE7F0A">
      <w:pPr>
        <w:spacing w:before="120" w:after="120" w:line="360" w:lineRule="auto"/>
        <w:ind w:left="720"/>
        <w:jc w:val="both"/>
        <w:rPr>
          <w:rFonts w:ascii="Arial" w:hAnsi="Arial" w:cs="FrankRuehl"/>
          <w:szCs w:val="28"/>
          <w:rtl/>
        </w:rPr>
      </w:pPr>
    </w:p>
    <w:p w14:paraId="4C8EFBC8"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לא עומדת על הפרק שאלת שיקום, שירות המבחן גילה ספקנות באשר ליכולתו של הנאשם לבסס הליכי שיקום ולכן לא ניתנה המלצה טיפולית. </w:t>
      </w:r>
    </w:p>
    <w:p w14:paraId="245DF50F" w14:textId="77777777" w:rsidR="00CE7F0A" w:rsidRDefault="00CE7F0A">
      <w:pPr>
        <w:spacing w:before="120" w:after="120" w:line="360" w:lineRule="auto"/>
        <w:ind w:left="720"/>
        <w:contextualSpacing/>
        <w:jc w:val="both"/>
        <w:rPr>
          <w:rFonts w:ascii="Arial" w:hAnsi="Arial" w:cs="FrankRuehl"/>
          <w:szCs w:val="28"/>
          <w:rtl/>
        </w:rPr>
      </w:pPr>
    </w:p>
    <w:p w14:paraId="438F0C47" w14:textId="77777777" w:rsidR="00CE7F0A" w:rsidRDefault="00CE7F0A">
      <w:pPr>
        <w:spacing w:before="120" w:after="120" w:line="360" w:lineRule="auto"/>
        <w:ind w:left="720"/>
        <w:contextualSpacing/>
        <w:jc w:val="both"/>
        <w:rPr>
          <w:rFonts w:ascii="Arial" w:hAnsi="Arial" w:cs="FrankRuehl"/>
          <w:szCs w:val="28"/>
          <w:rtl/>
        </w:rPr>
      </w:pPr>
      <w:r>
        <w:rPr>
          <w:rFonts w:ascii="Arial" w:hAnsi="Arial" w:cs="FrankRuehl"/>
          <w:szCs w:val="28"/>
          <w:rtl/>
        </w:rPr>
        <w:t xml:space="preserve">חשוב לציין כי מטיעוני הסנגור ומתוכנו של תסקיר שירות המבחן עולה כי הנאשם, בחור צעיר בן 23, ללא עבר פלילי, עובד ומתפקד בצורה נורמטיבית ומאורס ויש לשקול שיקולים אלה לקולא. הנאשם נטל אחריות על מעשיו, הודה בהזדמנות הראשונה. </w:t>
      </w:r>
    </w:p>
    <w:p w14:paraId="61D6D2BD" w14:textId="77777777" w:rsidR="00CE7F0A" w:rsidRDefault="00CE7F0A">
      <w:pPr>
        <w:spacing w:line="360" w:lineRule="auto"/>
        <w:jc w:val="both"/>
        <w:rPr>
          <w:rFonts w:ascii="Arial" w:hAnsi="Arial" w:cs="FrankRuehl"/>
          <w:szCs w:val="28"/>
          <w:rtl/>
        </w:rPr>
      </w:pPr>
    </w:p>
    <w:p w14:paraId="095F796D" w14:textId="77777777" w:rsidR="00CE7F0A" w:rsidRDefault="00CE7F0A">
      <w:pPr>
        <w:spacing w:before="120" w:after="120" w:line="360" w:lineRule="auto"/>
        <w:ind w:left="720"/>
        <w:jc w:val="both"/>
        <w:rPr>
          <w:rFonts w:ascii="Arial" w:hAnsi="Arial" w:cs="FrankRuehl"/>
          <w:szCs w:val="28"/>
          <w:rtl/>
        </w:rPr>
      </w:pPr>
      <w:r>
        <w:rPr>
          <w:rFonts w:ascii="Arial" w:hAnsi="Arial" w:cs="FrankRuehl"/>
          <w:szCs w:val="28"/>
          <w:rtl/>
        </w:rPr>
        <w:t xml:space="preserve">מצד שני לא ניתן להתעלם מהשילוב במודע של הסעת שב"ח והובלה ונשיאה בנשק בו זמנית ומכך שלא מדובר במעידה חד פעמית. בחודש דצמבר 2016, החזיק הנאשם ברובה צייד, הסיע לאחר מכן את השב"ח לברטעה ברכבו עם הנשק, הסיע לאחר מכן את השב"ח לעכברה עם הנשק, ראה אותו יורה בנשק ומוכרו לאדם זר. בחלוף כחודש החזיק בביתו תחמושת, בחלוף שבוע נוסף החזיק בביתו תת מקלע מאולתר. שילוב של מספר רב של ארועים המצביעה על סטיה מדרך הישר המחייבת הרתעה אישית של הנאשם והרתעת הרבים ואני סבור כי יש סיכוי של ממש כי העונש המתאים יביא להרתעת הנאשם והרתעת </w:t>
      </w:r>
      <w:r>
        <w:rPr>
          <w:rFonts w:ascii="Arial" w:hAnsi="Arial" w:cs="FrankRuehl"/>
          <w:szCs w:val="28"/>
          <w:rtl/>
        </w:rPr>
        <w:t>הרבים.</w:t>
      </w:r>
    </w:p>
    <w:p w14:paraId="2EC1F921" w14:textId="77777777" w:rsidR="00CE7F0A" w:rsidRDefault="00CE7F0A">
      <w:pPr>
        <w:spacing w:before="120" w:after="120" w:line="360" w:lineRule="auto"/>
        <w:jc w:val="both"/>
        <w:rPr>
          <w:rFonts w:ascii="Arial" w:hAnsi="Arial" w:cs="FrankRuehl"/>
          <w:szCs w:val="28"/>
          <w:rtl/>
        </w:rPr>
      </w:pPr>
    </w:p>
    <w:p w14:paraId="627F391C" w14:textId="77777777" w:rsidR="00CE7F0A" w:rsidRDefault="00CE7F0A">
      <w:pPr>
        <w:spacing w:line="360" w:lineRule="auto"/>
        <w:ind w:left="720"/>
        <w:jc w:val="both"/>
        <w:rPr>
          <w:rFonts w:ascii="Arial" w:hAnsi="Arial" w:cs="FrankRuehl"/>
          <w:szCs w:val="28"/>
          <w:rtl/>
        </w:rPr>
      </w:pPr>
      <w:r>
        <w:rPr>
          <w:rFonts w:ascii="Arial" w:hAnsi="Arial" w:cs="FrankRuehl"/>
          <w:szCs w:val="28"/>
          <w:rtl/>
        </w:rPr>
        <w:t xml:space="preserve">בטרם סיום- הנאשם היה עצור באיזוק אלקטרוני מיום 26.3.2017 ועד ליום 18.10.2017, תקופה מעצר זו לא תנוכה מתקופת המאסר שאטיל על הנאשם. אך אתחשב בה בעת קביעת העונש המתאים  (ראו לענין זה </w:t>
      </w:r>
      <w:hyperlink r:id="rId33" w:history="1">
        <w:r>
          <w:rPr>
            <w:rFonts w:ascii="Arial" w:hAnsi="Arial" w:cs="FrankRuehl"/>
            <w:color w:val="0000FF"/>
            <w:szCs w:val="28"/>
            <w:u w:val="single"/>
            <w:rtl/>
          </w:rPr>
          <w:t>ע"פ 7768/15</w:t>
        </w:r>
      </w:hyperlink>
      <w:r>
        <w:rPr>
          <w:rFonts w:ascii="Arial" w:hAnsi="Arial" w:cs="FrankRuehl"/>
          <w:szCs w:val="28"/>
          <w:rtl/>
        </w:rPr>
        <w:t xml:space="preserve"> </w:t>
      </w:r>
      <w:r>
        <w:rPr>
          <w:rFonts w:ascii="Arial" w:hAnsi="Arial" w:cs="Miriam"/>
          <w:rtl/>
        </w:rPr>
        <w:t>פלוני נ' מדינת ישראל</w:t>
      </w:r>
      <w:r>
        <w:rPr>
          <w:rFonts w:ascii="Arial" w:hAnsi="Arial" w:cs="FrankRuehl"/>
          <w:szCs w:val="28"/>
          <w:rtl/>
        </w:rPr>
        <w:t xml:space="preserve"> </w:t>
      </w:r>
      <w:r>
        <w:rPr>
          <w:sz w:val="22"/>
          <w:rtl/>
        </w:rPr>
        <w:t xml:space="preserve">[פורסם בנבו] </w:t>
      </w:r>
      <w:r>
        <w:rPr>
          <w:rFonts w:ascii="Arial" w:hAnsi="Arial" w:cs="FrankRuehl"/>
          <w:szCs w:val="28"/>
          <w:rtl/>
        </w:rPr>
        <w:t>(20.4.2016);</w:t>
      </w:r>
      <w:r>
        <w:rPr>
          <w:rFonts w:ascii="Arial" w:hAnsi="Arial" w:cs="FrankRuehl" w:hint="cs"/>
          <w:szCs w:val="28"/>
          <w:rtl/>
        </w:rPr>
        <w:t xml:space="preserve"> </w:t>
      </w:r>
      <w:hyperlink r:id="rId34" w:history="1">
        <w:r>
          <w:rPr>
            <w:rFonts w:ascii="Arial" w:hAnsi="Arial" w:cs="FrankRuehl"/>
            <w:color w:val="0000FF"/>
            <w:szCs w:val="28"/>
            <w:u w:val="single"/>
            <w:rtl/>
          </w:rPr>
          <w:t>ע"פ 8547/15</w:t>
        </w:r>
      </w:hyperlink>
      <w:r>
        <w:rPr>
          <w:rFonts w:ascii="Arial" w:hAnsi="Arial" w:cs="FrankRuehl"/>
          <w:szCs w:val="28"/>
          <w:rtl/>
        </w:rPr>
        <w:t xml:space="preserve">, </w:t>
      </w:r>
      <w:r>
        <w:rPr>
          <w:rFonts w:ascii="Arial" w:hAnsi="Arial" w:cs="Miriam"/>
          <w:rtl/>
        </w:rPr>
        <w:t>מדינת ישראל נ' מחאג'נה</w:t>
      </w:r>
      <w:r>
        <w:rPr>
          <w:rFonts w:ascii="Arial" w:hAnsi="Arial" w:cs="FrankRuehl"/>
          <w:szCs w:val="28"/>
          <w:rtl/>
        </w:rPr>
        <w:t xml:space="preserve"> </w:t>
      </w:r>
      <w:r>
        <w:rPr>
          <w:sz w:val="22"/>
          <w:rtl/>
        </w:rPr>
        <w:t xml:space="preserve">[פורסם בנבו] </w:t>
      </w:r>
      <w:r>
        <w:rPr>
          <w:rFonts w:ascii="Arial" w:hAnsi="Arial" w:cs="FrankRuehl"/>
          <w:szCs w:val="28"/>
          <w:rtl/>
        </w:rPr>
        <w:t xml:space="preserve">(5.6.2016)). </w:t>
      </w:r>
    </w:p>
    <w:p w14:paraId="45BEC402" w14:textId="77777777" w:rsidR="00CE7F0A" w:rsidRDefault="00CE7F0A">
      <w:pPr>
        <w:spacing w:line="360" w:lineRule="auto"/>
        <w:jc w:val="both"/>
        <w:rPr>
          <w:rFonts w:ascii="Arial" w:hAnsi="Arial" w:cs="Miriam"/>
          <w:szCs w:val="28"/>
        </w:rPr>
      </w:pPr>
      <w:r>
        <w:rPr>
          <w:rFonts w:ascii="Arial" w:hAnsi="Arial" w:cs="Miriam"/>
          <w:szCs w:val="28"/>
          <w:rtl/>
        </w:rPr>
        <w:tab/>
      </w:r>
    </w:p>
    <w:p w14:paraId="42725C97" w14:textId="77777777" w:rsidR="00CE7F0A" w:rsidRDefault="00CE7F0A">
      <w:pPr>
        <w:spacing w:line="360" w:lineRule="auto"/>
        <w:ind w:firstLine="720"/>
        <w:jc w:val="both"/>
        <w:rPr>
          <w:rFonts w:ascii="Arial" w:hAnsi="Arial" w:cs="Miriam"/>
        </w:rPr>
      </w:pPr>
      <w:r>
        <w:rPr>
          <w:rFonts w:ascii="Arial" w:hAnsi="Arial" w:cs="Miriam"/>
          <w:rtl/>
        </w:rPr>
        <w:t>סיכום</w:t>
      </w:r>
    </w:p>
    <w:p w14:paraId="3856DADB" w14:textId="77777777" w:rsidR="00CE7F0A" w:rsidRDefault="00CE7F0A">
      <w:pPr>
        <w:spacing w:line="360" w:lineRule="auto"/>
        <w:ind w:firstLine="720"/>
        <w:jc w:val="both"/>
        <w:rPr>
          <w:rFonts w:ascii="Arial" w:hAnsi="Arial" w:cs="FrankRuehl"/>
          <w:szCs w:val="28"/>
          <w:rtl/>
        </w:rPr>
      </w:pPr>
      <w:r>
        <w:rPr>
          <w:rFonts w:ascii="Arial" w:hAnsi="Arial" w:cs="FrankRuehl"/>
          <w:szCs w:val="28"/>
          <w:rtl/>
        </w:rPr>
        <w:t xml:space="preserve">לאור האמור לעיל אני דן את הנאשם לעונשים הבאים: </w:t>
      </w:r>
    </w:p>
    <w:p w14:paraId="7716E0C4" w14:textId="77777777" w:rsidR="00CE7F0A" w:rsidRDefault="00CE7F0A">
      <w:pPr>
        <w:numPr>
          <w:ilvl w:val="0"/>
          <w:numId w:val="2"/>
        </w:numPr>
        <w:spacing w:line="360" w:lineRule="auto"/>
        <w:contextualSpacing/>
        <w:jc w:val="both"/>
        <w:rPr>
          <w:rFonts w:ascii="Arial" w:hAnsi="Arial" w:cs="FrankRuehl"/>
          <w:szCs w:val="28"/>
        </w:rPr>
      </w:pPr>
      <w:r>
        <w:rPr>
          <w:rFonts w:ascii="Arial" w:hAnsi="Arial" w:cs="FrankRuehl"/>
          <w:szCs w:val="28"/>
          <w:u w:val="single"/>
          <w:rtl/>
        </w:rPr>
        <w:t>2</w:t>
      </w:r>
      <w:r>
        <w:rPr>
          <w:rFonts w:ascii="Arial" w:hAnsi="Arial" w:cs="FrankRuehl" w:hint="cs"/>
          <w:szCs w:val="28"/>
          <w:u w:val="single"/>
          <w:rtl/>
        </w:rPr>
        <w:t>6</w:t>
      </w:r>
      <w:r>
        <w:rPr>
          <w:rFonts w:ascii="Arial" w:hAnsi="Arial" w:cs="FrankRuehl"/>
          <w:szCs w:val="28"/>
          <w:rtl/>
        </w:rPr>
        <w:t xml:space="preserve"> חודשי מאסר  בפועל. מתקופת המאסר תנוכה התקופה בה שהה במעצר מיום 31.1.2017 ועד ליום 26.3.2017 ומיום 26.12.2017 ועד היום.</w:t>
      </w:r>
    </w:p>
    <w:p w14:paraId="43B9BDE8" w14:textId="77777777" w:rsidR="00CE7F0A" w:rsidRDefault="00CE7F0A">
      <w:pPr>
        <w:numPr>
          <w:ilvl w:val="0"/>
          <w:numId w:val="2"/>
        </w:numPr>
        <w:spacing w:line="360" w:lineRule="auto"/>
        <w:contextualSpacing/>
        <w:jc w:val="both"/>
        <w:rPr>
          <w:rFonts w:ascii="Arial" w:hAnsi="Arial" w:cs="Times New Roman"/>
          <w:sz w:val="26"/>
          <w:szCs w:val="26"/>
        </w:rPr>
      </w:pPr>
      <w:r>
        <w:rPr>
          <w:rFonts w:ascii="Arial" w:hAnsi="Arial" w:cs="FrankRuehl"/>
          <w:szCs w:val="28"/>
          <w:u w:val="single"/>
          <w:rtl/>
        </w:rPr>
        <w:t xml:space="preserve">12 </w:t>
      </w:r>
      <w:r>
        <w:rPr>
          <w:rFonts w:ascii="Arial" w:hAnsi="Arial" w:cs="FrankRuehl"/>
          <w:szCs w:val="28"/>
          <w:rtl/>
        </w:rPr>
        <w:t xml:space="preserve">חודשי מאסר על תנאי,  הנאשם לא יישא את עונש המאסר על  תנאי </w:t>
      </w:r>
      <w:r>
        <w:rPr>
          <w:rFonts w:ascii="Arial" w:hAnsi="Arial" w:cs="Times New Roman"/>
          <w:sz w:val="26"/>
          <w:szCs w:val="26"/>
          <w:rtl/>
        </w:rPr>
        <w:t xml:space="preserve">אלא אם יעבור תוך שלוש שנים  עבירה </w:t>
      </w:r>
      <w:r>
        <w:rPr>
          <w:rFonts w:ascii="Arial" w:hAnsi="Arial" w:cs="FrankRuehl"/>
          <w:szCs w:val="28"/>
          <w:rtl/>
        </w:rPr>
        <w:t>בנשק שהיא פשע</w:t>
      </w:r>
      <w:r>
        <w:rPr>
          <w:rFonts w:ascii="Arial" w:hAnsi="Arial" w:cs="Times New Roman"/>
          <w:sz w:val="26"/>
          <w:szCs w:val="26"/>
          <w:rtl/>
        </w:rPr>
        <w:t xml:space="preserve"> ויורשע בשל עבירה כזאת תוך תקופת התנאי או לאחריה. </w:t>
      </w:r>
    </w:p>
    <w:p w14:paraId="47B74D1D" w14:textId="77777777" w:rsidR="00CE7F0A" w:rsidRDefault="00CE7F0A">
      <w:pPr>
        <w:numPr>
          <w:ilvl w:val="0"/>
          <w:numId w:val="2"/>
        </w:numPr>
        <w:spacing w:line="360" w:lineRule="auto"/>
        <w:contextualSpacing/>
        <w:jc w:val="both"/>
        <w:rPr>
          <w:rFonts w:ascii="Arial" w:hAnsi="Arial" w:cs="Times New Roman"/>
          <w:sz w:val="26"/>
          <w:szCs w:val="26"/>
        </w:rPr>
      </w:pPr>
      <w:r>
        <w:rPr>
          <w:rFonts w:ascii="Arial" w:hAnsi="Arial" w:cs="FrankRuehl"/>
          <w:szCs w:val="28"/>
          <w:u w:val="single"/>
          <w:rtl/>
        </w:rPr>
        <w:t xml:space="preserve">4 </w:t>
      </w:r>
      <w:r>
        <w:rPr>
          <w:rFonts w:ascii="Arial" w:hAnsi="Arial" w:cs="FrankRuehl"/>
          <w:szCs w:val="28"/>
          <w:rtl/>
        </w:rPr>
        <w:t xml:space="preserve">חודשי מאסר על תנאי,  הנאשם לא יישא את עונש המאסר על  תנאי </w:t>
      </w:r>
      <w:r>
        <w:rPr>
          <w:rFonts w:ascii="Arial" w:hAnsi="Arial" w:cs="Times New Roman"/>
          <w:sz w:val="26"/>
          <w:szCs w:val="26"/>
          <w:rtl/>
        </w:rPr>
        <w:t xml:space="preserve">אלא אם יעבור תוך שלוש שנים  עבירה בנשק שהיא עוון או עבירה על חוק הכניסה לארץ ישראל, תש"יב-1952 ויורשע בשל עבירה כזאת תוך תקופת התנאי או לאחריה. </w:t>
      </w:r>
    </w:p>
    <w:p w14:paraId="5E163796" w14:textId="77777777" w:rsidR="00CE7F0A" w:rsidRDefault="00CE7F0A">
      <w:pPr>
        <w:spacing w:line="360" w:lineRule="auto"/>
        <w:ind w:left="720"/>
        <w:jc w:val="both"/>
        <w:rPr>
          <w:rFonts w:ascii="Arial" w:hAnsi="Arial" w:cs="FrankRuehl"/>
          <w:szCs w:val="28"/>
        </w:rPr>
      </w:pPr>
      <w:r>
        <w:rPr>
          <w:rFonts w:ascii="Arial" w:hAnsi="Arial" w:cs="FrankRuehl"/>
          <w:color w:val="FFFFFF"/>
          <w:sz w:val="2"/>
          <w:szCs w:val="2"/>
          <w:rtl/>
        </w:rPr>
        <w:t>5129371</w:t>
      </w:r>
      <w:r>
        <w:rPr>
          <w:rFonts w:ascii="Arial" w:hAnsi="Arial" w:cs="FrankRuehl" w:hint="cs"/>
          <w:szCs w:val="28"/>
          <w:rtl/>
        </w:rPr>
        <w:t xml:space="preserve">הובהרה לנאשם </w:t>
      </w:r>
      <w:r>
        <w:rPr>
          <w:rFonts w:ascii="Arial" w:hAnsi="Arial" w:cs="FrankRuehl"/>
          <w:szCs w:val="28"/>
          <w:rtl/>
        </w:rPr>
        <w:t>זכות</w:t>
      </w:r>
      <w:r>
        <w:rPr>
          <w:rFonts w:ascii="Arial" w:hAnsi="Arial" w:cs="FrankRuehl" w:hint="cs"/>
          <w:szCs w:val="28"/>
          <w:rtl/>
        </w:rPr>
        <w:t>ו</w:t>
      </w:r>
      <w:r>
        <w:rPr>
          <w:rFonts w:ascii="Arial" w:hAnsi="Arial" w:cs="FrankRuehl"/>
          <w:szCs w:val="28"/>
          <w:rtl/>
        </w:rPr>
        <w:t xml:space="preserve"> </w:t>
      </w:r>
      <w:r>
        <w:rPr>
          <w:rFonts w:ascii="Arial" w:hAnsi="Arial" w:cs="FrankRuehl" w:hint="cs"/>
          <w:szCs w:val="28"/>
          <w:rtl/>
        </w:rPr>
        <w:t>ל</w:t>
      </w:r>
      <w:r>
        <w:rPr>
          <w:rFonts w:ascii="Arial" w:hAnsi="Arial" w:cs="FrankRuehl"/>
          <w:szCs w:val="28"/>
          <w:rtl/>
        </w:rPr>
        <w:t>ערעור לבית המשפט העליון תוך 45 יום.</w:t>
      </w:r>
    </w:p>
    <w:p w14:paraId="155F5E78" w14:textId="77777777" w:rsidR="00CE7F0A" w:rsidRDefault="00CE7F0A">
      <w:pPr>
        <w:spacing w:line="360" w:lineRule="auto"/>
        <w:rPr>
          <w:color w:val="FFFFFF"/>
          <w:sz w:val="2"/>
          <w:szCs w:val="2"/>
          <w:rtl/>
        </w:rPr>
      </w:pPr>
      <w:r>
        <w:rPr>
          <w:color w:val="FFFFFF"/>
          <w:sz w:val="2"/>
          <w:szCs w:val="2"/>
          <w:rtl/>
        </w:rPr>
        <w:t>54678313</w:t>
      </w:r>
    </w:p>
    <w:p w14:paraId="06B7E76E" w14:textId="77777777" w:rsidR="00CE7F0A" w:rsidRDefault="00CE7F0A">
      <w:pPr>
        <w:spacing w:line="360" w:lineRule="auto"/>
        <w:jc w:val="both"/>
        <w:rPr>
          <w:rFonts w:ascii="Arial" w:hAnsi="Arial" w:hint="cs"/>
          <w:rtl/>
        </w:rPr>
      </w:pPr>
    </w:p>
    <w:p w14:paraId="58362586" w14:textId="77777777" w:rsidR="00CE7F0A" w:rsidRDefault="00CE7F0A">
      <w:pPr>
        <w:spacing w:line="360" w:lineRule="auto"/>
        <w:jc w:val="both"/>
        <w:rPr>
          <w:rFonts w:ascii="Arial" w:hAnsi="Arial"/>
        </w:rPr>
      </w:pPr>
      <w:r>
        <w:rPr>
          <w:rFonts w:ascii="Arial" w:hAnsi="Arial"/>
          <w:rtl/>
        </w:rPr>
        <w:t xml:space="preserve">יתן היום,  כ' אדר תשע"ח, 07 מרץ 2018, בנוכחות ב"כ המאשימה שגב אדלר, הסנגור עו"ד מומחד </w:t>
      </w:r>
      <w:r>
        <w:rPr>
          <w:rFonts w:ascii="Arial" w:hAnsi="Arial" w:hint="cs"/>
          <w:rtl/>
        </w:rPr>
        <w:t xml:space="preserve">ג'בארין בויראת והנאשם באמצעות שב"ס. </w:t>
      </w:r>
    </w:p>
    <w:p w14:paraId="304A7938" w14:textId="77777777" w:rsidR="00CE7F0A" w:rsidRDefault="00CE7F0A">
      <w:pPr>
        <w:spacing w:line="360" w:lineRule="auto"/>
        <w:rPr>
          <w:rFonts w:cs="FrankRuehl"/>
          <w:sz w:val="28"/>
          <w:szCs w:val="28"/>
          <w:rtl/>
        </w:rPr>
      </w:pPr>
    </w:p>
    <w:p w14:paraId="341936A1" w14:textId="77777777" w:rsidR="00CE7F0A" w:rsidRDefault="00CE7F0A">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6519DCC" w14:textId="77777777" w:rsidR="00CE7F0A" w:rsidRDefault="00CE7F0A">
      <w:pPr>
        <w:spacing w:line="360" w:lineRule="auto"/>
        <w:jc w:val="center"/>
        <w:rPr>
          <w:rFonts w:ascii="Arial" w:hAnsi="Arial" w:cs="FrankRuehl"/>
          <w:sz w:val="28"/>
          <w:szCs w:val="28"/>
          <w:rtl/>
        </w:rPr>
      </w:pPr>
    </w:p>
    <w:p w14:paraId="441F76BF" w14:textId="77777777" w:rsidR="00CE7F0A" w:rsidRDefault="00CE7F0A">
      <w:pPr>
        <w:keepNext/>
        <w:rPr>
          <w:rFonts w:ascii="David" w:hAnsi="David"/>
          <w:color w:val="000000"/>
          <w:sz w:val="22"/>
          <w:szCs w:val="22"/>
          <w:rtl/>
        </w:rPr>
      </w:pPr>
    </w:p>
    <w:p w14:paraId="061B5CD9" w14:textId="77777777" w:rsidR="00CE7F0A" w:rsidRDefault="00CE7F0A">
      <w:pPr>
        <w:keepNext/>
        <w:rPr>
          <w:rFonts w:ascii="David" w:hAnsi="David"/>
          <w:color w:val="000000"/>
          <w:sz w:val="22"/>
          <w:szCs w:val="22"/>
          <w:rtl/>
        </w:rPr>
      </w:pPr>
      <w:r>
        <w:rPr>
          <w:rFonts w:ascii="David" w:hAnsi="David"/>
          <w:color w:val="000000"/>
          <w:sz w:val="22"/>
          <w:szCs w:val="22"/>
          <w:rtl/>
        </w:rPr>
        <w:t>אברהם אליקים 54678313</w:t>
      </w:r>
    </w:p>
    <w:p w14:paraId="62C5B40A" w14:textId="77777777" w:rsidR="00CE7F0A" w:rsidRDefault="00CE7F0A">
      <w:r>
        <w:rPr>
          <w:color w:val="000000"/>
          <w:rtl/>
        </w:rPr>
        <w:t>נוסח מסמך זה כפוף לשינויי ניסוח ועריכה</w:t>
      </w:r>
    </w:p>
    <w:p w14:paraId="5598E136" w14:textId="77777777" w:rsidR="00CE7F0A" w:rsidRDefault="00CE7F0A">
      <w:pPr>
        <w:rPr>
          <w:rtl/>
        </w:rPr>
      </w:pPr>
    </w:p>
    <w:p w14:paraId="6504BEF0" w14:textId="77777777" w:rsidR="00CE7F0A" w:rsidRDefault="00CE7F0A">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21DF3BA" w14:textId="77777777" w:rsidR="00CE7F0A" w:rsidRDefault="00CE7F0A">
      <w:pPr>
        <w:jc w:val="center"/>
        <w:rPr>
          <w:color w:val="0000FF"/>
          <w:u w:val="single"/>
        </w:rPr>
      </w:pPr>
    </w:p>
    <w:sectPr w:rsidR="0000000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6157" w14:textId="77777777" w:rsidR="00CE7F0A" w:rsidRDefault="00CE7F0A">
      <w:r>
        <w:separator/>
      </w:r>
    </w:p>
  </w:endnote>
  <w:endnote w:type="continuationSeparator" w:id="0">
    <w:p w14:paraId="5049F0AD" w14:textId="77777777" w:rsidR="00CE7F0A" w:rsidRDefault="00CE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E7C9" w14:textId="77777777" w:rsidR="00CE7F0A" w:rsidRDefault="00CE7F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9D08BA" w14:textId="77777777" w:rsidR="00CE7F0A" w:rsidRDefault="00CE7F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42AF" w14:textId="77777777" w:rsidR="00CE7F0A" w:rsidRDefault="00CE7F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861CB4" w14:textId="77777777" w:rsidR="00CE7F0A" w:rsidRDefault="00CE7F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C743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F880" w14:textId="77777777" w:rsidR="00CE7F0A" w:rsidRDefault="00CE7F0A">
      <w:r>
        <w:separator/>
      </w:r>
    </w:p>
  </w:footnote>
  <w:footnote w:type="continuationSeparator" w:id="0">
    <w:p w14:paraId="56A95B09" w14:textId="77777777" w:rsidR="00CE7F0A" w:rsidRDefault="00CE7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22BF" w14:textId="77777777" w:rsidR="00CE7F0A" w:rsidRDefault="00CE7F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51038-02-17</w:t>
    </w:r>
    <w:r>
      <w:rPr>
        <w:rFonts w:ascii="David" w:hAnsi="David"/>
        <w:color w:val="000000"/>
        <w:sz w:val="22"/>
        <w:szCs w:val="22"/>
        <w:rtl/>
      </w:rPr>
      <w:tab/>
      <w:t xml:space="preserve"> מדינת ישראל נ' עדאי כבהה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2F08" w14:textId="77777777" w:rsidR="00CE7F0A" w:rsidRDefault="00CE7F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51038-02-17</w:t>
    </w:r>
    <w:r>
      <w:rPr>
        <w:rFonts w:ascii="David" w:hAnsi="David"/>
        <w:color w:val="000000"/>
        <w:sz w:val="22"/>
        <w:szCs w:val="22"/>
        <w:rtl/>
      </w:rPr>
      <w:tab/>
      <w:t xml:space="preserve"> מדינת ישראל נ' עדאי כבהה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6C0"/>
    <w:multiLevelType w:val="hybridMultilevel"/>
    <w:tmpl w:val="5ED0E70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08468A8"/>
    <w:multiLevelType w:val="hybridMultilevel"/>
    <w:tmpl w:val="2F8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299532">
    <w:abstractNumId w:val="0"/>
  </w:num>
  <w:num w:numId="2" w16cid:durableId="557788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7F0A"/>
    <w:rsid w:val="00CE7F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6D98920"/>
  <w15:chartTrackingRefBased/>
  <w15:docId w15:val="{DF8B11D6-40E0-4349-A72D-52ED8B60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yperlink">
    <w:name w:val="Hyperlink"/>
    <w:rPr>
      <w:color w:val="0563C1"/>
      <w:u w:val="single"/>
    </w:rPr>
  </w:style>
  <w:style w:type="character" w:styleId="a9">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90721/12a.c.1" TargetMode="External"/><Relationship Id="rId26" Type="http://schemas.openxmlformats.org/officeDocument/2006/relationships/hyperlink" Target="http://www.nevo.co.il/case/21771409" TargetMode="External"/><Relationship Id="rId39" Type="http://schemas.openxmlformats.org/officeDocument/2006/relationships/footer" Target="footer2.xml"/><Relationship Id="rId21" Type="http://schemas.openxmlformats.org/officeDocument/2006/relationships/hyperlink" Target="http://www.nevo.co.il/law/90721" TargetMode="External"/><Relationship Id="rId34" Type="http://schemas.openxmlformats.org/officeDocument/2006/relationships/hyperlink" Target="http://www.nevo.co.il/case/2079175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144.a" TargetMode="External"/><Relationship Id="rId29" Type="http://schemas.openxmlformats.org/officeDocument/2006/relationships/hyperlink" Target="http://www.nevo.co.il/case/220065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0832658" TargetMode="External"/><Relationship Id="rId32" Type="http://schemas.openxmlformats.org/officeDocument/2006/relationships/hyperlink" Target="http://www.nevo.co.il/law/70301/40jc.b"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22317462" TargetMode="External"/><Relationship Id="rId36"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23519097"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90721/12a.c.1" TargetMode="External"/><Relationship Id="rId22" Type="http://schemas.openxmlformats.org/officeDocument/2006/relationships/hyperlink" Target="http://www.nevo.co.il/case/6248029" TargetMode="External"/><Relationship Id="rId27" Type="http://schemas.openxmlformats.org/officeDocument/2006/relationships/hyperlink" Target="http://www.nevo.co.il/case/22791136" TargetMode="External"/><Relationship Id="rId30" Type="http://schemas.openxmlformats.org/officeDocument/2006/relationships/hyperlink" Target="http://www.nevo.co.il/case/8253344"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40jc.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217668" TargetMode="External"/><Relationship Id="rId33" Type="http://schemas.openxmlformats.org/officeDocument/2006/relationships/hyperlink" Target="http://www.nevo.co.il/case/2083266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2950</Words>
  <Characters>14752</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17667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3211386</vt:i4>
      </vt:variant>
      <vt:variant>
        <vt:i4>84</vt:i4>
      </vt:variant>
      <vt:variant>
        <vt:i4>0</vt:i4>
      </vt:variant>
      <vt:variant>
        <vt:i4>5</vt:i4>
      </vt:variant>
      <vt:variant>
        <vt:lpwstr>http://www.nevo.co.il/case/20791756</vt:lpwstr>
      </vt:variant>
      <vt:variant>
        <vt:lpwstr/>
      </vt:variant>
      <vt:variant>
        <vt:i4>4063345</vt:i4>
      </vt:variant>
      <vt:variant>
        <vt:i4>81</vt:i4>
      </vt:variant>
      <vt:variant>
        <vt:i4>0</vt:i4>
      </vt:variant>
      <vt:variant>
        <vt:i4>5</vt:i4>
      </vt:variant>
      <vt:variant>
        <vt:lpwstr>http://www.nevo.co.il/case/20832660</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3801201</vt:i4>
      </vt:variant>
      <vt:variant>
        <vt:i4>72</vt:i4>
      </vt:variant>
      <vt:variant>
        <vt:i4>0</vt:i4>
      </vt:variant>
      <vt:variant>
        <vt:i4>5</vt:i4>
      </vt:variant>
      <vt:variant>
        <vt:lpwstr>http://www.nevo.co.il/case/8253344</vt:lpwstr>
      </vt:variant>
      <vt:variant>
        <vt:lpwstr/>
      </vt:variant>
      <vt:variant>
        <vt:i4>3276916</vt:i4>
      </vt:variant>
      <vt:variant>
        <vt:i4>69</vt:i4>
      </vt:variant>
      <vt:variant>
        <vt:i4>0</vt:i4>
      </vt:variant>
      <vt:variant>
        <vt:i4>5</vt:i4>
      </vt:variant>
      <vt:variant>
        <vt:lpwstr>http://www.nevo.co.il/case/20003034</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3145843</vt:i4>
      </vt:variant>
      <vt:variant>
        <vt:i4>63</vt:i4>
      </vt:variant>
      <vt:variant>
        <vt:i4>0</vt:i4>
      </vt:variant>
      <vt:variant>
        <vt:i4>5</vt:i4>
      </vt:variant>
      <vt:variant>
        <vt:lpwstr>http://www.nevo.co.il/case/22317462</vt:lpwstr>
      </vt:variant>
      <vt:variant>
        <vt:lpwstr/>
      </vt:variant>
      <vt:variant>
        <vt:i4>3604606</vt:i4>
      </vt:variant>
      <vt:variant>
        <vt:i4>60</vt:i4>
      </vt:variant>
      <vt:variant>
        <vt:i4>0</vt:i4>
      </vt:variant>
      <vt:variant>
        <vt:i4>5</vt:i4>
      </vt:variant>
      <vt:variant>
        <vt:lpwstr>http://www.nevo.co.il/case/22791136</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3211379</vt:i4>
      </vt:variant>
      <vt:variant>
        <vt:i4>54</vt:i4>
      </vt:variant>
      <vt:variant>
        <vt:i4>0</vt:i4>
      </vt:variant>
      <vt:variant>
        <vt:i4>5</vt:i4>
      </vt:variant>
      <vt:variant>
        <vt:lpwstr>http://www.nevo.co.il/case/20217668</vt:lpwstr>
      </vt:variant>
      <vt:variant>
        <vt:lpwstr/>
      </vt:variant>
      <vt:variant>
        <vt:i4>3997809</vt:i4>
      </vt:variant>
      <vt:variant>
        <vt:i4>51</vt:i4>
      </vt:variant>
      <vt:variant>
        <vt:i4>0</vt:i4>
      </vt:variant>
      <vt:variant>
        <vt:i4>5</vt:i4>
      </vt:variant>
      <vt:variant>
        <vt:lpwstr>http://www.nevo.co.il/case/20832658</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3866748</vt:i4>
      </vt:variant>
      <vt:variant>
        <vt:i4>45</vt:i4>
      </vt:variant>
      <vt:variant>
        <vt:i4>0</vt:i4>
      </vt:variant>
      <vt:variant>
        <vt:i4>5</vt:i4>
      </vt:variant>
      <vt:variant>
        <vt:lpwstr>http://www.nevo.co.il/case/6248029</vt:lpwstr>
      </vt:variant>
      <vt:variant>
        <vt:lpwstr/>
      </vt:variant>
      <vt:variant>
        <vt:i4>7864430</vt:i4>
      </vt:variant>
      <vt:variant>
        <vt:i4>42</vt:i4>
      </vt:variant>
      <vt:variant>
        <vt:i4>0</vt:i4>
      </vt:variant>
      <vt:variant>
        <vt:i4>5</vt:i4>
      </vt:variant>
      <vt:variant>
        <vt:lpwstr>http://www.nevo.co.il/law/90721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3604598</vt:i4>
      </vt:variant>
      <vt:variant>
        <vt:i4>36</vt:i4>
      </vt:variant>
      <vt:variant>
        <vt:i4>0</vt:i4>
      </vt:variant>
      <vt:variant>
        <vt:i4>5</vt:i4>
      </vt:variant>
      <vt:variant>
        <vt:lpwstr>http://www.nevo.co.il/case/23519097</vt:lpwstr>
      </vt:variant>
      <vt:variant>
        <vt:lpwstr/>
      </vt:variant>
      <vt:variant>
        <vt:i4>6619244</vt:i4>
      </vt:variant>
      <vt:variant>
        <vt:i4>33</vt:i4>
      </vt:variant>
      <vt:variant>
        <vt:i4>0</vt:i4>
      </vt:variant>
      <vt:variant>
        <vt:i4>5</vt:i4>
      </vt:variant>
      <vt:variant>
        <vt:lpwstr>http://www.nevo.co.il/law/90721/12a.c.1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6619244</vt:i4>
      </vt:variant>
      <vt:variant>
        <vt:i4>21</vt:i4>
      </vt:variant>
      <vt:variant>
        <vt:i4>0</vt:i4>
      </vt:variant>
      <vt:variant>
        <vt:i4>5</vt:i4>
      </vt:variant>
      <vt:variant>
        <vt:lpwstr>http://www.nevo.co.il/law/90721/12a.c.1</vt:lpwstr>
      </vt:variant>
      <vt:variant>
        <vt:lpwstr/>
      </vt:variant>
      <vt:variant>
        <vt:i4>7864430</vt:i4>
      </vt:variant>
      <vt:variant>
        <vt:i4>18</vt:i4>
      </vt:variant>
      <vt:variant>
        <vt:i4>0</vt:i4>
      </vt:variant>
      <vt:variant>
        <vt:i4>5</vt:i4>
      </vt:variant>
      <vt:variant>
        <vt:lpwstr>http://www.nevo.co.il/law/90721</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51038</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עדאי כבהה</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20180307</vt:lpwstr>
  </property>
  <property fmtid="{D5CDD505-2E9C-101B-9397-08002B2CF9AE}" pid="13" name="TYPE_N_DATE">
    <vt:lpwstr>39020180307</vt:lpwstr>
  </property>
  <property fmtid="{D5CDD505-2E9C-101B-9397-08002B2CF9AE}" pid="14" name="CASESLISTTMP1">
    <vt:lpwstr>23519097;6248029;20832658;20217668;21771409;22791136;22317462;22006503;20003034;8253344;20832660;20791756</vt:lpwstr>
  </property>
  <property fmtid="{D5CDD505-2E9C-101B-9397-08002B2CF9AE}" pid="15" name="WORDNUMPAGES">
    <vt:lpwstr>11</vt:lpwstr>
  </property>
  <property fmtid="{D5CDD505-2E9C-101B-9397-08002B2CF9AE}" pid="16" name="TYPE_ABS_DATE">
    <vt:lpwstr>390120180307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70301/144.a:2;144.b;040b;040i;40jc.b</vt:lpwstr>
  </property>
  <property fmtid="{D5CDD505-2E9C-101B-9397-08002B2CF9AE}" pid="37" name="LAWLISTTMP2">
    <vt:lpwstr>90721/012a.c.1</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20180318</vt:lpwstr>
  </property>
  <property fmtid="{D5CDD505-2E9C-101B-9397-08002B2CF9AE}" pid="72" name="METAKZER">
    <vt:lpwstr>עומרי</vt:lpwstr>
  </property>
</Properties>
</file>