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Tahoma-bold.ttf" ContentType="application/x-font-ttf"/>
  <Override PartName="/word/fonts/Tahoma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721.0" w:type="dxa"/>
        <w:jc w:val="center"/>
        <w:tblLayout w:type="fixed"/>
        <w:tblLook w:val="0000"/>
      </w:tblPr>
      <w:tblGrid>
        <w:gridCol w:w="5057"/>
        <w:gridCol w:w="3664"/>
        <w:tblGridChange w:id="0">
          <w:tblGrid>
            <w:gridCol w:w="5057"/>
            <w:gridCol w:w="3664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gridSpan w:val="2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בית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המשפט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המחוזי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בחיפה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520-07-17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אסבן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153"/>
                <w:tab w:val="right" w:leader="none" w:pos="8306"/>
              </w:tabs>
              <w:bidi w:val="1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"/>
        <w:gridCol w:w="4114"/>
        <w:gridCol w:w="3761"/>
        <w:tblGridChange w:id="0">
          <w:tblGrid>
            <w:gridCol w:w="945"/>
            <w:gridCol w:w="4114"/>
            <w:gridCol w:w="3761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bidi w:val="1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בפני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bidi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כבוד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השופט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יחיאל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ליפשיץ</w:t>
            </w:r>
          </w:p>
          <w:p w:rsidR="00000000" w:rsidDel="00000000" w:rsidP="00000000" w:rsidRDefault="00000000" w:rsidRPr="00000000" w14:paraId="0000000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bidi w:val="1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F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בעניין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מדינת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ישראל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bidi w:val="1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המאשימה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bidi w:val="1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bidi w:val="1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נגד</w:t>
            </w:r>
          </w:p>
          <w:p w:rsidR="00000000" w:rsidDel="00000000" w:rsidP="00000000" w:rsidRDefault="00000000" w:rsidRPr="00000000" w14:paraId="00000018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bidi w:val="1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עומרי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עמרם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אסבן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עציר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bidi w:val="1"/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bidi w:val="1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כוחו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עו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ויהלי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שפרלינג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bidi w:val="1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1"/>
              </w:rPr>
              <w:t xml:space="preserve">הנאשם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20">
            <w:pPr>
              <w:bidi w:val="1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bidi w:val="1"/>
              <w:spacing w:after="120" w:line="240" w:lineRule="auto"/>
              <w:ind w:left="283" w:hanging="283"/>
              <w:jc w:val="both"/>
              <w:rPr>
                <w:rFonts w:ascii="FrankRuehl" w:cs="FrankRuehl" w:eastAsia="FrankRuehl" w:hAnsi="FrankRueh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spacing w:after="120" w:line="240" w:lineRule="auto"/>
              <w:ind w:left="283" w:hanging="283"/>
              <w:jc w:val="both"/>
              <w:rPr>
                <w:rFonts w:ascii="FrankRuehl" w:cs="FrankRuehl" w:eastAsia="FrankRuehl" w:hAnsi="FrankRuehl"/>
              </w:rPr>
            </w:pP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חקיקה</w:t>
            </w: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 </w:t>
            </w: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שאוזכרה</w:t>
            </w: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23">
            <w:pPr>
              <w:bidi w:val="1"/>
              <w:spacing w:after="120" w:line="240" w:lineRule="auto"/>
              <w:ind w:left="283" w:hanging="283"/>
              <w:jc w:val="both"/>
              <w:rPr>
                <w:rFonts w:ascii="FrankRuehl" w:cs="FrankRuehl" w:eastAsia="FrankRuehl" w:hAnsi="FrankRuehl"/>
              </w:rPr>
            </w:pPr>
            <w:hyperlink r:id="rId9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חוק</w:t>
              </w:r>
            </w:hyperlink>
            <w:hyperlink r:id="rId10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העונשין</w:t>
              </w:r>
            </w:hyperlink>
            <w:hyperlink r:id="rId12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, </w:t>
              </w:r>
            </w:hyperlink>
            <w:hyperlink r:id="rId13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תשל</w:t>
              </w:r>
            </w:hyperlink>
            <w:hyperlink r:id="rId14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"</w:t>
              </w:r>
            </w:hyperlink>
            <w:hyperlink r:id="rId15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ז</w:t>
              </w:r>
            </w:hyperlink>
            <w:hyperlink r:id="rId16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-1977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: </w:t>
            </w: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סע</w:t>
            </w:r>
            <w:r w:rsidDel="00000000" w:rsidR="00000000" w:rsidRPr="00000000">
              <w:rPr>
                <w:rFonts w:ascii="FrankRuehl" w:cs="FrankRuehl" w:eastAsia="FrankRuehl" w:hAnsi="FrankRuehl"/>
                <w:rtl w:val="1"/>
              </w:rPr>
              <w:t xml:space="preserve">'  </w:t>
            </w:r>
            <w:hyperlink r:id="rId17">
              <w:r w:rsidDel="00000000" w:rsidR="00000000" w:rsidRPr="00000000">
                <w:rPr>
                  <w:rtl w:val="0"/>
                </w:rPr>
              </w:r>
            </w:hyperlink>
            <w:hyperlink r:id="rId18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144(</w:t>
              </w:r>
            </w:hyperlink>
            <w:hyperlink r:id="rId19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א</w:t>
              </w:r>
            </w:hyperlink>
            <w:hyperlink r:id="rId20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)</w:t>
              </w:r>
            </w:hyperlink>
            <w:r w:rsidDel="00000000" w:rsidR="00000000" w:rsidRPr="00000000">
              <w:rPr>
                <w:rFonts w:ascii="FrankRuehl" w:cs="FrankRuehl" w:eastAsia="FrankRuehl" w:hAnsi="FrankRuehl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rtl w:val="0"/>
                </w:rPr>
              </w:r>
            </w:hyperlink>
            <w:hyperlink r:id="rId22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144(</w:t>
              </w:r>
            </w:hyperlink>
            <w:hyperlink r:id="rId23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ב</w:t>
              </w:r>
            </w:hyperlink>
            <w:hyperlink r:id="rId24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)</w:t>
              </w:r>
            </w:hyperlink>
            <w:r w:rsidDel="00000000" w:rsidR="00000000" w:rsidRPr="00000000">
              <w:rPr>
                <w:rFonts w:ascii="FrankRuehl" w:cs="FrankRuehl" w:eastAsia="FrankRuehl" w:hAnsi="FrankRuehl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rtl w:val="0"/>
                </w:rPr>
              </w:r>
            </w:hyperlink>
            <w:hyperlink r:id="rId26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40 </w:t>
              </w:r>
            </w:hyperlink>
            <w:hyperlink r:id="rId27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יא</w:t>
              </w:r>
            </w:hyperlink>
            <w:hyperlink r:id="rId28">
              <w:r w:rsidDel="00000000" w:rsidR="00000000" w:rsidRPr="00000000">
                <w:rPr>
                  <w:rFonts w:ascii="FrankRuehl" w:cs="FrankRuehl" w:eastAsia="FrankRuehl" w:hAnsi="FrankRuehl"/>
                  <w:color w:val="0000ff"/>
                  <w:u w:val="single"/>
                  <w:rtl w:val="1"/>
                </w:rPr>
                <w:t xml:space="preserve">'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bidi w:val="1"/>
              <w:spacing w:after="120" w:line="240" w:lineRule="auto"/>
              <w:ind w:left="283" w:hanging="283"/>
              <w:jc w:val="both"/>
              <w:rPr>
                <w:rFonts w:ascii="FrankRuehl" w:cs="FrankRuehl" w:eastAsia="FrankRuehl" w:hAnsi="FrankRuehl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et92p0" w:id="4"/>
          <w:bookmarkEnd w:id="4"/>
          <w:p w:rsidR="00000000" w:rsidDel="00000000" w:rsidP="00000000" w:rsidRDefault="00000000" w:rsidRPr="00000000" w14:paraId="00000025">
            <w:pPr>
              <w:bidi w:val="1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bidi w:val="1"/>
              <w:jc w:val="center"/>
              <w:rPr>
                <w:rFonts w:ascii="Arial" w:cs="Arial" w:eastAsia="Arial" w:hAnsi="Arial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גזר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u w:val="single"/>
                <w:rtl w:val="1"/>
              </w:rPr>
              <w:t xml:space="preserve">דין</w:t>
            </w:r>
          </w:p>
          <w:p w:rsidR="00000000" w:rsidDel="00000000" w:rsidP="00000000" w:rsidRDefault="00000000" w:rsidRPr="00000000" w14:paraId="00000027">
            <w:pPr>
              <w:bidi w:val="1"/>
              <w:jc w:val="center"/>
              <w:rPr>
                <w:rFonts w:ascii="Arial" w:cs="Arial" w:eastAsia="Arial" w:hAnsi="Arial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ind w:firstLine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כללי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יליד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3/1996,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הודייתו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נשיאת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והובלת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2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סעיפים</w:t>
        </w:r>
      </w:hyperlink>
      <w:hyperlink r:id="rId3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144(</w:t>
        </w:r>
      </w:hyperlink>
      <w:hyperlink r:id="rId3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א</w:t>
        </w:r>
      </w:hyperlink>
      <w:hyperlink r:id="rId3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33">
        <w:r w:rsidDel="00000000" w:rsidR="00000000" w:rsidRPr="00000000">
          <w:rPr>
            <w:rtl w:val="0"/>
          </w:rPr>
        </w:r>
      </w:hyperlink>
      <w:hyperlink r:id="rId3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144(</w:t>
        </w:r>
      </w:hyperlink>
      <w:hyperlink r:id="rId3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ב</w:t>
        </w:r>
      </w:hyperlink>
      <w:hyperlink r:id="rId3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hyperlink r:id="rId37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1"/>
          </w:rPr>
          <w:t xml:space="preserve">חוק</w:t>
        </w:r>
      </w:hyperlink>
      <w:hyperlink r:id="rId38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1"/>
          </w:rPr>
          <w:t xml:space="preserve"> </w:t>
        </w:r>
      </w:hyperlink>
      <w:hyperlink r:id="rId39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1977.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לאירוע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19.6.17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הצהריים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קאיה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בחיפה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כשרימון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ארוז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בנייר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ובשקית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מונח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למושב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הנוסע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שלצד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הנהג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ולפיו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לאירוע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תביא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ראיות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לסתור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1,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11-12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לפרוטוקול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2D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תסקיר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המבחן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שהצדדים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עתרו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סברתי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מהטיעונים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בנוגע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בקצרה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21,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רווק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ופנימיות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תפקוד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המשפחתי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גרושים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ושניהם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ריצו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תקופות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ממושכות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בסביבות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לצרוך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קנבואידים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ואלכוהול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תחושות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דכדוך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וקשיים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בחייו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להתמודד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הרגשי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מזדמנות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התגורר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סבתו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במגדל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העמק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התרשמות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מהמפגש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מאופיין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בתפיסת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עבריינית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חשדני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לגורמי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סמכות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סירב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לשתף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ומתקשה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להפעיל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מעמיק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חלקית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שקיבל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שידע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תכולתה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עוקב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הודייתו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והבהיר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מודע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לתכולת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כמצוין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גבוהה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התנהגות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עבריינית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הומלץ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מוחשי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שירתיעו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בעתיד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ראיות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הרשעות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4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4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4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4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.(</w:t>
        </w:r>
      </w:hyperlink>
      <w:hyperlink r:id="rId4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שלום</w:t>
        </w:r>
      </w:hyperlink>
      <w:hyperlink r:id="rId4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נצרת</w:t>
        </w:r>
      </w:hyperlink>
      <w:hyperlink r:id="rId4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55161-07-15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בגניבה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גניבת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ארגז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בשווי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800 ₪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אירוע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מחודש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1/2015).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2.1.18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שאומץ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ובמסגרתו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הוטלו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הכרונולוגי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4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4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5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5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 (</w:t>
        </w:r>
      </w:hyperlink>
      <w:hyperlink r:id="rId5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שלום</w:t>
        </w:r>
      </w:hyperlink>
      <w:hyperlink r:id="rId5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5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נצרת</w:t>
        </w:r>
      </w:hyperlink>
      <w:hyperlink r:id="rId5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17939-06-15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הורשע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באיומים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3-5/2015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תקופה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זוגו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השתת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לריצוי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היעדר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חלופת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ביקש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17.4.16,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הממונה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בסופו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החליט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השתת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והתחייבות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ראיות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29.11.17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האגף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לשירותים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חברתיים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בעיריית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העמק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בנוגע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למצבה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הסוציו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29.11.17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אגף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בפנימיית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אהבה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2005-2011.</w:t>
      </w:r>
    </w:p>
    <w:p w:rsidR="00000000" w:rsidDel="00000000" w:rsidP="00000000" w:rsidRDefault="00000000" w:rsidRPr="00000000" w14:paraId="0000003A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טיעוני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לעונש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והודגשה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הטמונה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שמעצם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טיבו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וטבעו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שפוטנציאל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בעקבות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לערכים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החברתיים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המוגנים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חיי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ושלמות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גופו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למגר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תופעת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לשכיחותן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הגבוהה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יחסית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למגמת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הפסיקה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להחמיר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ולצורך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טענה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להסכמה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הדיונית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והדברים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כוונו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לטענת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מדרג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נמוך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שהפנתה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לפסיקה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המייצגת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לשיטתה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עתרה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3.5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8.5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אישרה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לזקוף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הודייתו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במיוחס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החיסכון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שיפוטי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מנגד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להרשעותיו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שנדונו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המסוכנות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בנוגע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מובילים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לשיטת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מלוא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תקופת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2.1.18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נגזרו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5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5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5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5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(</w:t>
        </w:r>
      </w:hyperlink>
      <w:hyperlink r:id="rId6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שלום</w:t>
        </w:r>
      </w:hyperlink>
      <w:hyperlink r:id="rId6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6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נצרת</w:t>
        </w:r>
      </w:hyperlink>
      <w:hyperlink r:id="rId6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55161-07-15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בטיעוניהם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הטענות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והנימוקים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מידתי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להבחין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חבלה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לפסיקה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ענפה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שחלקה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וממנה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לשיטתם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הנוהגת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סביב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סדרי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הדומים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לענייננו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טיעוניהם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מיקדו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בנתוניו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ובנסיבותיו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בצעיר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במחלוקת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בתנאים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מסגרת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משפחתית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תומכת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ומציבת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גבולות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נרקומן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שנכנס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ויצא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הסוהר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סבתו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שניהלה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להימורים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למסגרות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פתיחה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מכביד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מוחלט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ובוודאי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לנוכח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גדילתו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צוין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במאסרו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שנעצר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הדגישו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הודיית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בפתח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משפטו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חרטתו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הובילה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לחיסכון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ניכר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במשאבים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המאשימה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תקופת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במקביל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לתקופת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ביקשו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להינתן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בנצרת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נדחה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החלטתי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תסקיר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המבחן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נגזרים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גזרי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האיומים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מחליט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line="36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בדברו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בטרם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וחרטה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דיון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כקבוע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6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חוק</w:t>
        </w:r>
      </w:hyperlink>
      <w:hyperlink r:id="rId6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6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113),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העיקרון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עקרון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קיומו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בנסיבותיו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ומידת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ומידת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המוטל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ובקצרה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ממידת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ומחומרת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הגדיר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תיקון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113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מדרג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הרתעה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והרתעת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הרבים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גמולי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השיקולים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תועלתניים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להרחבה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מבחן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הולם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המשפט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ירחון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ינואר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2014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76). </w:t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נורמטיבי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אובייקטיבי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נלקחים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השיקולים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(1)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החברתי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שנפגע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ומידת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הפגיעה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(2)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(3)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הקשורות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קונקרטי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בנדון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6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רע</w:t>
        </w:r>
      </w:hyperlink>
      <w:hyperlink r:id="rId6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6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7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4088/13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אחמד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הדרי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(11.6.13), </w:t>
      </w:r>
      <w:hyperlink r:id="rId7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7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7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7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1323/13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חסן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(5.6.13)). </w:t>
      </w:r>
    </w:p>
    <w:p w:rsidR="00000000" w:rsidDel="00000000" w:rsidP="00000000" w:rsidRDefault="00000000" w:rsidRPr="00000000" w14:paraId="00000044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החברתי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המוגן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ביטחון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ושלומו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טומנת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ממשית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יגיע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לידיים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שיעשה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ייגרם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נזק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בנזק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לרכוש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בנזק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לגוף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גרימת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מפוקח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הרשויות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טומן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בחובו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המחזיק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יתפתה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ברגעי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ופחד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hyperlink r:id="rId7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7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7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7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4945/13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סלימאן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(19.1.14); </w:t>
      </w:r>
      <w:hyperlink r:id="rId7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8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8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8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3300/06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אבו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סנינה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(10.8.06)).</w:t>
      </w:r>
    </w:p>
    <w:p w:rsidR="00000000" w:rsidDel="00000000" w:rsidP="00000000" w:rsidRDefault="00000000" w:rsidRPr="00000000" w14:paraId="00000046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וההסכמה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הדיונית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נהג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19.6.17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הצהריים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כשרימון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שארוז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בנייר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ובשקית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מונח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למושב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הנוסע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שלצדו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טענת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שהועלתה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לעובדות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להסכמה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הדיונית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ולפיה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לאירוע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נסתרה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מגלמים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בחובם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מנגד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הברורה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הטמונה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בהחזקת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יתרה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התקפי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טיבו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וטבעו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לזרוע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ופחד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לפגיעה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בנפש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ורכוש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לתוצאות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וחומר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שאוחז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בדרך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במילים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להבדיל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מאקדח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שנושא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לטעון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שמטרתו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עצמית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לטעון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נסיבה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הנשיאה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סטאטי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". </w:t>
      </w:r>
    </w:p>
    <w:p w:rsidR="00000000" w:rsidDel="00000000" w:rsidP="00000000" w:rsidRDefault="00000000" w:rsidRPr="00000000" w14:paraId="0000004A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מנגד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יחסי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נסתרה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טענת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והמרחק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הסכמה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מפורשת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מהנתון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תפקידו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עבירה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ולהפעילו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רכוש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יודגש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אקבל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הטענה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בבלדר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להסיק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בלדרים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שיבהירו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שעיסוק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משתלם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שבהקשר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לבלדרי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8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1282/07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אבו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(25.7.07), </w:t>
      </w:r>
      <w:hyperlink r:id="rId8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8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8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8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2648/92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סלאמה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(9.3.93), </w:t>
      </w:r>
      <w:hyperlink r:id="rId8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8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9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9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3820/09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אוחיון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(6.9.09),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והדברים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בשינויים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המחויבים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לענייננו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הצדדים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לפסיקה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מגוונת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שרובה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נוגעת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חמורות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מבענייננו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ככלל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הטמונה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בעבירות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9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9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9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9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135/17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(8.3.17)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עמד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חומרתן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ובכללן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החזקה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ונשיאת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מציין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חומרת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המעשה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פוטנציאל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הכרוך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המתגלגל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ליד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עלול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גורמים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עברייניים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לפעילות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ביטחונית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פגיעתו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הרעה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מורגשת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ומהווה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איום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מכך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גדל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ההכרח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להרתיע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והרבים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עיסוק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 . ..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צוין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מגמת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החמרה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הדרגתית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בעונשים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המושתים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עבריינות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. .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ind w:firstLine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9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9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9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9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9702/16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אבו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אלוליאיה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(13.9.17)).  </w:t>
      </w:r>
    </w:p>
    <w:p w:rsidR="00000000" w:rsidDel="00000000" w:rsidP="00000000" w:rsidRDefault="00000000" w:rsidRPr="00000000" w14:paraId="00000054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ונסיבותיו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ובהקשר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להתחשב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הנשק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נשיאתו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ההחזקה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10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ב</w:t>
        </w:r>
      </w:hyperlink>
      <w:hyperlink r:id="rId10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0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ש</w:t>
        </w:r>
      </w:hyperlink>
      <w:hyperlink r:id="rId10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625/82 </w:t>
        </w:r>
      </w:hyperlink>
      <w:hyperlink r:id="rId10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אבו</w:t>
        </w:r>
      </w:hyperlink>
      <w:hyperlink r:id="rId10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0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מוך</w:t>
        </w:r>
      </w:hyperlink>
      <w:hyperlink r:id="rId10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0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נ</w:t>
        </w:r>
      </w:hyperlink>
      <w:hyperlink r:id="rId10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' </w:t>
        </w:r>
      </w:hyperlink>
      <w:hyperlink r:id="rId1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מדינת</w:t>
        </w:r>
      </w:hyperlink>
      <w:hyperlink r:id="rId11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1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ישראל</w:t>
        </w:r>
      </w:hyperlink>
      <w:hyperlink r:id="rId1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, </w:t>
        </w:r>
      </w:hyperlink>
      <w:hyperlink r:id="rId1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1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1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ד</w:t>
        </w:r>
      </w:hyperlink>
      <w:hyperlink r:id="rId11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1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לז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(3) 668 (1982); </w:t>
      </w:r>
      <w:hyperlink r:id="rId11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12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2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2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1323/13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חסן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(5.6.13)).</w:t>
      </w:r>
    </w:p>
    <w:p w:rsidR="00000000" w:rsidDel="00000000" w:rsidP="00000000" w:rsidRDefault="00000000" w:rsidRPr="00000000" w14:paraId="00000056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ובאופן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קונקרטי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לגזרי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מבענייננו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חמורים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שבפנינו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</w:p>
    <w:p w:rsidR="00000000" w:rsidDel="00000000" w:rsidP="00000000" w:rsidRDefault="00000000" w:rsidRPr="00000000" w14:paraId="00000058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12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12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12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2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 (</w:t>
        </w:r>
      </w:hyperlink>
      <w:hyperlink r:id="rId12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מחוזי</w:t>
        </w:r>
      </w:hyperlink>
      <w:hyperlink r:id="rId12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2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נצרת</w:t>
        </w:r>
      </w:hyperlink>
      <w:hyperlink r:id="rId13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4131-09-15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מלכה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(30.6.16)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נדון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עניינו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שסבר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המתלונן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חברתו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החליט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במתלונן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ובהמשך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לכיוון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המתלונן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קטנוע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מצויד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כשהבחין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באנשים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למחרת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הקטנוע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המתלונן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המתלונן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פגע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בפרגולה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התפוצץ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וניפץ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המתלונן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השכנים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נעדר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כלוחם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בצבא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ובמילואים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המסוכנות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נמוכה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5A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</w:t>
      </w:r>
      <w:hyperlink r:id="rId13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13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13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3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 (</w:t>
        </w:r>
      </w:hyperlink>
      <w:hyperlink r:id="rId13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מחוזי</w:t>
        </w:r>
      </w:hyperlink>
      <w:hyperlink r:id="rId13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3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חיפה</w:t>
        </w:r>
      </w:hyperlink>
      <w:hyperlink r:id="rId13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64990-12-16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שקור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(29.6.17)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שסבר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קשורים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לרצח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קרובת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משפחתו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לכיוון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בחצר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התפוצץ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נזק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לרכוש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נגרמו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שריטות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מיושבות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מזכוכית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שהתנפצה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נעדר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5C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hyperlink r:id="rId13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ע</w:t>
        </w:r>
      </w:hyperlink>
      <w:hyperlink r:id="rId14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"</w:t>
        </w:r>
      </w:hyperlink>
      <w:hyperlink r:id="rId14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4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649/15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לוגסי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(3.8.17).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עניין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הופחת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עונשו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שהגיע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רכוב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קטנוע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ילדים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קטינים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וזרק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חזית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שגרם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לזגוגיות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להתנפץ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ולנזקים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ברכוש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המחוזי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צעיר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שלחובתו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פלילי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הופחת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הערעור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שצוין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נוטה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שהובאה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התייחסות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קונקרטית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שנקבע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המחוזי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ההפחתה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המערער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הטיפולי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ביטוי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בתסקירים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שהובאו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5E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שאירוע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זריקת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שוהים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ערוך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מעניינו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הפסיקה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שהובאה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למקם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לאותם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הדמיון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שהובאו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נקבעו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ועונשים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סבורני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שקור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מייצג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הנוהגת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הושלך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נאשמים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החזיקו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השליכו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כאמצעי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לקביעת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בענייננו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הבדלים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לרימון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רסס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פוטנציאל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והיקף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הנזק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וההרס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בנדון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hyperlink r:id="rId14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14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14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4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 (</w:t>
        </w:r>
      </w:hyperlink>
      <w:hyperlink r:id="rId14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מחוזי</w:t>
        </w:r>
      </w:hyperlink>
      <w:hyperlink r:id="rId14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4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חיפה</w:t>
        </w:r>
      </w:hyperlink>
      <w:hyperlink r:id="rId15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31218-10-14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אסדי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(11.2.15)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;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hyperlink r:id="rId15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15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15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5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 (</w:t>
        </w:r>
      </w:hyperlink>
      <w:hyperlink r:id="rId15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מחוזי</w:t>
        </w:r>
      </w:hyperlink>
      <w:hyperlink r:id="rId15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5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חיפה</w:t>
        </w:r>
      </w:hyperlink>
      <w:hyperlink r:id="rId15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40450-09-15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עכאווי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(20.1.16)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62">
      <w:pPr>
        <w:bidi w:val="1"/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בשים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לנסיבות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העבירה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מידת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הפגיעה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בערכים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המוגנים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הענישה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קובע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מתחם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בענייננו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36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 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לסטות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שיקולי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לעניין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העונש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המתחם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בהקשר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לנסיבותיו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האישיות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ולחומרה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המנויות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 </w:t>
      </w:r>
      <w:hyperlink r:id="rId159">
        <w:r w:rsidDel="00000000" w:rsidR="00000000" w:rsidRPr="00000000">
          <w:rPr>
            <w:rtl w:val="0"/>
          </w:rPr>
        </w:r>
      </w:hyperlink>
      <w:hyperlink r:id="rId16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40 </w:t>
        </w:r>
      </w:hyperlink>
      <w:hyperlink r:id="rId16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יא</w:t>
        </w:r>
      </w:hyperlink>
      <w:hyperlink r:id="rId16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'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hyperlink r:id="rId16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חוק</w:t>
        </w:r>
      </w:hyperlink>
      <w:hyperlink r:id="rId16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6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העונשין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בפתח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ההתייחסות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לנתוני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מהדברים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שנכתבו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hyperlink r:id="rId16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ת</w:t>
        </w:r>
      </w:hyperlink>
      <w:hyperlink r:id="rId16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</w:t>
        </w:r>
      </w:hyperlink>
      <w:hyperlink r:id="rId16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פ</w:t>
        </w:r>
      </w:hyperlink>
      <w:hyperlink r:id="rId16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. (</w:t>
        </w:r>
      </w:hyperlink>
      <w:hyperlink r:id="rId17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שלום</w:t>
        </w:r>
      </w:hyperlink>
      <w:hyperlink r:id="rId17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 </w:t>
        </w:r>
      </w:hyperlink>
      <w:hyperlink r:id="rId17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נצרת</w:t>
        </w:r>
      </w:hyperlink>
      <w:hyperlink r:id="rId17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1"/>
          </w:rPr>
          <w:t xml:space="preserve">) 17939-06-15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גז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17.4.16):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20,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כבן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לתהום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העבריינית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הפעורה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תחתיו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והצליח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נס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מעורבות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פלילית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כבדה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מרבית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גילו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הנעדרים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מרבית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העבריינות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וסטיה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שגדל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בתנאים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העדרו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פלילי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החריג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והעובדה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שעד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מעבירות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הישג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להתעלם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. . . 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נזקקותו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הטיפולית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זועקת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בתסקיר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קצין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בטיעוני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בדבריו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הסכים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להשתלב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בתהליך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טיפולי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החוסרים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העצומים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שנגרמו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ולאפשר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וכוחות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נורמטיביים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. . . .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36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למרבה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הצער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ניסיונות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חוזרים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ונשנים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הסניגורית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התביעה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והן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המבחן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לגעת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ולנסות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לגייסו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לתהליך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הנאשם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במריו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ואינו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 . 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בסופו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השלום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בנצרת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להשית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 </w:t>
      </w:r>
    </w:p>
    <w:p w:rsidR="00000000" w:rsidDel="00000000" w:rsidP="00000000" w:rsidRDefault="00000000" w:rsidRPr="00000000" w14:paraId="00000072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ניצב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צעיר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שנסיבות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חייו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עגומות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זכה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לגדול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נורמטיבי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שמקנה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מסגרת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ביטחון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וערכים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גדל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9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ביתיות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74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שלחובת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הרשעות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צדק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בטענת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מכביד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לזכור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במאסר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ולנתון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מצטרף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ובמיוחד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גילו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הצעיר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ונתוניו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האישיים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משקל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bidi w:val="1"/>
        <w:spacing w:line="360" w:lineRule="auto"/>
        <w:ind w:right="-57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נתתי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דעתי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מבחינה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פורמאלית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במאסרו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2.1.18,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בתיק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שלפניי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דומני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שאלמלא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ההליכים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מסקנה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הביאה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לניכוי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מלוא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מהמאסר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שיושת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לזקוף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לזכות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הודייתו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המיידית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נטען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בחקירתו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במשטרה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הודה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במיוחס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וטענה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נסתרה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בהודייתו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כנטילת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ורצון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לשינוי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line="360" w:lineRule="auto"/>
        <w:ind w:left="360" w:right="-57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bidi w:val="1"/>
        <w:spacing w:line="360" w:lineRule="auto"/>
        <w:ind w:left="360" w:right="-57" w:hanging="36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לקוות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ימצא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כוחות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בשיתוף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להירתם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לתהליך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מאסרו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והאחרון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כאמור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משקל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משמעותי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שמדובר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סבור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שעצם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השתת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החשובה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שמשך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תקופת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המאסר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פחותה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בחשיבותה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להבין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יעמוד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לצדו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באם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ישוב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bidi w:val="1"/>
        <w:spacing w:line="360" w:lineRule="auto"/>
        <w:ind w:left="720" w:right="-57" w:hanging="72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משית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העונשים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E">
      <w:pPr>
        <w:bidi w:val="1"/>
        <w:spacing w:line="360" w:lineRule="auto"/>
        <w:ind w:left="720" w:right="-57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ind w:left="720" w:right="-57" w:hanging="108.99999999999999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חודשי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בניכוי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תקופת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מעצרו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החל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19.6.17. </w:t>
      </w:r>
    </w:p>
    <w:p w:rsidR="00000000" w:rsidDel="00000000" w:rsidP="00000000" w:rsidRDefault="00000000" w:rsidRPr="00000000" w14:paraId="00000080">
      <w:pPr>
        <w:shd w:fill="ffffff" w:val="clear"/>
        <w:bidi w:val="1"/>
        <w:spacing w:line="360" w:lineRule="auto"/>
        <w:ind w:left="611" w:hanging="61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line="360" w:lineRule="auto"/>
        <w:ind w:left="611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לתקופה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12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שחרורו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והתנאי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פשע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 </w:t>
      </w:r>
    </w:p>
    <w:p w:rsidR="00000000" w:rsidDel="00000000" w:rsidP="00000000" w:rsidRDefault="00000000" w:rsidRPr="00000000" w14:paraId="00000082">
      <w:pPr>
        <w:shd w:fill="ffffff" w:val="clear"/>
        <w:bidi w:val="1"/>
        <w:spacing w:line="360" w:lineRule="auto"/>
        <w:ind w:left="611" w:hanging="61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line="360" w:lineRule="auto"/>
        <w:ind w:left="611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דן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למאסר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לתקופה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חודשים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שלוש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שחרורו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והתנאי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הנאשם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עבירת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נשק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עוון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shd w:fill="ffffff" w:val="clear"/>
        <w:bidi w:val="1"/>
        <w:spacing w:line="360" w:lineRule="auto"/>
        <w:ind w:left="611" w:hanging="61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ind w:firstLine="61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ערעור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45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המשפט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color w:val="ffffff"/>
          <w:sz w:val="2"/>
          <w:szCs w:val="2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5129371</w:t>
      </w:r>
    </w:p>
    <w:p w:rsidR="00000000" w:rsidDel="00000000" w:rsidP="00000000" w:rsidRDefault="00000000" w:rsidRPr="00000000" w14:paraId="00000089">
      <w:pPr>
        <w:bidi w:val="1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ffff"/>
          <w:sz w:val="2"/>
          <w:szCs w:val="2"/>
          <w:rtl w:val="0"/>
        </w:rPr>
        <w:t xml:space="preserve">54678313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, 23 </w:t>
      </w:r>
      <w:r w:rsidDel="00000000" w:rsidR="00000000" w:rsidRPr="00000000">
        <w:rPr>
          <w:rFonts w:ascii="Arial" w:cs="Arial" w:eastAsia="Arial" w:hAnsi="Arial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2018,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8B">
      <w:pPr>
        <w:bidi w:val="1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center"/>
        <w:rPr>
          <w:color w:val="0000ff"/>
          <w:u w:val="single"/>
        </w:rPr>
      </w:pPr>
      <w:hyperlink r:id="rId174">
        <w:r w:rsidDel="00000000" w:rsidR="00000000" w:rsidRPr="00000000">
          <w:rPr>
            <w:color w:val="0000ff"/>
            <w:u w:val="single"/>
            <w:rtl w:val="1"/>
          </w:rPr>
          <w:t xml:space="preserve">בעניין</w:t>
        </w:r>
      </w:hyperlink>
      <w:hyperlink r:id="rId17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6">
        <w:r w:rsidDel="00000000" w:rsidR="00000000" w:rsidRPr="00000000">
          <w:rPr>
            <w:color w:val="0000ff"/>
            <w:u w:val="single"/>
            <w:rtl w:val="1"/>
          </w:rPr>
          <w:t xml:space="preserve">עריכה</w:t>
        </w:r>
      </w:hyperlink>
      <w:hyperlink r:id="rId17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78">
        <w:r w:rsidDel="00000000" w:rsidR="00000000" w:rsidRPr="00000000">
          <w:rPr>
            <w:color w:val="0000ff"/>
            <w:u w:val="single"/>
            <w:rtl w:val="1"/>
          </w:rPr>
          <w:t xml:space="preserve">ושינויים</w:t>
        </w:r>
      </w:hyperlink>
      <w:hyperlink r:id="rId17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0">
        <w:r w:rsidDel="00000000" w:rsidR="00000000" w:rsidRPr="00000000">
          <w:rPr>
            <w:color w:val="0000ff"/>
            <w:u w:val="single"/>
            <w:rtl w:val="1"/>
          </w:rPr>
          <w:t xml:space="preserve">במסמכי</w:t>
        </w:r>
      </w:hyperlink>
      <w:hyperlink r:id="rId18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2">
        <w:r w:rsidDel="00000000" w:rsidR="00000000" w:rsidRPr="00000000">
          <w:rPr>
            <w:color w:val="0000ff"/>
            <w:u w:val="single"/>
            <w:rtl w:val="1"/>
          </w:rPr>
          <w:t xml:space="preserve">פסיקה</w:t>
        </w:r>
      </w:hyperlink>
      <w:hyperlink r:id="rId183">
        <w:r w:rsidDel="00000000" w:rsidR="00000000" w:rsidRPr="00000000">
          <w:rPr>
            <w:color w:val="0000ff"/>
            <w:u w:val="single"/>
            <w:rtl w:val="1"/>
          </w:rPr>
          <w:t xml:space="preserve">, </w:t>
        </w:r>
      </w:hyperlink>
      <w:hyperlink r:id="rId184">
        <w:r w:rsidDel="00000000" w:rsidR="00000000" w:rsidRPr="00000000">
          <w:rPr>
            <w:color w:val="0000ff"/>
            <w:u w:val="single"/>
            <w:rtl w:val="1"/>
          </w:rPr>
          <w:t xml:space="preserve">חקיקה</w:t>
        </w:r>
      </w:hyperlink>
      <w:hyperlink r:id="rId18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6">
        <w:r w:rsidDel="00000000" w:rsidR="00000000" w:rsidRPr="00000000">
          <w:rPr>
            <w:color w:val="0000ff"/>
            <w:u w:val="single"/>
            <w:rtl w:val="1"/>
          </w:rPr>
          <w:t xml:space="preserve">ועוד</w:t>
        </w:r>
      </w:hyperlink>
      <w:hyperlink r:id="rId18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8">
        <w:r w:rsidDel="00000000" w:rsidR="00000000" w:rsidRPr="00000000">
          <w:rPr>
            <w:color w:val="0000ff"/>
            <w:u w:val="single"/>
            <w:rtl w:val="1"/>
          </w:rPr>
          <w:t xml:space="preserve">באתר</w:t>
        </w:r>
      </w:hyperlink>
      <w:hyperlink r:id="rId18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0">
        <w:r w:rsidDel="00000000" w:rsidR="00000000" w:rsidRPr="00000000">
          <w:rPr>
            <w:color w:val="0000ff"/>
            <w:u w:val="single"/>
            <w:rtl w:val="1"/>
          </w:rPr>
          <w:t xml:space="preserve">נבו</w:t>
        </w:r>
      </w:hyperlink>
      <w:hyperlink r:id="rId191">
        <w:r w:rsidDel="00000000" w:rsidR="00000000" w:rsidRPr="00000000">
          <w:rPr>
            <w:color w:val="0000ff"/>
            <w:u w:val="single"/>
            <w:rtl w:val="1"/>
          </w:rPr>
          <w:t xml:space="preserve"> – </w:t>
        </w:r>
      </w:hyperlink>
      <w:hyperlink r:id="rId192">
        <w:r w:rsidDel="00000000" w:rsidR="00000000" w:rsidRPr="00000000">
          <w:rPr>
            <w:color w:val="0000ff"/>
            <w:u w:val="single"/>
            <w:rtl w:val="1"/>
          </w:rPr>
          <w:t xml:space="preserve">הקש</w:t>
        </w:r>
      </w:hyperlink>
      <w:hyperlink r:id="rId19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94">
        <w:r w:rsidDel="00000000" w:rsidR="00000000" w:rsidRPr="00000000">
          <w:rPr>
            <w:color w:val="0000ff"/>
            <w:u w:val="single"/>
            <w:rtl w:val="1"/>
          </w:rPr>
          <w:t xml:space="preserve">כאן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bidi w:val="1"/>
        <w:rPr>
          <w:rFonts w:ascii="David" w:cs="David" w:eastAsia="David" w:hAnsi="David"/>
          <w:color w:val="000000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יחיאל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ליפשיץ</w:t>
      </w:r>
      <w:r w:rsidDel="00000000" w:rsidR="00000000" w:rsidRPr="00000000">
        <w:rPr>
          <w:rFonts w:ascii="David" w:cs="David" w:eastAsia="David" w:hAnsi="David"/>
          <w:color w:val="000000"/>
          <w:sz w:val="22"/>
          <w:szCs w:val="22"/>
          <w:rtl w:val="1"/>
        </w:rPr>
        <w:t xml:space="preserve"> 54678313-/</w:t>
      </w:r>
    </w:p>
    <w:p w:rsidR="00000000" w:rsidDel="00000000" w:rsidP="00000000" w:rsidRDefault="00000000" w:rsidRPr="00000000" w14:paraId="00000091">
      <w:pPr>
        <w:bidi w:val="1"/>
        <w:rPr>
          <w:color w:val="0000ff"/>
          <w:u w:val="single"/>
        </w:rPr>
      </w:pPr>
      <w:r w:rsidDel="00000000" w:rsidR="00000000" w:rsidRPr="00000000">
        <w:rPr>
          <w:color w:val="000000"/>
          <w:u w:val="single"/>
          <w:rtl w:val="1"/>
        </w:rPr>
        <w:t xml:space="preserve">נוסח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מסמך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זה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כפוף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לשינויי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ניסוח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ועריכה</w:t>
      </w:r>
      <w:r w:rsidDel="00000000" w:rsidR="00000000" w:rsidRPr="00000000">
        <w:rPr>
          <w:rtl w:val="0"/>
        </w:rPr>
      </w:r>
    </w:p>
    <w:sectPr>
      <w:headerReference r:id="rId195" w:type="default"/>
      <w:headerReference r:id="rId196" w:type="even"/>
      <w:footerReference r:id="rId197" w:type="default"/>
      <w:footerReference r:id="rId198" w:type="even"/>
      <w:pgSz w:h="16840" w:w="11907" w:orient="portrait"/>
      <w:pgMar w:bottom="2552" w:top="1701" w:left="1701" w:right="1701" w:header="18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FrankRuehl"/>
  <w:font w:name="Calibri"/>
  <w:font w:name="David"/>
  <w:font w:name="Tahom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5" style="width:43.5pt;height:17.9pt" type="#_x0000_t75">
          <v:imagedata r:id="rId1" o:title="Nevologo2"/>
        </v:shape>
      </w:pic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color="000000" w:space="0" w:sz="4" w:val="single"/>
      </w:pBdr>
      <w:shd w:fill="auto" w:val="clear"/>
      <w:tabs>
        <w:tab w:val="center" w:leader="none" w:pos="4153"/>
        <w:tab w:val="right" w:leader="none" w:pos="8306"/>
      </w:tabs>
      <w:bidi w:val="1"/>
      <w:spacing w:after="60" w:before="0" w:line="240" w:lineRule="auto"/>
      <w:ind w:left="0" w:right="0" w:firstLine="0"/>
      <w:jc w:val="center"/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ankRuehl" w:cs="FrankRuehl" w:eastAsia="FrankRuehl" w:hAnsi="FrankRueh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_x0000_i1026" style="width:43.5pt;height:17.9pt" type="#_x0000_t75">
          <v:imagedata r:id="rId2" o:title="Nevologo2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520-07-17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עומרי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עמרם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אסבן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311"/>
      </w:tabs>
      <w:bidi w:val="1"/>
      <w:spacing w:after="0" w:before="0" w:line="22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תפ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חי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') 520-07-17</w:t>
      <w:tab/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מדינת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ישראל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נ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'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עומרי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עמרם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1"/>
      </w:rPr>
      <w:t xml:space="preserve">אסבן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5760" w:firstLine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333CF"/>
    <w:pPr>
      <w:bidi w:val="1"/>
    </w:pPr>
    <w:rPr>
      <w:rFonts w:ascii="Times New Roman" w:cs="David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 w:val="1"/>
    <w:rsid w:val="003333CF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4">
    <w:name w:val="heading 4"/>
    <w:basedOn w:val="a"/>
    <w:next w:val="a"/>
    <w:link w:val="40"/>
    <w:qFormat w:val="1"/>
    <w:rsid w:val="003333CF"/>
    <w:pPr>
      <w:keepNext w:val="1"/>
      <w:ind w:left="5760" w:firstLine="720"/>
      <w:outlineLvl w:val="3"/>
    </w:pPr>
    <w:rPr>
      <w:rFonts w:cs="Narkisim"/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כותרת 1 תו"/>
    <w:link w:val="1"/>
    <w:rsid w:val="003333CF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40" w:customStyle="1">
    <w:name w:val="כותרת 4 תו"/>
    <w:link w:val="4"/>
    <w:rsid w:val="003333CF"/>
    <w:rPr>
      <w:rFonts w:ascii="Times New Roman" w:cs="Narkisim" w:eastAsia="Times New Roman" w:hAnsi="Times New Roman"/>
      <w:b w:val="1"/>
      <w:bCs w:val="1"/>
      <w:sz w:val="24"/>
      <w:szCs w:val="24"/>
    </w:rPr>
  </w:style>
  <w:style w:type="paragraph" w:styleId="a3">
    <w:name w:val="header"/>
    <w:basedOn w:val="a"/>
    <w:link w:val="a4"/>
    <w:rsid w:val="003333CF"/>
    <w:pPr>
      <w:tabs>
        <w:tab w:val="center" w:pos="4153"/>
        <w:tab w:val="right" w:pos="8306"/>
      </w:tabs>
    </w:pPr>
  </w:style>
  <w:style w:type="character" w:styleId="a4" w:customStyle="1">
    <w:name w:val="כותרת עליונה תו"/>
    <w:link w:val="a3"/>
    <w:rsid w:val="003333CF"/>
    <w:rPr>
      <w:rFonts w:ascii="Times New Roman" w:cs="David" w:eastAsia="Times New Roman" w:hAnsi="Times New Roman"/>
      <w:sz w:val="24"/>
      <w:szCs w:val="24"/>
    </w:rPr>
  </w:style>
  <w:style w:type="paragraph" w:styleId="a5">
    <w:name w:val="footer"/>
    <w:basedOn w:val="a"/>
    <w:link w:val="a6"/>
    <w:rsid w:val="003333CF"/>
    <w:pPr>
      <w:tabs>
        <w:tab w:val="center" w:pos="4153"/>
        <w:tab w:val="right" w:pos="8306"/>
      </w:tabs>
    </w:pPr>
  </w:style>
  <w:style w:type="character" w:styleId="a6" w:customStyle="1">
    <w:name w:val="כותרת תחתונה תו"/>
    <w:link w:val="a5"/>
    <w:rsid w:val="003333CF"/>
    <w:rPr>
      <w:rFonts w:ascii="Times New Roman" w:cs="David" w:eastAsia="Times New Roman" w:hAnsi="Times New Roman"/>
      <w:sz w:val="24"/>
      <w:szCs w:val="24"/>
    </w:rPr>
  </w:style>
  <w:style w:type="character" w:styleId="a7">
    <w:name w:val="annotation reference"/>
    <w:rsid w:val="003333CF"/>
    <w:rPr>
      <w:sz w:val="16"/>
      <w:szCs w:val="16"/>
    </w:rPr>
  </w:style>
  <w:style w:type="paragraph" w:styleId="a8">
    <w:name w:val="annotation text"/>
    <w:basedOn w:val="a"/>
    <w:link w:val="a9"/>
    <w:rsid w:val="003333CF"/>
    <w:rPr>
      <w:rFonts w:cs="Times New Roman"/>
      <w:lang w:eastAsia="he-IL"/>
    </w:rPr>
  </w:style>
  <w:style w:type="character" w:styleId="a9" w:customStyle="1">
    <w:name w:val="טקסט הערה תו"/>
    <w:link w:val="a8"/>
    <w:rsid w:val="003333CF"/>
    <w:rPr>
      <w:rFonts w:ascii="Times New Roman" w:cs="Times New Roman" w:eastAsia="Times New Roman" w:hAnsi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3333CF"/>
    <w:rPr>
      <w:rFonts w:ascii="Tahoma" w:cs="Tahoma" w:hAnsi="Tahoma"/>
      <w:sz w:val="16"/>
      <w:szCs w:val="16"/>
    </w:rPr>
  </w:style>
  <w:style w:type="character" w:styleId="ab" w:customStyle="1">
    <w:name w:val="טקסט בלונים תו"/>
    <w:link w:val="aa"/>
    <w:rsid w:val="003333CF"/>
    <w:rPr>
      <w:rFonts w:ascii="Tahoma" w:cs="Tahoma" w:eastAsia="Times New Roman" w:hAnsi="Tahoma"/>
      <w:sz w:val="16"/>
      <w:szCs w:val="16"/>
    </w:rPr>
  </w:style>
  <w:style w:type="table" w:styleId="ac">
    <w:name w:val="Table Grid"/>
    <w:basedOn w:val="a1"/>
    <w:rsid w:val="003333CF"/>
    <w:pPr>
      <w:bidi w:val="1"/>
    </w:pPr>
    <w:rPr>
      <w:rFonts w:ascii="Times New Roman" w:cs="Times New Roman" w:eastAsia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d">
    <w:name w:val="page number"/>
    <w:rsid w:val="003333CF"/>
  </w:style>
  <w:style w:type="paragraph" w:styleId="ListParagraph" w:customStyle="1">
    <w:name w:val="List Paragraph"/>
    <w:basedOn w:val="a"/>
    <w:qFormat w:val="1"/>
    <w:rsid w:val="003333CF"/>
    <w:pPr>
      <w:spacing w:after="160" w:line="259" w:lineRule="auto"/>
      <w:ind w:left="720"/>
      <w:contextualSpacing w:val="1"/>
    </w:pPr>
    <w:rPr>
      <w:rFonts w:ascii="Calibri" w:cs="Arial" w:hAnsi="Calibri"/>
      <w:sz w:val="22"/>
      <w:szCs w:val="22"/>
    </w:rPr>
  </w:style>
  <w:style w:type="character" w:styleId="Hyperlink">
    <w:name w:val="Hyperlink"/>
    <w:rsid w:val="00500E0E"/>
    <w:rPr>
      <w:color w:val="0563c1"/>
      <w:u w:val="single"/>
    </w:rPr>
  </w:style>
  <w:style w:type="character" w:styleId="ae">
    <w:name w:val="Unresolved Mention"/>
    <w:uiPriority w:val="99"/>
    <w:semiHidden w:val="1"/>
    <w:unhideWhenUsed w:val="1"/>
    <w:rsid w:val="00574BD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0" Type="http://schemas.openxmlformats.org/officeDocument/2006/relationships/hyperlink" Target="http://www.nevo.co.il/case/20468364" TargetMode="External"/><Relationship Id="rId190" Type="http://schemas.openxmlformats.org/officeDocument/2006/relationships/hyperlink" Target="http://www.nevo.co.il/advertisements/nevo-100.doc" TargetMode="External"/><Relationship Id="rId42" Type="http://schemas.openxmlformats.org/officeDocument/2006/relationships/hyperlink" Target="http://www.nevo.co.il/case/20468364" TargetMode="External"/><Relationship Id="rId41" Type="http://schemas.openxmlformats.org/officeDocument/2006/relationships/hyperlink" Target="http://www.nevo.co.il/case/20468364" TargetMode="External"/><Relationship Id="rId44" Type="http://schemas.openxmlformats.org/officeDocument/2006/relationships/hyperlink" Target="http://www.nevo.co.il/case/20468364" TargetMode="External"/><Relationship Id="rId194" Type="http://schemas.openxmlformats.org/officeDocument/2006/relationships/hyperlink" Target="http://www.nevo.co.il/advertisements/nevo-100.doc" TargetMode="External"/><Relationship Id="rId43" Type="http://schemas.openxmlformats.org/officeDocument/2006/relationships/hyperlink" Target="http://www.nevo.co.il/case/20468364" TargetMode="External"/><Relationship Id="rId193" Type="http://schemas.openxmlformats.org/officeDocument/2006/relationships/hyperlink" Target="http://www.nevo.co.il/advertisements/nevo-100.doc" TargetMode="External"/><Relationship Id="rId46" Type="http://schemas.openxmlformats.org/officeDocument/2006/relationships/hyperlink" Target="http://www.nevo.co.il/case/20468364" TargetMode="External"/><Relationship Id="rId192" Type="http://schemas.openxmlformats.org/officeDocument/2006/relationships/hyperlink" Target="http://www.nevo.co.il/advertisements/nevo-100.doc" TargetMode="External"/><Relationship Id="rId45" Type="http://schemas.openxmlformats.org/officeDocument/2006/relationships/hyperlink" Target="http://www.nevo.co.il/case/20468364" TargetMode="External"/><Relationship Id="rId191" Type="http://schemas.openxmlformats.org/officeDocument/2006/relationships/hyperlink" Target="http://www.nevo.co.il/advertisements/nevo-100.doc" TargetMode="External"/><Relationship Id="rId48" Type="http://schemas.openxmlformats.org/officeDocument/2006/relationships/hyperlink" Target="http://www.nevo.co.il/case/20341890" TargetMode="External"/><Relationship Id="rId187" Type="http://schemas.openxmlformats.org/officeDocument/2006/relationships/hyperlink" Target="http://www.nevo.co.il/advertisements/nevo-100.doc" TargetMode="External"/><Relationship Id="rId47" Type="http://schemas.openxmlformats.org/officeDocument/2006/relationships/hyperlink" Target="http://www.nevo.co.il/case/20468364" TargetMode="External"/><Relationship Id="rId186" Type="http://schemas.openxmlformats.org/officeDocument/2006/relationships/hyperlink" Target="http://www.nevo.co.il/advertisements/nevo-100.doc" TargetMode="External"/><Relationship Id="rId185" Type="http://schemas.openxmlformats.org/officeDocument/2006/relationships/hyperlink" Target="http://www.nevo.co.il/advertisements/nevo-100.doc" TargetMode="External"/><Relationship Id="rId49" Type="http://schemas.openxmlformats.org/officeDocument/2006/relationships/hyperlink" Target="http://www.nevo.co.il/case/20341890" TargetMode="External"/><Relationship Id="rId184" Type="http://schemas.openxmlformats.org/officeDocument/2006/relationships/hyperlink" Target="http://www.nevo.co.il/advertisements/nevo-100.doc" TargetMode="External"/><Relationship Id="rId189" Type="http://schemas.openxmlformats.org/officeDocument/2006/relationships/hyperlink" Target="http://www.nevo.co.il/advertisements/nevo-100.doc" TargetMode="External"/><Relationship Id="rId188" Type="http://schemas.openxmlformats.org/officeDocument/2006/relationships/hyperlink" Target="http://www.nevo.co.il/advertisements/nevo-100.doc" TargetMode="External"/><Relationship Id="rId31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b" TargetMode="External"/><Relationship Id="rId183" Type="http://schemas.openxmlformats.org/officeDocument/2006/relationships/hyperlink" Target="http://www.nevo.co.il/advertisements/nevo-100.doc" TargetMode="External"/><Relationship Id="rId32" Type="http://schemas.openxmlformats.org/officeDocument/2006/relationships/hyperlink" Target="http://www.nevo.co.il/law/70301/144.a" TargetMode="External"/><Relationship Id="rId182" Type="http://schemas.openxmlformats.org/officeDocument/2006/relationships/hyperlink" Target="http://www.nevo.co.il/advertisements/nevo-100.doc" TargetMode="External"/><Relationship Id="rId35" Type="http://schemas.openxmlformats.org/officeDocument/2006/relationships/hyperlink" Target="http://www.nevo.co.il/law/70301/144.b" TargetMode="External"/><Relationship Id="rId181" Type="http://schemas.openxmlformats.org/officeDocument/2006/relationships/hyperlink" Target="http://www.nevo.co.il/advertisements/nevo-100.doc" TargetMode="External"/><Relationship Id="rId34" Type="http://schemas.openxmlformats.org/officeDocument/2006/relationships/hyperlink" Target="http://www.nevo.co.il/law/70301/144.b" TargetMode="External"/><Relationship Id="rId180" Type="http://schemas.openxmlformats.org/officeDocument/2006/relationships/hyperlink" Target="http://www.nevo.co.il/advertisements/nevo-100.doc" TargetMode="External"/><Relationship Id="rId37" Type="http://schemas.openxmlformats.org/officeDocument/2006/relationships/hyperlink" Target="http://www.nevo.co.il/law/70301" TargetMode="External"/><Relationship Id="rId176" Type="http://schemas.openxmlformats.org/officeDocument/2006/relationships/hyperlink" Target="http://www.nevo.co.il/advertisements/nevo-100.doc" TargetMode="External"/><Relationship Id="rId36" Type="http://schemas.openxmlformats.org/officeDocument/2006/relationships/hyperlink" Target="http://www.nevo.co.il/law/70301/144.b" TargetMode="External"/><Relationship Id="rId175" Type="http://schemas.openxmlformats.org/officeDocument/2006/relationships/hyperlink" Target="http://www.nevo.co.il/advertisements/nevo-100.doc" TargetMode="External"/><Relationship Id="rId39" Type="http://schemas.openxmlformats.org/officeDocument/2006/relationships/hyperlink" Target="http://www.nevo.co.il/law/70301" TargetMode="External"/><Relationship Id="rId174" Type="http://schemas.openxmlformats.org/officeDocument/2006/relationships/hyperlink" Target="http://www.nevo.co.il/advertisements/nevo-100.doc" TargetMode="External"/><Relationship Id="rId38" Type="http://schemas.openxmlformats.org/officeDocument/2006/relationships/hyperlink" Target="http://www.nevo.co.il/law/70301" TargetMode="External"/><Relationship Id="rId173" Type="http://schemas.openxmlformats.org/officeDocument/2006/relationships/hyperlink" Target="http://www.nevo.co.il/case/20341890" TargetMode="External"/><Relationship Id="rId179" Type="http://schemas.openxmlformats.org/officeDocument/2006/relationships/hyperlink" Target="http://www.nevo.co.il/advertisements/nevo-100.doc" TargetMode="External"/><Relationship Id="rId178" Type="http://schemas.openxmlformats.org/officeDocument/2006/relationships/hyperlink" Target="http://www.nevo.co.il/advertisements/nevo-100.doc" TargetMode="External"/><Relationship Id="rId177" Type="http://schemas.openxmlformats.org/officeDocument/2006/relationships/hyperlink" Target="http://www.nevo.co.il/advertisements/nevo-100.doc" TargetMode="External"/><Relationship Id="rId20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40ja" TargetMode="External"/><Relationship Id="rId25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98" Type="http://schemas.openxmlformats.org/officeDocument/2006/relationships/footer" Target="footer2.xml"/><Relationship Id="rId14" Type="http://schemas.openxmlformats.org/officeDocument/2006/relationships/hyperlink" Target="http://www.nevo.co.il/law/70301" TargetMode="External"/><Relationship Id="rId197" Type="http://schemas.openxmlformats.org/officeDocument/2006/relationships/footer" Target="footer1.xml"/><Relationship Id="rId17" Type="http://schemas.openxmlformats.org/officeDocument/2006/relationships/hyperlink" Target="http://www.nevo.co.il/law/70301/144.a" TargetMode="External"/><Relationship Id="rId196" Type="http://schemas.openxmlformats.org/officeDocument/2006/relationships/header" Target="header2.xml"/><Relationship Id="rId16" Type="http://schemas.openxmlformats.org/officeDocument/2006/relationships/hyperlink" Target="http://www.nevo.co.il/law/70301" TargetMode="External"/><Relationship Id="rId195" Type="http://schemas.openxmlformats.org/officeDocument/2006/relationships/header" Target="header1.xml"/><Relationship Id="rId19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a" TargetMode="External"/><Relationship Id="rId84" Type="http://schemas.openxmlformats.org/officeDocument/2006/relationships/hyperlink" Target="http://www.nevo.co.il/case/17916776" TargetMode="External"/><Relationship Id="rId83" Type="http://schemas.openxmlformats.org/officeDocument/2006/relationships/hyperlink" Target="http://www.nevo.co.il/case/5758629" TargetMode="External"/><Relationship Id="rId86" Type="http://schemas.openxmlformats.org/officeDocument/2006/relationships/hyperlink" Target="http://www.nevo.co.il/case/17916776" TargetMode="External"/><Relationship Id="rId85" Type="http://schemas.openxmlformats.org/officeDocument/2006/relationships/hyperlink" Target="http://www.nevo.co.il/case/17916776" TargetMode="External"/><Relationship Id="rId88" Type="http://schemas.openxmlformats.org/officeDocument/2006/relationships/hyperlink" Target="http://www.nevo.co.il/case/5917767" TargetMode="External"/><Relationship Id="rId150" Type="http://schemas.openxmlformats.org/officeDocument/2006/relationships/hyperlink" Target="http://www.nevo.co.il/case/18105668" TargetMode="External"/><Relationship Id="rId87" Type="http://schemas.openxmlformats.org/officeDocument/2006/relationships/hyperlink" Target="http://www.nevo.co.il/case/17916776" TargetMode="External"/><Relationship Id="rId89" Type="http://schemas.openxmlformats.org/officeDocument/2006/relationships/hyperlink" Target="http://www.nevo.co.il/case/5917767" TargetMode="External"/><Relationship Id="rId80" Type="http://schemas.openxmlformats.org/officeDocument/2006/relationships/hyperlink" Target="http://www.nevo.co.il/case/5887664" TargetMode="External"/><Relationship Id="rId82" Type="http://schemas.openxmlformats.org/officeDocument/2006/relationships/hyperlink" Target="http://www.nevo.co.il/case/5887664" TargetMode="External"/><Relationship Id="rId81" Type="http://schemas.openxmlformats.org/officeDocument/2006/relationships/hyperlink" Target="http://www.nevo.co.il/case/5887664" TargetMode="External"/><Relationship Id="rId3" Type="http://schemas.openxmlformats.org/officeDocument/2006/relationships/theme" Target="theme/theme1.xml"/><Relationship Id="rId149" Type="http://schemas.openxmlformats.org/officeDocument/2006/relationships/hyperlink" Target="http://www.nevo.co.il/case/18105668" TargetMode="External"/><Relationship Id="rId4" Type="http://schemas.openxmlformats.org/officeDocument/2006/relationships/settings" Target="settings.xml"/><Relationship Id="rId148" Type="http://schemas.openxmlformats.org/officeDocument/2006/relationships/hyperlink" Target="http://www.nevo.co.il/case/18105668" TargetMode="External"/><Relationship Id="rId9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case/18105668" TargetMode="External"/><Relationship Id="rId142" Type="http://schemas.openxmlformats.org/officeDocument/2006/relationships/hyperlink" Target="http://www.nevo.co.il/case/20003566" TargetMode="External"/><Relationship Id="rId141" Type="http://schemas.openxmlformats.org/officeDocument/2006/relationships/hyperlink" Target="http://www.nevo.co.il/case/20003566" TargetMode="External"/><Relationship Id="rId140" Type="http://schemas.openxmlformats.org/officeDocument/2006/relationships/hyperlink" Target="http://www.nevo.co.il/case/20003566" TargetMode="External"/><Relationship Id="rId5" Type="http://schemas.openxmlformats.org/officeDocument/2006/relationships/fontTable" Target="fontTable.xml"/><Relationship Id="rId147" Type="http://schemas.openxmlformats.org/officeDocument/2006/relationships/hyperlink" Target="http://www.nevo.co.il/case/18105668" TargetMode="External"/><Relationship Id="rId6" Type="http://schemas.openxmlformats.org/officeDocument/2006/relationships/numbering" Target="numbering.xml"/><Relationship Id="rId146" Type="http://schemas.openxmlformats.org/officeDocument/2006/relationships/hyperlink" Target="http://www.nevo.co.il/case/18105668" TargetMode="External"/><Relationship Id="rId7" Type="http://schemas.openxmlformats.org/officeDocument/2006/relationships/styles" Target="styles.xml"/><Relationship Id="rId145" Type="http://schemas.openxmlformats.org/officeDocument/2006/relationships/hyperlink" Target="http://www.nevo.co.il/case/18105668" TargetMode="External"/><Relationship Id="rId8" Type="http://schemas.openxmlformats.org/officeDocument/2006/relationships/customXml" Target="../customXML/item1.xml"/><Relationship Id="rId144" Type="http://schemas.openxmlformats.org/officeDocument/2006/relationships/hyperlink" Target="http://www.nevo.co.il/case/18105668" TargetMode="External"/><Relationship Id="rId73" Type="http://schemas.openxmlformats.org/officeDocument/2006/relationships/hyperlink" Target="http://www.nevo.co.il/case/6473037" TargetMode="External"/><Relationship Id="rId72" Type="http://schemas.openxmlformats.org/officeDocument/2006/relationships/hyperlink" Target="http://www.nevo.co.il/case/6473037" TargetMode="External"/><Relationship Id="rId75" Type="http://schemas.openxmlformats.org/officeDocument/2006/relationships/hyperlink" Target="http://www.nevo.co.il/case/7791493" TargetMode="External"/><Relationship Id="rId74" Type="http://schemas.openxmlformats.org/officeDocument/2006/relationships/hyperlink" Target="http://www.nevo.co.il/case/6473037" TargetMode="External"/><Relationship Id="rId77" Type="http://schemas.openxmlformats.org/officeDocument/2006/relationships/hyperlink" Target="http://www.nevo.co.il/case/7791493" TargetMode="External"/><Relationship Id="rId76" Type="http://schemas.openxmlformats.org/officeDocument/2006/relationships/hyperlink" Target="http://www.nevo.co.il/case/7791493" TargetMode="External"/><Relationship Id="rId79" Type="http://schemas.openxmlformats.org/officeDocument/2006/relationships/hyperlink" Target="http://www.nevo.co.il/case/5887664" TargetMode="External"/><Relationship Id="rId78" Type="http://schemas.openxmlformats.org/officeDocument/2006/relationships/hyperlink" Target="http://www.nevo.co.il/case/7791493" TargetMode="External"/><Relationship Id="rId71" Type="http://schemas.openxmlformats.org/officeDocument/2006/relationships/hyperlink" Target="http://www.nevo.co.il/case/6473037" TargetMode="External"/><Relationship Id="rId70" Type="http://schemas.openxmlformats.org/officeDocument/2006/relationships/hyperlink" Target="http://www.nevo.co.il/case/7667123" TargetMode="External"/><Relationship Id="rId139" Type="http://schemas.openxmlformats.org/officeDocument/2006/relationships/hyperlink" Target="http://www.nevo.co.il/case/20003566" TargetMode="External"/><Relationship Id="rId138" Type="http://schemas.openxmlformats.org/officeDocument/2006/relationships/hyperlink" Target="http://www.nevo.co.il/case/21838925" TargetMode="External"/><Relationship Id="rId137" Type="http://schemas.openxmlformats.org/officeDocument/2006/relationships/hyperlink" Target="http://www.nevo.co.il/case/21838925" TargetMode="External"/><Relationship Id="rId132" Type="http://schemas.openxmlformats.org/officeDocument/2006/relationships/hyperlink" Target="http://www.nevo.co.il/case/21838925" TargetMode="External"/><Relationship Id="rId131" Type="http://schemas.openxmlformats.org/officeDocument/2006/relationships/hyperlink" Target="http://www.nevo.co.il/case/21838925" TargetMode="External"/><Relationship Id="rId130" Type="http://schemas.openxmlformats.org/officeDocument/2006/relationships/hyperlink" Target="http://www.nevo.co.il/case/20548461" TargetMode="External"/><Relationship Id="rId136" Type="http://schemas.openxmlformats.org/officeDocument/2006/relationships/hyperlink" Target="http://www.nevo.co.il/case/21838925" TargetMode="External"/><Relationship Id="rId135" Type="http://schemas.openxmlformats.org/officeDocument/2006/relationships/hyperlink" Target="http://www.nevo.co.il/case/21838925" TargetMode="External"/><Relationship Id="rId134" Type="http://schemas.openxmlformats.org/officeDocument/2006/relationships/hyperlink" Target="http://www.nevo.co.il/case/21838925" TargetMode="External"/><Relationship Id="rId133" Type="http://schemas.openxmlformats.org/officeDocument/2006/relationships/hyperlink" Target="http://www.nevo.co.il/case/21838925" TargetMode="External"/><Relationship Id="rId62" Type="http://schemas.openxmlformats.org/officeDocument/2006/relationships/hyperlink" Target="http://www.nevo.co.il/case/20468364" TargetMode="External"/><Relationship Id="rId61" Type="http://schemas.openxmlformats.org/officeDocument/2006/relationships/hyperlink" Target="http://www.nevo.co.il/case/20468364" TargetMode="External"/><Relationship Id="rId64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20468364" TargetMode="External"/><Relationship Id="rId66" Type="http://schemas.openxmlformats.org/officeDocument/2006/relationships/hyperlink" Target="http://www.nevo.co.il/law/70301" TargetMode="External"/><Relationship Id="rId172" Type="http://schemas.openxmlformats.org/officeDocument/2006/relationships/hyperlink" Target="http://www.nevo.co.il/case/20341890" TargetMode="External"/><Relationship Id="rId65" Type="http://schemas.openxmlformats.org/officeDocument/2006/relationships/hyperlink" Target="http://www.nevo.co.il/law/70301" TargetMode="External"/><Relationship Id="rId171" Type="http://schemas.openxmlformats.org/officeDocument/2006/relationships/hyperlink" Target="http://www.nevo.co.il/case/20341890" TargetMode="External"/><Relationship Id="rId68" Type="http://schemas.openxmlformats.org/officeDocument/2006/relationships/hyperlink" Target="http://www.nevo.co.il/case/7667123" TargetMode="External"/><Relationship Id="rId170" Type="http://schemas.openxmlformats.org/officeDocument/2006/relationships/hyperlink" Target="http://www.nevo.co.il/case/20341890" TargetMode="External"/><Relationship Id="rId67" Type="http://schemas.openxmlformats.org/officeDocument/2006/relationships/hyperlink" Target="http://www.nevo.co.il/case/7667123" TargetMode="External"/><Relationship Id="rId60" Type="http://schemas.openxmlformats.org/officeDocument/2006/relationships/hyperlink" Target="http://www.nevo.co.il/case/20468364" TargetMode="External"/><Relationship Id="rId165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case/7667123" TargetMode="External"/><Relationship Id="rId164" Type="http://schemas.openxmlformats.org/officeDocument/2006/relationships/hyperlink" Target="http://www.nevo.co.il/law/70301" TargetMode="External"/><Relationship Id="rId163" Type="http://schemas.openxmlformats.org/officeDocument/2006/relationships/hyperlink" Target="http://www.nevo.co.il/law/70301" TargetMode="External"/><Relationship Id="rId162" Type="http://schemas.openxmlformats.org/officeDocument/2006/relationships/hyperlink" Target="http://www.nevo.co.il/law/70301/40ja" TargetMode="External"/><Relationship Id="rId169" Type="http://schemas.openxmlformats.org/officeDocument/2006/relationships/hyperlink" Target="http://www.nevo.co.il/case/20341890" TargetMode="External"/><Relationship Id="rId168" Type="http://schemas.openxmlformats.org/officeDocument/2006/relationships/hyperlink" Target="http://www.nevo.co.il/case/20341890" TargetMode="External"/><Relationship Id="rId167" Type="http://schemas.openxmlformats.org/officeDocument/2006/relationships/hyperlink" Target="http://www.nevo.co.il/case/20341890" TargetMode="External"/><Relationship Id="rId166" Type="http://schemas.openxmlformats.org/officeDocument/2006/relationships/hyperlink" Target="http://www.nevo.co.il/case/20341890" TargetMode="External"/><Relationship Id="rId51" Type="http://schemas.openxmlformats.org/officeDocument/2006/relationships/hyperlink" Target="http://www.nevo.co.il/case/20341890" TargetMode="External"/><Relationship Id="rId50" Type="http://schemas.openxmlformats.org/officeDocument/2006/relationships/hyperlink" Target="http://www.nevo.co.il/case/20341890" TargetMode="External"/><Relationship Id="rId53" Type="http://schemas.openxmlformats.org/officeDocument/2006/relationships/hyperlink" Target="http://www.nevo.co.il/case/20341890" TargetMode="External"/><Relationship Id="rId52" Type="http://schemas.openxmlformats.org/officeDocument/2006/relationships/hyperlink" Target="http://www.nevo.co.il/case/20341890" TargetMode="External"/><Relationship Id="rId55" Type="http://schemas.openxmlformats.org/officeDocument/2006/relationships/hyperlink" Target="http://www.nevo.co.il/case/20341890" TargetMode="External"/><Relationship Id="rId161" Type="http://schemas.openxmlformats.org/officeDocument/2006/relationships/hyperlink" Target="http://www.nevo.co.il/law/70301/40ja" TargetMode="External"/><Relationship Id="rId54" Type="http://schemas.openxmlformats.org/officeDocument/2006/relationships/hyperlink" Target="http://www.nevo.co.il/case/20341890" TargetMode="External"/><Relationship Id="rId160" Type="http://schemas.openxmlformats.org/officeDocument/2006/relationships/hyperlink" Target="http://www.nevo.co.il/law/70301/40ja" TargetMode="External"/><Relationship Id="rId57" Type="http://schemas.openxmlformats.org/officeDocument/2006/relationships/hyperlink" Target="http://www.nevo.co.il/case/20468364" TargetMode="External"/><Relationship Id="rId56" Type="http://schemas.openxmlformats.org/officeDocument/2006/relationships/hyperlink" Target="http://www.nevo.co.il/case/20468364" TargetMode="External"/><Relationship Id="rId159" Type="http://schemas.openxmlformats.org/officeDocument/2006/relationships/hyperlink" Target="http://www.nevo.co.il/law/70301/40ja" TargetMode="External"/><Relationship Id="rId59" Type="http://schemas.openxmlformats.org/officeDocument/2006/relationships/hyperlink" Target="http://www.nevo.co.il/case/20468364" TargetMode="External"/><Relationship Id="rId154" Type="http://schemas.openxmlformats.org/officeDocument/2006/relationships/hyperlink" Target="http://www.nevo.co.il/case/20590970" TargetMode="External"/><Relationship Id="rId58" Type="http://schemas.openxmlformats.org/officeDocument/2006/relationships/hyperlink" Target="http://www.nevo.co.il/case/20468364" TargetMode="External"/><Relationship Id="rId153" Type="http://schemas.openxmlformats.org/officeDocument/2006/relationships/hyperlink" Target="http://www.nevo.co.il/case/20590970" TargetMode="External"/><Relationship Id="rId152" Type="http://schemas.openxmlformats.org/officeDocument/2006/relationships/hyperlink" Target="http://www.nevo.co.il/case/20590970" TargetMode="External"/><Relationship Id="rId151" Type="http://schemas.openxmlformats.org/officeDocument/2006/relationships/hyperlink" Target="http://www.nevo.co.il/case/20590970" TargetMode="External"/><Relationship Id="rId158" Type="http://schemas.openxmlformats.org/officeDocument/2006/relationships/hyperlink" Target="http://www.nevo.co.il/case/20590970" TargetMode="External"/><Relationship Id="rId157" Type="http://schemas.openxmlformats.org/officeDocument/2006/relationships/hyperlink" Target="http://www.nevo.co.il/case/20590970" TargetMode="External"/><Relationship Id="rId156" Type="http://schemas.openxmlformats.org/officeDocument/2006/relationships/hyperlink" Target="http://www.nevo.co.il/case/20590970" TargetMode="External"/><Relationship Id="rId155" Type="http://schemas.openxmlformats.org/officeDocument/2006/relationships/hyperlink" Target="http://www.nevo.co.il/case/20590970" TargetMode="External"/><Relationship Id="rId107" Type="http://schemas.openxmlformats.org/officeDocument/2006/relationships/hyperlink" Target="http://www.nevo.co.il/case/17929065" TargetMode="External"/><Relationship Id="rId106" Type="http://schemas.openxmlformats.org/officeDocument/2006/relationships/hyperlink" Target="http://www.nevo.co.il/case/17929065" TargetMode="External"/><Relationship Id="rId105" Type="http://schemas.openxmlformats.org/officeDocument/2006/relationships/hyperlink" Target="http://www.nevo.co.il/case/17929065" TargetMode="External"/><Relationship Id="rId104" Type="http://schemas.openxmlformats.org/officeDocument/2006/relationships/hyperlink" Target="http://www.nevo.co.il/case/17929065" TargetMode="External"/><Relationship Id="rId109" Type="http://schemas.openxmlformats.org/officeDocument/2006/relationships/hyperlink" Target="http://www.nevo.co.il/case/17929065" TargetMode="External"/><Relationship Id="rId108" Type="http://schemas.openxmlformats.org/officeDocument/2006/relationships/hyperlink" Target="http://www.nevo.co.il/case/17929065" TargetMode="External"/><Relationship Id="rId103" Type="http://schemas.openxmlformats.org/officeDocument/2006/relationships/hyperlink" Target="http://www.nevo.co.il/case/17929065" TargetMode="External"/><Relationship Id="rId102" Type="http://schemas.openxmlformats.org/officeDocument/2006/relationships/hyperlink" Target="http://www.nevo.co.il/case/17929065" TargetMode="External"/><Relationship Id="rId101" Type="http://schemas.openxmlformats.org/officeDocument/2006/relationships/hyperlink" Target="http://www.nevo.co.il/case/17929065" TargetMode="External"/><Relationship Id="rId100" Type="http://schemas.openxmlformats.org/officeDocument/2006/relationships/hyperlink" Target="http://www.nevo.co.il/case/17929065" TargetMode="External"/><Relationship Id="rId129" Type="http://schemas.openxmlformats.org/officeDocument/2006/relationships/hyperlink" Target="http://www.nevo.co.il/case/20548461" TargetMode="External"/><Relationship Id="rId128" Type="http://schemas.openxmlformats.org/officeDocument/2006/relationships/hyperlink" Target="http://www.nevo.co.il/case/20548461" TargetMode="External"/><Relationship Id="rId127" Type="http://schemas.openxmlformats.org/officeDocument/2006/relationships/hyperlink" Target="http://www.nevo.co.il/case/20548461" TargetMode="External"/><Relationship Id="rId126" Type="http://schemas.openxmlformats.org/officeDocument/2006/relationships/hyperlink" Target="http://www.nevo.co.il/case/20548461" TargetMode="External"/><Relationship Id="rId121" Type="http://schemas.openxmlformats.org/officeDocument/2006/relationships/hyperlink" Target="http://www.nevo.co.il/case/6473037" TargetMode="External"/><Relationship Id="rId120" Type="http://schemas.openxmlformats.org/officeDocument/2006/relationships/hyperlink" Target="http://www.nevo.co.il/case/6473037" TargetMode="External"/><Relationship Id="rId125" Type="http://schemas.openxmlformats.org/officeDocument/2006/relationships/hyperlink" Target="http://www.nevo.co.il/case/20548461" TargetMode="External"/><Relationship Id="rId124" Type="http://schemas.openxmlformats.org/officeDocument/2006/relationships/hyperlink" Target="http://www.nevo.co.il/case/20548461" TargetMode="External"/><Relationship Id="rId123" Type="http://schemas.openxmlformats.org/officeDocument/2006/relationships/hyperlink" Target="http://www.nevo.co.il/case/20548461" TargetMode="External"/><Relationship Id="rId122" Type="http://schemas.openxmlformats.org/officeDocument/2006/relationships/hyperlink" Target="http://www.nevo.co.il/case/6473037" TargetMode="External"/><Relationship Id="rId95" Type="http://schemas.openxmlformats.org/officeDocument/2006/relationships/hyperlink" Target="http://www.nevo.co.il/case/22006503" TargetMode="External"/><Relationship Id="rId94" Type="http://schemas.openxmlformats.org/officeDocument/2006/relationships/hyperlink" Target="http://www.nevo.co.il/case/22006503" TargetMode="External"/><Relationship Id="rId97" Type="http://schemas.openxmlformats.org/officeDocument/2006/relationships/hyperlink" Target="http://www.nevo.co.il/case/21771409" TargetMode="External"/><Relationship Id="rId96" Type="http://schemas.openxmlformats.org/officeDocument/2006/relationships/hyperlink" Target="http://www.nevo.co.il/case/21771409" TargetMode="External"/><Relationship Id="rId99" Type="http://schemas.openxmlformats.org/officeDocument/2006/relationships/hyperlink" Target="http://www.nevo.co.il/case/21771409" TargetMode="External"/><Relationship Id="rId98" Type="http://schemas.openxmlformats.org/officeDocument/2006/relationships/hyperlink" Target="http://www.nevo.co.il/case/21771409" TargetMode="External"/><Relationship Id="rId91" Type="http://schemas.openxmlformats.org/officeDocument/2006/relationships/hyperlink" Target="http://www.nevo.co.il/case/5917767" TargetMode="External"/><Relationship Id="rId90" Type="http://schemas.openxmlformats.org/officeDocument/2006/relationships/hyperlink" Target="http://www.nevo.co.il/case/5917767" TargetMode="External"/><Relationship Id="rId93" Type="http://schemas.openxmlformats.org/officeDocument/2006/relationships/hyperlink" Target="http://www.nevo.co.il/case/22006503" TargetMode="External"/><Relationship Id="rId92" Type="http://schemas.openxmlformats.org/officeDocument/2006/relationships/hyperlink" Target="http://www.nevo.co.il/case/22006503" TargetMode="External"/><Relationship Id="rId118" Type="http://schemas.openxmlformats.org/officeDocument/2006/relationships/hyperlink" Target="http://www.nevo.co.il/case/17929065" TargetMode="External"/><Relationship Id="rId117" Type="http://schemas.openxmlformats.org/officeDocument/2006/relationships/hyperlink" Target="http://www.nevo.co.il/case/17929065" TargetMode="External"/><Relationship Id="rId116" Type="http://schemas.openxmlformats.org/officeDocument/2006/relationships/hyperlink" Target="http://www.nevo.co.il/case/17929065" TargetMode="External"/><Relationship Id="rId115" Type="http://schemas.openxmlformats.org/officeDocument/2006/relationships/hyperlink" Target="http://www.nevo.co.il/case/17929065" TargetMode="External"/><Relationship Id="rId119" Type="http://schemas.openxmlformats.org/officeDocument/2006/relationships/hyperlink" Target="http://www.nevo.co.il/case/6473037" TargetMode="External"/><Relationship Id="rId110" Type="http://schemas.openxmlformats.org/officeDocument/2006/relationships/hyperlink" Target="http://www.nevo.co.il/case/17929065" TargetMode="External"/><Relationship Id="rId114" Type="http://schemas.openxmlformats.org/officeDocument/2006/relationships/hyperlink" Target="http://www.nevo.co.il/case/17929065" TargetMode="External"/><Relationship Id="rId113" Type="http://schemas.openxmlformats.org/officeDocument/2006/relationships/hyperlink" Target="http://www.nevo.co.il/case/17929065" TargetMode="External"/><Relationship Id="rId112" Type="http://schemas.openxmlformats.org/officeDocument/2006/relationships/hyperlink" Target="http://www.nevo.co.il/case/17929065" TargetMode="External"/><Relationship Id="rId111" Type="http://schemas.openxmlformats.org/officeDocument/2006/relationships/hyperlink" Target="http://www.nevo.co.il/case/17929065" TargetMode="Externa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AHE9R+yW/JjuHXisZZCBzNkSUg==">CgMxLjAyCWlkLmdqZGd4czIKaWQuMzBqMHpsbDIKaWQuMWZvYjl0ZTIKaWQuM3pueXNoNzIKaWQuMmV0OTJwMDIJaWQudHlqY3d0MgppZC4zZHk2dmttOAByITFnOTE4NE1yLWxEV3VvT2JJSmNZRWFKbUNHaHUxYUFKSQ==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2023-12-07T11:44:00Z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520</vt:lpwstr>
  </property>
  <property fmtid="{D5CDD505-2E9C-101B-9397-08002B2CF9AE}" pid="6" name="NEWPARTB">
    <vt:lpwstr>07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עומרי עמרם אסבן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20180123</vt:lpwstr>
  </property>
  <property fmtid="{D5CDD505-2E9C-101B-9397-08002B2CF9AE}" pid="13" name="TYPE_N_DATE">
    <vt:lpwstr>39020180123</vt:lpwstr>
  </property>
  <property fmtid="{D5CDD505-2E9C-101B-9397-08002B2CF9AE}" pid="14" name="WORDNUMPAGES">
    <vt:lpwstr>9</vt:lpwstr>
  </property>
  <property fmtid="{D5CDD505-2E9C-101B-9397-08002B2CF9AE}" pid="15" name="TYPE_ABS_DATE">
    <vt:lpwstr>390020180123</vt:lpwstr>
  </property>
  <property fmtid="{D5CDD505-2E9C-101B-9397-08002B2CF9AE}" pid="16" name="ISABSTRACT">
    <vt:lpwstr>Y</vt:lpwstr>
  </property>
  <property fmtid="{D5CDD505-2E9C-101B-9397-08002B2CF9AE}" pid="17" name="LAWYER">
    <vt:lpwstr>דורון נוי;יהלי שפרלינג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20468364:2;20341890:2;7667123;6473037:2;7791493;5887664;5758629;17916776;5917767;22006503;21771409;17929065;20548461;21838925;20003566;18105668;20590970</vt:lpwstr>
  </property>
  <property fmtid="{D5CDD505-2E9C-101B-9397-08002B2CF9AE}" pid="36" name="LAWLISTTMP1">
    <vt:lpwstr>70301/144.a;144.b;40ja</vt:lpwstr>
  </property>
</Properties>
</file>