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Tahoma-bold.ttf" ContentType="application/x-font-ttf"/>
  <Override PartName="/word/fonts/Tahoma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1.0" w:type="dxa"/>
        <w:jc w:val="center"/>
        <w:tblLayout w:type="fixed"/>
        <w:tblLook w:val="0000"/>
      </w:tblPr>
      <w:tblGrid>
        <w:gridCol w:w="5048"/>
        <w:gridCol w:w="3673"/>
        <w:tblGridChange w:id="0">
          <w:tblGrid>
            <w:gridCol w:w="5048"/>
            <w:gridCol w:w="3673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gridSpan w:val="2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בתי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משפט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המשפט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המחוזי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ירושלים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57618-05-17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לפני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השופטת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רבקה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פרידמן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פלדמן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פברואר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2018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5220"/>
        <w:gridCol w:w="2677"/>
        <w:tblGridChange w:id="0">
          <w:tblGrid>
            <w:gridCol w:w="923"/>
            <w:gridCol w:w="5220"/>
            <w:gridCol w:w="2677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0D">
            <w:pPr>
              <w:bidi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בעניין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bidi w:val="1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מדינת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ישראל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bidi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bidi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bidi w:val="1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bidi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המאשימה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bidi w:val="1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bidi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נ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ג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ד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bidi w:val="1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bidi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פירס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בדואן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bidi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bidi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הנאשם</w:t>
            </w:r>
          </w:p>
        </w:tc>
      </w:tr>
    </w:tbl>
    <w:p w:rsidR="00000000" w:rsidDel="00000000" w:rsidP="00000000" w:rsidRDefault="00000000" w:rsidRPr="00000000" w14:paraId="0000001A">
      <w:pPr>
        <w:bidi w:val="1"/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C">
      <w:pPr>
        <w:bidi w:val="1"/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  <w:sz w:val="24"/>
          <w:szCs w:val="24"/>
        </w:rPr>
      </w:pPr>
      <w:r w:rsidDel="00000000" w:rsidR="00000000" w:rsidRPr="00000000">
        <w:rPr>
          <w:rFonts w:ascii="FrankRuehl" w:cs="FrankRuehl" w:eastAsia="FrankRuehl" w:hAnsi="FrankRuehl"/>
          <w:sz w:val="24"/>
          <w:szCs w:val="24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sz w:val="24"/>
          <w:szCs w:val="24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0">
      <w:pPr>
        <w:bidi w:val="1"/>
        <w:spacing w:after="120" w:before="120" w:line="240" w:lineRule="auto"/>
        <w:ind w:left="283" w:hanging="283"/>
        <w:jc w:val="both"/>
        <w:rPr>
          <w:rFonts w:ascii="FrankRuehl" w:cs="FrankRuehl" w:eastAsia="FrankRuehl" w:hAnsi="FrankRuehl"/>
          <w:sz w:val="24"/>
          <w:szCs w:val="24"/>
        </w:rPr>
      </w:pPr>
      <w:hyperlink r:id="rId7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חוק</w:t>
        </w:r>
      </w:hyperlink>
      <w:hyperlink r:id="rId8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העונשין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,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תשל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"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ז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-1977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sz w:val="24"/>
          <w:szCs w:val="24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sz w:val="24"/>
          <w:szCs w:val="24"/>
          <w:rtl w:val="1"/>
        </w:rPr>
        <w:t xml:space="preserve">'  </w:t>
      </w:r>
      <w:hyperlink r:id="rId15">
        <w:r w:rsidDel="00000000" w:rsidR="00000000" w:rsidRPr="00000000">
          <w:rPr>
            <w:rtl w:val="0"/>
          </w:rPr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40</w:t>
        </w:r>
      </w:hyperlink>
      <w:hyperlink r:id="rId17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ב</w:t>
        </w:r>
      </w:hyperlink>
      <w:r w:rsidDel="00000000" w:rsidR="00000000" w:rsidRPr="00000000">
        <w:rPr>
          <w:rFonts w:ascii="FrankRuehl" w:cs="FrankRuehl" w:eastAsia="FrankRuehl" w:hAnsi="FrankRuehl"/>
          <w:sz w:val="24"/>
          <w:szCs w:val="24"/>
          <w:rtl w:val="0"/>
        </w:rPr>
        <w:t xml:space="preserve">, </w:t>
      </w:r>
      <w:hyperlink r:id="rId18">
        <w:r w:rsidDel="00000000" w:rsidR="00000000" w:rsidRPr="00000000">
          <w:rPr>
            <w:rtl w:val="0"/>
          </w:rPr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40</w:t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ג</w:t>
        </w:r>
      </w:hyperlink>
      <w:r w:rsidDel="00000000" w:rsidR="00000000" w:rsidRPr="00000000">
        <w:rPr>
          <w:rFonts w:ascii="FrankRuehl" w:cs="FrankRuehl" w:eastAsia="FrankRuehl" w:hAnsi="FrankRuehl"/>
          <w:sz w:val="24"/>
          <w:szCs w:val="24"/>
          <w:rtl w:val="0"/>
        </w:rPr>
        <w:t xml:space="preserve">, </w:t>
      </w:r>
      <w:hyperlink r:id="rId21">
        <w:r w:rsidDel="00000000" w:rsidR="00000000" w:rsidRPr="00000000">
          <w:rPr>
            <w:rtl w:val="0"/>
          </w:rPr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144(</w:t>
        </w:r>
      </w:hyperlink>
      <w:hyperlink r:id="rId23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ב</w:t>
        </w:r>
      </w:hyperlink>
      <w:hyperlink r:id="rId24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sz w:val="24"/>
          <w:szCs w:val="24"/>
          <w:rtl w:val="0"/>
        </w:rPr>
        <w:t xml:space="preserve">, </w:t>
      </w:r>
      <w:hyperlink r:id="rId25">
        <w:r w:rsidDel="00000000" w:rsidR="00000000" w:rsidRPr="00000000">
          <w:rPr>
            <w:rFonts w:ascii="FrankRuehl" w:cs="FrankRuehl" w:eastAsia="FrankRuehl" w:hAnsi="FrankRuehl"/>
            <w:color w:val="0000ff"/>
            <w:sz w:val="24"/>
            <w:szCs w:val="24"/>
            <w:rtl w:val="0"/>
          </w:rPr>
          <w:t xml:space="preserve">448</w:t>
        </w:r>
      </w:hyperlink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1">
      <w:pPr>
        <w:bidi w:val="1"/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2et92p0" w:id="4"/>
          <w:bookmarkEnd w:id="4"/>
          <w:p w:rsidR="00000000" w:rsidDel="00000000" w:rsidP="00000000" w:rsidRDefault="00000000" w:rsidRPr="00000000" w14:paraId="00000023">
            <w:pPr>
              <w:bidi w:val="1"/>
              <w:jc w:val="center"/>
              <w:rPr>
                <w:rFonts w:ascii="Arial" w:cs="Arial" w:eastAsia="Arial" w:hAnsi="Arial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גזר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דין</w:t>
            </w:r>
          </w:p>
          <w:p w:rsidR="00000000" w:rsidDel="00000000" w:rsidP="00000000" w:rsidRDefault="00000000" w:rsidRPr="00000000" w14:paraId="00000024">
            <w:pPr>
              <w:bidi w:val="1"/>
              <w:jc w:val="center"/>
              <w:rPr>
                <w:rFonts w:ascii="Arial" w:cs="Arial" w:eastAsia="Arial" w:hAnsi="Arial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bidi w:val="1"/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  </w:t>
        <w:tab/>
      </w:r>
      <w:bookmarkStart w:colFirst="0" w:colLast="0" w:name="bookmark=id.tyjcwt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הורשע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הודאתו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בעובדות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אישום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מתוקן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הסדר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הצתה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hyperlink r:id="rId26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סעיף</w:t>
        </w:r>
      </w:hyperlink>
      <w:hyperlink r:id="rId2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 448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רישא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</w:t>
      </w:r>
      <w:hyperlink r:id="rId2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חוק</w:t>
        </w:r>
      </w:hyperlink>
      <w:hyperlink r:id="rId29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התשל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-1977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");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ובעבירה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נשיאה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והובלה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hyperlink r:id="rId31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סעיף</w:t>
        </w:r>
      </w:hyperlink>
      <w:hyperlink r:id="rId32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 144(</w:t>
        </w:r>
      </w:hyperlink>
      <w:hyperlink r:id="rId33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ב</w:t>
        </w:r>
      </w:hyperlink>
      <w:hyperlink r:id="rId34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רישא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לחוק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הסדר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הטיעון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28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360" w:lineRule="auto"/>
        <w:ind w:firstLine="72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2A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2. 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אחמד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עבדאללה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המתגורר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נקובא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בסכסוך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ברהום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המתגוררים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רפא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2C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במדויק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למחצית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2016,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וביקש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רכבו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מוסטפא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רומאן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תושב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המצוי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נישואין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וקרבה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למשפחת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ברהום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מתלונן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1"</w:t>
      </w:r>
      <w:r w:rsidDel="00000000" w:rsidR="00000000" w:rsidRPr="00000000">
        <w:rPr>
          <w:rFonts w:ascii="David" w:cs="David" w:eastAsia="David" w:hAnsi="David"/>
          <w:rtl w:val="0"/>
        </w:rPr>
        <w:t xml:space="preserve">). 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D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בקבוק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בנזין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ההצתה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4:00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בוקר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בליל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ההצתה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2:00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פאדי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בדואן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המתלונן</w:t>
      </w:r>
      <w:r w:rsidDel="00000000" w:rsidR="00000000" w:rsidRPr="00000000">
        <w:rPr>
          <w:rFonts w:ascii="David" w:cs="David" w:eastAsia="David" w:hAnsi="David"/>
          <w:rtl w:val="1"/>
        </w:rPr>
        <w:t xml:space="preserve"> 1. </w:t>
      </w:r>
    </w:p>
    <w:p w:rsidR="00000000" w:rsidDel="00000000" w:rsidP="00000000" w:rsidRDefault="00000000" w:rsidRPr="00000000" w14:paraId="0000002F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במרחק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כקילומטר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מפאדי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והתקדם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רכבו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מתלונן</w:t>
      </w:r>
      <w:r w:rsidDel="00000000" w:rsidR="00000000" w:rsidRPr="00000000">
        <w:rPr>
          <w:rFonts w:ascii="David" w:cs="David" w:eastAsia="David" w:hAnsi="David"/>
          <w:rtl w:val="1"/>
        </w:rPr>
        <w:t xml:space="preserve"> 1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0"/>
        </w:rPr>
        <w:t xml:space="preserve">). </w:t>
      </w:r>
    </w:p>
    <w:p w:rsidR="00000000" w:rsidDel="00000000" w:rsidP="00000000" w:rsidRDefault="00000000" w:rsidRPr="00000000" w14:paraId="00000030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שפך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תכולת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הבקבוק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הקדמי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מתלונן</w:t>
      </w:r>
      <w:r w:rsidDel="00000000" w:rsidR="00000000" w:rsidRPr="00000000">
        <w:rPr>
          <w:rFonts w:ascii="David" w:cs="David" w:eastAsia="David" w:hAnsi="David"/>
          <w:rtl w:val="1"/>
        </w:rPr>
        <w:t xml:space="preserve"> 1,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והדליק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הבנזין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31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נשרף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הקדמי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32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ההצתה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ולפאדי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בדואן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200 ₪. </w:t>
      </w:r>
    </w:p>
    <w:p w:rsidR="00000000" w:rsidDel="00000000" w:rsidP="00000000" w:rsidRDefault="00000000" w:rsidRPr="00000000" w14:paraId="00000033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למתואר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25.2.2017,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וביקש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בפתח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השייכת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לאחמד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ברהום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ברהום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המתלונן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2"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במטרה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להרוס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למספרה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נעתר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לפניה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ובהמשך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לידיו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מצינור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מתכתי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המכיל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חומר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נפץ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ואמצעי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רסס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קליעים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ומסמרים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מטרתם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להגביר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אפקט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התפוצצותו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והובילו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תכולתו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החליט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להשיב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25.2.2017,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טוען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בפניו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38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להפעלה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39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26.2.2017 </w:t>
      </w:r>
      <w:r w:rsidDel="00000000" w:rsidR="00000000" w:rsidRPr="00000000">
        <w:rPr>
          <w:rFonts w:ascii="David" w:cs="David" w:eastAsia="David" w:hAnsi="David"/>
          <w:rtl w:val="1"/>
        </w:rPr>
        <w:t xml:space="preserve">סמוך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23:00,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ידועות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במדויק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התפוצץ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בפתח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המספרה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השייכת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למתלונן</w:t>
      </w:r>
      <w:r w:rsidDel="00000000" w:rsidR="00000000" w:rsidRPr="00000000">
        <w:rPr>
          <w:rFonts w:ascii="David" w:cs="David" w:eastAsia="David" w:hAnsi="David"/>
          <w:rtl w:val="1"/>
        </w:rPr>
        <w:t xml:space="preserve">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בהסדר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הטיעון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הסנגור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לטעון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לניצול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השפעה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המצב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הכלכלי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ומשפחתו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3C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ind w:firstLine="72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3.  </w:t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תסקיר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בעניינו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40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בתסקיר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9.11.2017,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25,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יליד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סוריה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הבכור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במשפחתו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טרם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מעצרו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התגורר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הוריו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בכפר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נקובא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לממכר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מזון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באזור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מגוריו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המשפחה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מסוריה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בהיותו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ששהה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בכלא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בחשד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לשיתוף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בתסקיר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התייחסות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להוריו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בגינן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הוצא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בגיל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לפנימייה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אביו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45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מוכר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כמפורט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בתסקיר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42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בתסקיר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התייחסות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לעברו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הפלילי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לדברי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מאז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מעצרו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2017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נגמל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בכוחות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לגילוי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שרידי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שנערכו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במעצר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נמצאו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נקיות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מתפקד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כראוי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שתף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האגף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ולאחרונה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הביע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נכונות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להשתלב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בטיפול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בנושא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התמכרויות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43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טען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סחטו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יכולתו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שכר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הודה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המיוחסות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והביע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חרטה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השליך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האחריות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לביצוען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התגורר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44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התייחס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לגורמי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וגורמי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סיכוי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גיבוש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המלצה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כגורמי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צוינו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מעורבותו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הקודמת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בפלילים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התנהלותו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האלימה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כמתואר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האישום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המתוקן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קשייו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אחריות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למעשיו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והקושי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בוויסות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תגובותיו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אימפולסיבי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רצון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לספק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צרכי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משפחתו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כגורמי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סיכוי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צוינו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גילו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הצעיר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השפעת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ההליכים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המשפטיים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והמעצר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כגורם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מרתיע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ויכולת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התפקוד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ומחויבותו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במישור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התעסוקתי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העריך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הסיכון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למעורבות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נוספת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בעבירת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אלימות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ותוצאותיה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הצפויות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שתתרחש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צפויות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גבוהות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העריך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גבוה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להישנות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התנהגות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עבריינית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46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המלצת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להטיל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מוחשי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שיחדד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גבולות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החוק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47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line="36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ראיות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לעונש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4.  </w:t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הוגש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פלילי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4B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הוגש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מכתב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מעובדת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סוציאלית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במועצה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האזורית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מטה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4C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line="360" w:lineRule="auto"/>
        <w:ind w:firstLine="720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טיעוני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E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5. 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מהאישומים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מצטברים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0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המוגן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פגע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השמירה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קניינו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ופגיעה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בתחושת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הביטחון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1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לדברי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החומרה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הטמונה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הצתה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לדבריו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בצידה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הנכס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מציתים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ולאופן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ההצתה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2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למדיניות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הנוהגת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hyperlink r:id="rId3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3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3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3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907/14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דניאל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רחמים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(18.11.2014) 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למצית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hyperlink r:id="rId3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4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4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4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1846/13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, 2190/13 ,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מאל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עמאש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ואח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(1.12.2013),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</w:t>
      </w:r>
      <w:hyperlink r:id="rId4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4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4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4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7887/12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מאיר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שאול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rtl w:val="0"/>
        </w:rPr>
        <w:t xml:space="preserve"> (24.4.2013).</w:t>
      </w:r>
    </w:p>
    <w:p w:rsidR="00000000" w:rsidDel="00000000" w:rsidP="00000000" w:rsidRDefault="00000000" w:rsidRPr="00000000" w14:paraId="00000053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חמורות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ישנם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מראש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הצטיידות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בבקבוק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בנזין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בצוותא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ופוטנציאל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4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לפיכך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40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ופיצוי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לנפגע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5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חומרתן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הנשק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הנובעת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מהסיכון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הטמון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ומהסכנה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בחיי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לאמצעי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הנשק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הניתנים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לנשיאה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בראש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להנחיית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פרקליט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המדינה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9.16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מדיניות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ומטעני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6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התייחס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למטרתו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פגיעה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במספרה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המתלונן</w:t>
      </w:r>
      <w:r w:rsidDel="00000000" w:rsidR="00000000" w:rsidRPr="00000000">
        <w:rPr>
          <w:rFonts w:ascii="David" w:cs="David" w:eastAsia="David" w:hAnsi="David"/>
          <w:rtl w:val="1"/>
        </w:rPr>
        <w:t xml:space="preserve"> 2.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התייחס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המפורט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המלמד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המסוכנות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הטמונה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7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לקולה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התייחס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להחלטתו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להחזיר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לשולחו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השרשרת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העבריינית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ובסופו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התפוצץ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בפתח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המספרה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להחמיר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הקשורות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בנשיאת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ובמיוחד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כשמדובר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במטעני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נוכח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פוטנציאל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הנזק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מפשע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hyperlink r:id="rId4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4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4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5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3491/13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לירון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טוויק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(15.11.2013).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לפיכך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וחצי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וחצי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וקנס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8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לקביעת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התייחס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לעברו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הפלילי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בתסקיר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שמבחינתו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התייחס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להודאתו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ולשיתוף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המשטרה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לפיכך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לדבריו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למקם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התחתון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9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6. 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B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יזם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ששלח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בשמו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C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נולד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חשיפתו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חקירתו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ששלח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לשרוף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בעליו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מסוכסך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D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פעוט</w:t>
      </w:r>
      <w:r w:rsidDel="00000000" w:rsidR="00000000" w:rsidRPr="00000000">
        <w:rPr>
          <w:rFonts w:ascii="David" w:cs="David" w:eastAsia="David" w:hAnsi="David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המעשה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200 ₪ </w:t>
      </w:r>
      <w:r w:rsidDel="00000000" w:rsidR="00000000" w:rsidRPr="00000000">
        <w:rPr>
          <w:rFonts w:ascii="David" w:cs="David" w:eastAsia="David" w:hAnsi="David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שנוצל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שולחו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E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שולחו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רצה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יישא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יניח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ויביא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לפיצוץ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בחקירתו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במשטרה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התחרט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במתכוון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והחזירו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לשולחו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בטענה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יפגע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לכסות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למעשה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הנשק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מביתו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והחזרתו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במעשה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לדברי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לעודד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חרטה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שהחלו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F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שולחו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ניצל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שמשפחתו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אמצעים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מתגוררת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אצלו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וחייבת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החזיר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לדבריו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ניצול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במתחמי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נפרדים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-12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לגזרי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עשרה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2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לפסיקה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</w:p>
    <w:p w:rsidR="00000000" w:rsidDel="00000000" w:rsidP="00000000" w:rsidRDefault="00000000" w:rsidRPr="00000000" w14:paraId="00000065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ההצתה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hyperlink r:id="rId5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ע</w:t>
        </w:r>
      </w:hyperlink>
      <w:hyperlink r:id="rId5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5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5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4311/12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(8.11.2012),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ובערעור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הועמד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הצעיר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המערער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היעדר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פלילי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hyperlink r:id="rId5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5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5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5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5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מחוזי</w:t>
        </w:r>
      </w:hyperlink>
      <w:hyperlink r:id="rId6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6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ירושלים</w:t>
        </w:r>
      </w:hyperlink>
      <w:hyperlink r:id="rId6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 63147-12-16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חמזה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גועבה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ואח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הצדדים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להסדר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קטנוע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hyperlink r:id="rId6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6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6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6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6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מחוזי</w:t>
        </w:r>
      </w:hyperlink>
      <w:hyperlink r:id="rId6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6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ב</w:t>
        </w:r>
      </w:hyperlink>
      <w:hyperlink r:id="rId7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7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ש</w:t>
        </w:r>
      </w:hyperlink>
      <w:hyperlink r:id="rId7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 8312/09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ליאור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פטורי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ואח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(19.12.2010),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נגזרו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hyperlink r:id="rId7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7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7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7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22-06-14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סבאח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(17.6.2014)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הצתה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אנטנה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24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לריצוי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בעבודות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6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הנשק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rtl w:val="1"/>
        </w:rPr>
        <w:t xml:space="preserve"> 04-06-15, </w:t>
      </w:r>
      <w:hyperlink r:id="rId7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מדינת</w:t>
        </w:r>
      </w:hyperlink>
      <w:hyperlink r:id="rId7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7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ישראל</w:t>
        </w:r>
      </w:hyperlink>
      <w:hyperlink r:id="rId8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8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נ</w:t>
        </w:r>
      </w:hyperlink>
      <w:hyperlink r:id="rId8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' </w:t>
        </w:r>
      </w:hyperlink>
      <w:hyperlink r:id="rId8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שחיטה</w:t>
        </w:r>
      </w:hyperlink>
      <w:hyperlink r:id="rId8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(1.6.2015)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hyperlink r:id="rId8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8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8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8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8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מחוזי</w:t>
        </w:r>
      </w:hyperlink>
      <w:hyperlink r:id="rId9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91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ירושלים</w:t>
        </w:r>
      </w:hyperlink>
      <w:hyperlink r:id="rId92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 1578-04-13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נאצר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סרחאן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עווידה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(19.12.2013)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בנשיאת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60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30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; </w:t>
      </w:r>
      <w:hyperlink r:id="rId93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ת</w:t>
        </w:r>
      </w:hyperlink>
      <w:hyperlink r:id="rId94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"</w:t>
        </w:r>
      </w:hyperlink>
      <w:hyperlink r:id="rId95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פ</w:t>
        </w:r>
      </w:hyperlink>
      <w:hyperlink r:id="rId96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(</w:t>
        </w:r>
      </w:hyperlink>
      <w:hyperlink r:id="rId97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מחוזי</w:t>
        </w:r>
      </w:hyperlink>
      <w:hyperlink r:id="rId98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 </w:t>
        </w:r>
      </w:hyperlink>
      <w:hyperlink r:id="rId99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חיפה</w:t>
        </w:r>
      </w:hyperlink>
      <w:hyperlink r:id="rId100">
        <w:r w:rsidDel="00000000" w:rsidR="00000000" w:rsidRPr="00000000">
          <w:rPr>
            <w:rFonts w:ascii="David" w:cs="David" w:eastAsia="David" w:hAnsi="David"/>
            <w:color w:val="0000ff"/>
            <w:u w:val="single"/>
            <w:rtl w:val="1"/>
          </w:rPr>
          <w:t xml:space="preserve">) 3068-11-15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רבאן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(30.6.2016)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36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קביעת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המתחם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לנסיבותיו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בתסקיר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ולנסיבותיו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המשפחתיות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מהתסקיר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ומהמסמך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אגף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הרווחה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לדבריו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יליד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93',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יליד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סוריה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בהיותו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תינוק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נאלצה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להימלט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מסוריה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להסתגל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בישראל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הצלחה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יתרה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המעטה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שוכנה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נקובה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בתנאים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והמצב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הכלכלי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הקשה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להתרווח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נשכרה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ממשפחתו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השפעה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ניכרת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ואילץ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זרועו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הארוכה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לדבריו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קורבן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משנה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". </w:t>
      </w:r>
    </w:p>
    <w:p w:rsidR="00000000" w:rsidDel="00000000" w:rsidP="00000000" w:rsidRDefault="00000000" w:rsidRPr="00000000" w14:paraId="00000069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במיוחס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המתוקן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שקודם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במשטרה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והפליל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שולחו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חרטה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בהודאתו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שיפוטי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במעצר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8.5.2017.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ונכנס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לכלא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בפרנסת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משפחתו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A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לסיכום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יעלה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חודשי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בניכוי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תקופת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מעצרו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B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7. 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הטיעונים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רוצה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לעזור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למשפחתו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לדבריו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המצב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לאפס</w:t>
      </w:r>
      <w:r w:rsidDel="00000000" w:rsidR="00000000" w:rsidRPr="00000000">
        <w:rPr>
          <w:rFonts w:ascii="David" w:cs="David" w:eastAsia="David" w:hAnsi="David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בפרנסת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וכרגע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בכלא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לעבודה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להשתחרר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ולעזור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למשפחתו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לדברי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הגיעו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מסוריה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זמנית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ואינם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שמחדשים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חרטה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מעשיו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D">
      <w:pPr>
        <w:bidi w:val="1"/>
        <w:spacing w:line="360" w:lineRule="auto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360" w:lineRule="auto"/>
        <w:ind w:firstLine="72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ההולם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8.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לתיקון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113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</w:t>
      </w:r>
      <w:hyperlink r:id="rId101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חוק</w:t>
        </w:r>
      </w:hyperlink>
      <w:hyperlink r:id="rId102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 </w:t>
        </w:r>
      </w:hyperlink>
      <w:hyperlink r:id="rId103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העקרון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בענישה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עקרון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ההלימה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קיומו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יחס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הולם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חומרת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בנסיבותיו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ומידת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אשמו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ומידת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המוטל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</w:t>
      </w:r>
      <w:hyperlink r:id="rId104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סעיף</w:t>
        </w:r>
      </w:hyperlink>
      <w:hyperlink r:id="rId105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 40</w:t>
        </w:r>
      </w:hyperlink>
      <w:hyperlink r:id="rId106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ב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עקרון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ההלימה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מתן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דגש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לעקרון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הגמול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הנסיבות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האישיות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מהוות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שיקול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בקביעת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71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קביעת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נעשית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בערך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החברתי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שנפגע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מביצוע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במידת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הפגיעה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במדיניות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הנהוגה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ובנסיבות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הקשורות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בביצוע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(</w:t>
      </w:r>
      <w:hyperlink r:id="rId10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סעיף</w:t>
        </w:r>
      </w:hyperlink>
      <w:hyperlink r:id="rId10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 40</w:t>
        </w:r>
      </w:hyperlink>
      <w:hyperlink r:id="rId109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ג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72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בענייננו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בשתי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נפרדות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מתקופות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אמנם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מעשיו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בוצעו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בשליחותו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אולם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באירועים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נפרדים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לקבוע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הולם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מהאישומים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בנפרד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9.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ובראשונה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להתייחס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לעונש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שקבע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המחוקק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העבירות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– </w:t>
      </w:r>
    </w:p>
    <w:p w:rsidR="00000000" w:rsidDel="00000000" w:rsidP="00000000" w:rsidRDefault="00000000" w:rsidRPr="00000000" w14:paraId="00000076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הצתה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נקבע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15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שנות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נשיאה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והובלה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המחוקק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78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10.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שקבע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המחוקק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להתחשב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כאמור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במדיניות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הנהוגה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7A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הפנתה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כאמור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לשלושה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פסקי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לעבירת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ההצתה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שנקבע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בפסיקה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שנתיים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לבין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שנות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עבירת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הנשק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הפנתה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לפסק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נגזר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30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וקנס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פסילה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מנהיגה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7C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אליה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הפנה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נעה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סביב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לריצוי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בעבודות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בעבירת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ההצתה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- 30-10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חודשי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לנשיאת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11.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לעניין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החברתי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שנפגע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מהעבירה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עבירת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ההצתה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נשיאת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הינן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הפסיקה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התייחסה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אליהן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עבירת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ההצתה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פוגעת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בזכות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הקניין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ובביטחון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האישי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האזרחים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נשיאת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מטען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נפץ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פוגעת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בבטחון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הציבור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בביטחון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האישי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7F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וראו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לעניין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עבירת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ההצתה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</w:t>
      </w:r>
      <w:hyperlink r:id="rId110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ע</w:t>
        </w:r>
      </w:hyperlink>
      <w:hyperlink r:id="rId111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"</w:t>
        </w:r>
      </w:hyperlink>
      <w:hyperlink r:id="rId112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פ</w:t>
        </w:r>
      </w:hyperlink>
      <w:hyperlink r:id="rId113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 3210/06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1"/>
        </w:rPr>
        <w:t xml:space="preserve">פארס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1"/>
        </w:rPr>
        <w:t xml:space="preserve">עמארה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(18.3.2007):</w:t>
      </w:r>
    </w:p>
    <w:p w:rsidR="00000000" w:rsidDel="00000000" w:rsidP="00000000" w:rsidRDefault="00000000" w:rsidRPr="00000000" w14:paraId="00000081">
      <w:pPr>
        <w:bidi w:val="1"/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עבירת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ההצתה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המסוכנת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במובן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הפשוט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הסכנה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ולרכוש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והפוטנציאל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ההרסני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וכדברי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... 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שיודע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תחילתה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סופה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...".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בכדי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המחוקק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הגבוהים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שבסולם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חמש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ועשרים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...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הסכנה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הרובצת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לפתח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בגינה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שראשיתה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גפרור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ואחריתה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עלולה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שערי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".</w:t>
      </w:r>
    </w:p>
    <w:p w:rsidR="00000000" w:rsidDel="00000000" w:rsidP="00000000" w:rsidRDefault="00000000" w:rsidRPr="00000000" w14:paraId="00000082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ראו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לעניין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הנשק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</w:t>
      </w:r>
      <w:hyperlink r:id="rId114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ע</w:t>
        </w:r>
      </w:hyperlink>
      <w:hyperlink r:id="rId115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"</w:t>
        </w:r>
      </w:hyperlink>
      <w:hyperlink r:id="rId116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פ</w:t>
        </w:r>
      </w:hyperlink>
      <w:hyperlink r:id="rId11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1"/>
          </w:rPr>
          <w:t xml:space="preserve"> 3491/13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84">
      <w:pPr>
        <w:bidi w:val="1"/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להכביר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מילים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המסוכנות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חומרי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נפץ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ומטעני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חבלה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סכנת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נפשות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פשוטו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כמשמעו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שומה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למגר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תופעה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סחר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נשיאה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והובלה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להתפשר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לנהוג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בסובלנות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רחמנות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יתרה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שכמותו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כמוה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כהתאכזרות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הציבור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הרחב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בחיי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". </w:t>
      </w:r>
    </w:p>
    <w:p w:rsidR="00000000" w:rsidDel="00000000" w:rsidP="00000000" w:rsidRDefault="00000000" w:rsidRPr="00000000" w14:paraId="00000085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12.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לנסיבות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הקשורות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– </w:t>
      </w:r>
    </w:p>
    <w:p w:rsidR="00000000" w:rsidDel="00000000" w:rsidP="00000000" w:rsidRDefault="00000000" w:rsidRPr="00000000" w14:paraId="00000087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המקרים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במעשים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מתוכננים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ובביצוע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העבירות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88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בבחינת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חלקו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היחסי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וההשפעה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בביצוע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להקל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במידת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בקביעת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המתחם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בעניינו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הרוח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העבירות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פעל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בשליחותו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חובות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כספיים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כלפי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המעשים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סכסוך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סכסוך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מעורב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שימש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שלוחו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לפגיעה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שמסר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הבנזין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בעניין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ההצתה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המטען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בעבירת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הנשק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89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עבירת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ההצתה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השפעתו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להתעלם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מכך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שהגיע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לרכבו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המתלונן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ששפך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הבנזין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הרכב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שהצית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המכונית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כתוצאה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ממעשיו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נשרף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חלקו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הקדמי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הרכב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מטבע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שמדובר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באש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הנזק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נשיאת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הנשק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הסכים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מאדם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מטען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הורכב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מצינור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מתכתי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המכיל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חומר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נפץ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ואמצעי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רסס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קליעים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ומסמרים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שנמסר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לידיו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שיניחו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בפתח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מספרה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שעם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בעליה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מסוכסך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הוביל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המטען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לביתו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מסכן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הציבור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החזיק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ולאחר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החזירו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לאדם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מבחינת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נסיבות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בהחזקת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המטען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חרטה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החזרת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המטען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לאדם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במטען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התפוצץ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המטען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בפתח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המספרה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bookmarkStart w:colFirst="0" w:colLast="0" w:name="bookmark=id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13.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במכלול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השיקולים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כמפורט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לאור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העבירות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קובעת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בגין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האישום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20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לבין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40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חודשי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ובגין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האישום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12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לבין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30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חודשי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8D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line="360" w:lineRule="auto"/>
        <w:ind w:firstLine="72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גזירת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המתאים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F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14.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בגזירת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עונשו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להתחשב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ובראשונה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בהודאתו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שקיבל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אחריות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למעשיו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החרטה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ביטוי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להודאת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בחר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הקשורה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בנשיאת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מטען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נפץ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בחר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לחשוף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מיוזמתו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מעורבותו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באישום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וכאשר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שיתף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בחקירת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המשטרה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להתחשב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בנסיבותיו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האישיות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כעולה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מטיעוני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סנגורו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בתקופת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מעצרו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להתחשב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בנזק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הממשי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למשפחתו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כתוצאה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מהיותו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סורג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ובריח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92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מנגד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להתחשב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בעברו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הפלילי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מכביד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ובתסקיר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חיובי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93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העניין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בקביעת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הכולל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לשני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האישומים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למקם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בשליש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התחתון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מתחמי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בתחתית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המתחמים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חפיפה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חלקית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העונשים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94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15.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באמור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דנה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כמפורט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96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32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מעצרו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8.5.2017.</w:t>
      </w:r>
    </w:p>
    <w:p w:rsidR="00000000" w:rsidDel="00000000" w:rsidP="00000000" w:rsidRDefault="00000000" w:rsidRPr="00000000" w14:paraId="00000097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8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יעבור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שלוש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שחרורו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מהמאסר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הצתה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עבירה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פשע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הקשורה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בנשק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98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ערעור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העליון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45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9A">
      <w:pPr>
        <w:bidi w:val="1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המזכירות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תשלח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העתק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לשירות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1"/>
        </w:rPr>
        <w:t xml:space="preserve">.  </w:t>
      </w:r>
    </w:p>
    <w:p w:rsidR="00000000" w:rsidDel="00000000" w:rsidP="00000000" w:rsidRDefault="00000000" w:rsidRPr="00000000" w14:paraId="0000009C">
      <w:pPr>
        <w:bidi w:val="1"/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rtl w:val="1"/>
        </w:rPr>
        <w:t xml:space="preserve">, 01 </w:t>
      </w:r>
      <w:r w:rsidDel="00000000" w:rsidR="00000000" w:rsidRPr="00000000">
        <w:rPr>
          <w:rFonts w:ascii="Arial" w:cs="Arial" w:eastAsia="Arial" w:hAnsi="Arial"/>
          <w:rtl w:val="1"/>
        </w:rPr>
        <w:t xml:space="preserve">פברואר</w:t>
      </w:r>
      <w:r w:rsidDel="00000000" w:rsidR="00000000" w:rsidRPr="00000000">
        <w:rPr>
          <w:rFonts w:ascii="Arial" w:cs="Arial" w:eastAsia="Arial" w:hAnsi="Arial"/>
          <w:rtl w:val="1"/>
        </w:rPr>
        <w:t xml:space="preserve"> 2018,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ומתורגמנית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הערבית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ind w:left="4320" w:firstLine="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5129371</w:t>
      </w:r>
    </w:p>
    <w:tbl>
      <w:tblPr>
        <w:tblStyle w:val="Table4"/>
        <w:bidiVisual w:val="1"/>
        <w:tblW w:w="2869.0" w:type="dxa"/>
        <w:jc w:val="left"/>
        <w:tblInd w:w="4205.0" w:type="dxa"/>
        <w:tblLayout w:type="fixed"/>
        <w:tblLook w:val="0000"/>
      </w:tblPr>
      <w:tblGrid>
        <w:gridCol w:w="2869"/>
        <w:tblGridChange w:id="0">
          <w:tblGrid>
            <w:gridCol w:w="2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bidi w:val="1"/>
              <w:jc w:val="center"/>
              <w:rPr>
                <w:rFonts w:ascii="Courier New" w:cs="Courier New" w:eastAsia="Courier New" w:hAnsi="Courier New"/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"/>
                <w:szCs w:val="2"/>
                <w:rtl w:val="0"/>
              </w:rPr>
              <w:t xml:space="preserve">54678313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pStyle w:val="Heading3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רבקה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פרידמן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פלדמן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שופטת</w:t>
            </w:r>
          </w:p>
        </w:tc>
      </w:tr>
    </w:tbl>
    <w:p w:rsidR="00000000" w:rsidDel="00000000" w:rsidP="00000000" w:rsidRDefault="00000000" w:rsidRPr="00000000" w14:paraId="000000A1">
      <w:pPr>
        <w:bidi w:val="1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5129371</w:t>
      </w:r>
    </w:p>
    <w:p w:rsidR="00000000" w:rsidDel="00000000" w:rsidP="00000000" w:rsidRDefault="00000000" w:rsidRPr="00000000" w14:paraId="000000A3">
      <w:pPr>
        <w:keepNext w:val="1"/>
        <w:bidi w:val="1"/>
        <w:rPr>
          <w:rFonts w:ascii="David" w:cs="David" w:eastAsia="David" w:hAnsi="David"/>
          <w:color w:val="ffffff"/>
          <w:sz w:val="2"/>
          <w:szCs w:val="2"/>
        </w:rPr>
      </w:pPr>
      <w:r w:rsidDel="00000000" w:rsidR="00000000" w:rsidRPr="00000000">
        <w:rPr>
          <w:rFonts w:ascii="David" w:cs="David" w:eastAsia="David" w:hAnsi="David"/>
          <w:color w:val="ffffff"/>
          <w:sz w:val="2"/>
          <w:szCs w:val="2"/>
          <w:rtl w:val="0"/>
        </w:rPr>
        <w:t xml:space="preserve">54678313</w:t>
      </w:r>
    </w:p>
    <w:p w:rsidR="00000000" w:rsidDel="00000000" w:rsidP="00000000" w:rsidRDefault="00000000" w:rsidRPr="00000000" w14:paraId="000000A4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רבקה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פרידמן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פלדמן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color w:val="000000"/>
          <w:rtl w:val="1"/>
        </w:rPr>
        <w:t xml:space="preserve">נוסח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מסמך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כפוף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לשינויי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ניסוח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jc w:val="center"/>
        <w:rPr>
          <w:color w:val="0000ff"/>
          <w:u w:val="single"/>
        </w:rPr>
      </w:pPr>
      <w:hyperlink r:id="rId118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11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20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12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22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12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24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12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26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127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128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12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0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13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2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13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4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135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136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13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8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headerReference r:id="rId139" w:type="default"/>
      <w:headerReference r:id="rId140" w:type="even"/>
      <w:footerReference r:id="rId141" w:type="default"/>
      <w:footerReference r:id="rId142" w:type="even"/>
      <w:pgSz w:h="16840" w:w="11907" w:orient="portrait"/>
      <w:pgMar w:bottom="1560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FrankRuehl"/>
  <w:font w:name="Calibri"/>
  <w:font w:name="David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552450" cy="22733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227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552450" cy="22733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227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57618-05-17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פירס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בדואן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57618-05-17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פירס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בדואן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line="360" w:lineRule="auto"/>
      <w:jc w:val="both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ind w:left="5760" w:firstLine="72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0" Type="http://schemas.openxmlformats.org/officeDocument/2006/relationships/hyperlink" Target="http://www.nevo.co.il/case/6731208" TargetMode="External"/><Relationship Id="rId42" Type="http://schemas.openxmlformats.org/officeDocument/2006/relationships/hyperlink" Target="http://www.nevo.co.il/case/6731208" TargetMode="External"/><Relationship Id="rId41" Type="http://schemas.openxmlformats.org/officeDocument/2006/relationships/hyperlink" Target="http://www.nevo.co.il/case/6731208" TargetMode="External"/><Relationship Id="rId44" Type="http://schemas.openxmlformats.org/officeDocument/2006/relationships/hyperlink" Target="http://www.nevo.co.il/case/5604013" TargetMode="External"/><Relationship Id="rId43" Type="http://schemas.openxmlformats.org/officeDocument/2006/relationships/hyperlink" Target="http://www.nevo.co.il/case/5604013" TargetMode="External"/><Relationship Id="rId46" Type="http://schemas.openxmlformats.org/officeDocument/2006/relationships/hyperlink" Target="http://www.nevo.co.il/case/5604013" TargetMode="External"/><Relationship Id="rId45" Type="http://schemas.openxmlformats.org/officeDocument/2006/relationships/hyperlink" Target="http://www.nevo.co.il/case/5604013" TargetMode="External"/><Relationship Id="rId107" Type="http://schemas.openxmlformats.org/officeDocument/2006/relationships/hyperlink" Target="http://www.nevo.co.il/law/70301/40c" TargetMode="External"/><Relationship Id="rId106" Type="http://schemas.openxmlformats.org/officeDocument/2006/relationships/hyperlink" Target="http://www.nevo.co.il/law/70301/40b" TargetMode="External"/><Relationship Id="rId105" Type="http://schemas.openxmlformats.org/officeDocument/2006/relationships/hyperlink" Target="http://www.nevo.co.il/law/70301/40b" TargetMode="External"/><Relationship Id="rId104" Type="http://schemas.openxmlformats.org/officeDocument/2006/relationships/hyperlink" Target="http://www.nevo.co.il/law/70301/40b" TargetMode="External"/><Relationship Id="rId109" Type="http://schemas.openxmlformats.org/officeDocument/2006/relationships/hyperlink" Target="http://www.nevo.co.il/law/70301/40c" TargetMode="External"/><Relationship Id="rId108" Type="http://schemas.openxmlformats.org/officeDocument/2006/relationships/hyperlink" Target="http://www.nevo.co.il/law/70301/40c" TargetMode="External"/><Relationship Id="rId48" Type="http://schemas.openxmlformats.org/officeDocument/2006/relationships/hyperlink" Target="http://www.nevo.co.il/case/10485615" TargetMode="External"/><Relationship Id="rId47" Type="http://schemas.openxmlformats.org/officeDocument/2006/relationships/hyperlink" Target="http://www.nevo.co.il/case/10485615" TargetMode="External"/><Relationship Id="rId49" Type="http://schemas.openxmlformats.org/officeDocument/2006/relationships/hyperlink" Target="http://www.nevo.co.il/case/10485615" TargetMode="External"/><Relationship Id="rId103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70301" TargetMode="External"/><Relationship Id="rId100" Type="http://schemas.openxmlformats.org/officeDocument/2006/relationships/hyperlink" Target="http://www.nevo.co.il/case/20685827" TargetMode="External"/><Relationship Id="rId31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.b" TargetMode="External"/><Relationship Id="rId32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case/11309013" TargetMode="External"/><Relationship Id="rId34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case/11309013" TargetMode="External"/><Relationship Id="rId36" Type="http://schemas.openxmlformats.org/officeDocument/2006/relationships/hyperlink" Target="http://www.nevo.co.il/case/11309013" TargetMode="External"/><Relationship Id="rId39" Type="http://schemas.openxmlformats.org/officeDocument/2006/relationships/hyperlink" Target="http://www.nevo.co.il/case/6731208" TargetMode="External"/><Relationship Id="rId38" Type="http://schemas.openxmlformats.org/officeDocument/2006/relationships/hyperlink" Target="http://www.nevo.co.il/case/11309013" TargetMode="External"/><Relationship Id="rId20" Type="http://schemas.openxmlformats.org/officeDocument/2006/relationships/hyperlink" Target="http://www.nevo.co.il/law/70301/40c" TargetMode="External"/><Relationship Id="rId22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144.b" TargetMode="External"/><Relationship Id="rId129" Type="http://schemas.openxmlformats.org/officeDocument/2006/relationships/hyperlink" Target="http://www.nevo.co.il/advertisements/nevo-100.doc" TargetMode="External"/><Relationship Id="rId128" Type="http://schemas.openxmlformats.org/officeDocument/2006/relationships/hyperlink" Target="http://www.nevo.co.il/advertisements/nevo-100.doc" TargetMode="External"/><Relationship Id="rId127" Type="http://schemas.openxmlformats.org/officeDocument/2006/relationships/hyperlink" Target="http://www.nevo.co.il/advertisements/nevo-100.doc" TargetMode="External"/><Relationship Id="rId126" Type="http://schemas.openxmlformats.org/officeDocument/2006/relationships/hyperlink" Target="http://www.nevo.co.il/advertisements/nevo-100.doc" TargetMode="External"/><Relationship Id="rId26" Type="http://schemas.openxmlformats.org/officeDocument/2006/relationships/hyperlink" Target="http://www.nevo.co.il/law/70301/448" TargetMode="External"/><Relationship Id="rId121" Type="http://schemas.openxmlformats.org/officeDocument/2006/relationships/hyperlink" Target="http://www.nevo.co.il/advertisements/nevo-100.doc" TargetMode="External"/><Relationship Id="rId25" Type="http://schemas.openxmlformats.org/officeDocument/2006/relationships/hyperlink" Target="http://www.nevo.co.il/law/70301/448" TargetMode="External"/><Relationship Id="rId120" Type="http://schemas.openxmlformats.org/officeDocument/2006/relationships/hyperlink" Target="http://www.nevo.co.il/advertisements/nevo-100.doc" TargetMode="External"/><Relationship Id="rId28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48" TargetMode="External"/><Relationship Id="rId125" Type="http://schemas.openxmlformats.org/officeDocument/2006/relationships/hyperlink" Target="http://www.nevo.co.il/advertisements/nevo-100.doc" TargetMode="External"/><Relationship Id="rId29" Type="http://schemas.openxmlformats.org/officeDocument/2006/relationships/hyperlink" Target="http://www.nevo.co.il/law/70301" TargetMode="External"/><Relationship Id="rId124" Type="http://schemas.openxmlformats.org/officeDocument/2006/relationships/hyperlink" Target="http://www.nevo.co.il/advertisements/nevo-100.doc" TargetMode="External"/><Relationship Id="rId123" Type="http://schemas.openxmlformats.org/officeDocument/2006/relationships/hyperlink" Target="http://www.nevo.co.il/advertisements/nevo-100.doc" TargetMode="External"/><Relationship Id="rId122" Type="http://schemas.openxmlformats.org/officeDocument/2006/relationships/hyperlink" Target="http://www.nevo.co.il/advertisements/nevo-100.doc" TargetMode="External"/><Relationship Id="rId95" Type="http://schemas.openxmlformats.org/officeDocument/2006/relationships/hyperlink" Target="http://www.nevo.co.il/case/20685827" TargetMode="External"/><Relationship Id="rId94" Type="http://schemas.openxmlformats.org/officeDocument/2006/relationships/hyperlink" Target="http://www.nevo.co.il/case/20685827" TargetMode="External"/><Relationship Id="rId97" Type="http://schemas.openxmlformats.org/officeDocument/2006/relationships/hyperlink" Target="http://www.nevo.co.il/case/20685827" TargetMode="External"/><Relationship Id="rId96" Type="http://schemas.openxmlformats.org/officeDocument/2006/relationships/hyperlink" Target="http://www.nevo.co.il/case/20685827" TargetMode="External"/><Relationship Id="rId11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case/20685827" TargetMode="External"/><Relationship Id="rId10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case/20685827" TargetMode="External"/><Relationship Id="rId13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case/6861242" TargetMode="External"/><Relationship Id="rId90" Type="http://schemas.openxmlformats.org/officeDocument/2006/relationships/hyperlink" Target="http://www.nevo.co.il/case/6861242" TargetMode="External"/><Relationship Id="rId93" Type="http://schemas.openxmlformats.org/officeDocument/2006/relationships/hyperlink" Target="http://www.nevo.co.il/case/20685827" TargetMode="External"/><Relationship Id="rId92" Type="http://schemas.openxmlformats.org/officeDocument/2006/relationships/hyperlink" Target="http://www.nevo.co.il/case/6861242" TargetMode="External"/><Relationship Id="rId118" Type="http://schemas.openxmlformats.org/officeDocument/2006/relationships/hyperlink" Target="http://www.nevo.co.il/advertisements/nevo-100.doc" TargetMode="External"/><Relationship Id="rId117" Type="http://schemas.openxmlformats.org/officeDocument/2006/relationships/hyperlink" Target="http://www.nevo.co.il/case/10485615" TargetMode="External"/><Relationship Id="rId116" Type="http://schemas.openxmlformats.org/officeDocument/2006/relationships/hyperlink" Target="http://www.nevo.co.il/case/10485615" TargetMode="External"/><Relationship Id="rId115" Type="http://schemas.openxmlformats.org/officeDocument/2006/relationships/hyperlink" Target="http://www.nevo.co.il/case/10485615" TargetMode="External"/><Relationship Id="rId119" Type="http://schemas.openxmlformats.org/officeDocument/2006/relationships/hyperlink" Target="http://www.nevo.co.il/advertisements/nevo-100.doc" TargetMode="External"/><Relationship Id="rId15" Type="http://schemas.openxmlformats.org/officeDocument/2006/relationships/hyperlink" Target="http://www.nevo.co.il/law/70301/40b" TargetMode="External"/><Relationship Id="rId110" Type="http://schemas.openxmlformats.org/officeDocument/2006/relationships/hyperlink" Target="http://www.nevo.co.il/case/5882592" TargetMode="External"/><Relationship Id="rId14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b" TargetMode="External"/><Relationship Id="rId16" Type="http://schemas.openxmlformats.org/officeDocument/2006/relationships/hyperlink" Target="http://www.nevo.co.il/law/70301/40b" TargetMode="External"/><Relationship Id="rId19" Type="http://schemas.openxmlformats.org/officeDocument/2006/relationships/hyperlink" Target="http://www.nevo.co.il/law/70301/40c" TargetMode="External"/><Relationship Id="rId114" Type="http://schemas.openxmlformats.org/officeDocument/2006/relationships/hyperlink" Target="http://www.nevo.co.il/case/10485615" TargetMode="External"/><Relationship Id="rId18" Type="http://schemas.openxmlformats.org/officeDocument/2006/relationships/hyperlink" Target="http://www.nevo.co.il/law/70301/40c" TargetMode="External"/><Relationship Id="rId113" Type="http://schemas.openxmlformats.org/officeDocument/2006/relationships/hyperlink" Target="http://www.nevo.co.il/case/5882592" TargetMode="External"/><Relationship Id="rId112" Type="http://schemas.openxmlformats.org/officeDocument/2006/relationships/hyperlink" Target="http://www.nevo.co.il/case/5882592" TargetMode="External"/><Relationship Id="rId111" Type="http://schemas.openxmlformats.org/officeDocument/2006/relationships/hyperlink" Target="http://www.nevo.co.il/case/5882592" TargetMode="External"/><Relationship Id="rId84" Type="http://schemas.openxmlformats.org/officeDocument/2006/relationships/hyperlink" Target="http://www.nevo.co.il/case/18134824" TargetMode="External"/><Relationship Id="rId83" Type="http://schemas.openxmlformats.org/officeDocument/2006/relationships/hyperlink" Target="http://www.nevo.co.il/case/18134824" TargetMode="External"/><Relationship Id="rId86" Type="http://schemas.openxmlformats.org/officeDocument/2006/relationships/hyperlink" Target="http://www.nevo.co.il/case/6861242" TargetMode="External"/><Relationship Id="rId85" Type="http://schemas.openxmlformats.org/officeDocument/2006/relationships/hyperlink" Target="http://www.nevo.co.il/case/6861242" TargetMode="External"/><Relationship Id="rId88" Type="http://schemas.openxmlformats.org/officeDocument/2006/relationships/hyperlink" Target="http://www.nevo.co.il/case/6861242" TargetMode="External"/><Relationship Id="rId87" Type="http://schemas.openxmlformats.org/officeDocument/2006/relationships/hyperlink" Target="http://www.nevo.co.il/case/6861242" TargetMode="External"/><Relationship Id="rId89" Type="http://schemas.openxmlformats.org/officeDocument/2006/relationships/hyperlink" Target="http://www.nevo.co.il/case/6861242" TargetMode="External"/><Relationship Id="rId80" Type="http://schemas.openxmlformats.org/officeDocument/2006/relationships/hyperlink" Target="http://www.nevo.co.il/case/18134824" TargetMode="External"/><Relationship Id="rId82" Type="http://schemas.openxmlformats.org/officeDocument/2006/relationships/hyperlink" Target="http://www.nevo.co.il/case/18134824" TargetMode="External"/><Relationship Id="rId81" Type="http://schemas.openxmlformats.org/officeDocument/2006/relationships/hyperlink" Target="http://www.nevo.co.il/case/181348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evo.co.il/law/70301" TargetMode="External"/><Relationship Id="rId142" Type="http://schemas.openxmlformats.org/officeDocument/2006/relationships/footer" Target="footer2.xml"/><Relationship Id="rId141" Type="http://schemas.openxmlformats.org/officeDocument/2006/relationships/footer" Target="footer1.xml"/><Relationship Id="rId140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case/16968592" TargetMode="External"/><Relationship Id="rId72" Type="http://schemas.openxmlformats.org/officeDocument/2006/relationships/hyperlink" Target="http://www.nevo.co.il/case/2377854" TargetMode="External"/><Relationship Id="rId75" Type="http://schemas.openxmlformats.org/officeDocument/2006/relationships/hyperlink" Target="http://www.nevo.co.il/case/16968592" TargetMode="External"/><Relationship Id="rId74" Type="http://schemas.openxmlformats.org/officeDocument/2006/relationships/hyperlink" Target="http://www.nevo.co.il/case/16968592" TargetMode="External"/><Relationship Id="rId77" Type="http://schemas.openxmlformats.org/officeDocument/2006/relationships/hyperlink" Target="http://www.nevo.co.il/case/18134824" TargetMode="External"/><Relationship Id="rId76" Type="http://schemas.openxmlformats.org/officeDocument/2006/relationships/hyperlink" Target="http://www.nevo.co.il/case/16968592" TargetMode="External"/><Relationship Id="rId79" Type="http://schemas.openxmlformats.org/officeDocument/2006/relationships/hyperlink" Target="http://www.nevo.co.il/case/18134824" TargetMode="External"/><Relationship Id="rId78" Type="http://schemas.openxmlformats.org/officeDocument/2006/relationships/hyperlink" Target="http://www.nevo.co.il/case/18134824" TargetMode="External"/><Relationship Id="rId71" Type="http://schemas.openxmlformats.org/officeDocument/2006/relationships/hyperlink" Target="http://www.nevo.co.il/case/2377854" TargetMode="External"/><Relationship Id="rId70" Type="http://schemas.openxmlformats.org/officeDocument/2006/relationships/hyperlink" Target="http://www.nevo.co.il/case/2377854" TargetMode="External"/><Relationship Id="rId139" Type="http://schemas.openxmlformats.org/officeDocument/2006/relationships/header" Target="header1.xml"/><Relationship Id="rId138" Type="http://schemas.openxmlformats.org/officeDocument/2006/relationships/hyperlink" Target="http://www.nevo.co.il/advertisements/nevo-100.doc" TargetMode="External"/><Relationship Id="rId137" Type="http://schemas.openxmlformats.org/officeDocument/2006/relationships/hyperlink" Target="http://www.nevo.co.il/advertisements/nevo-100.doc" TargetMode="External"/><Relationship Id="rId132" Type="http://schemas.openxmlformats.org/officeDocument/2006/relationships/hyperlink" Target="http://www.nevo.co.il/advertisements/nevo-100.doc" TargetMode="External"/><Relationship Id="rId131" Type="http://schemas.openxmlformats.org/officeDocument/2006/relationships/hyperlink" Target="http://www.nevo.co.il/advertisements/nevo-100.doc" TargetMode="External"/><Relationship Id="rId130" Type="http://schemas.openxmlformats.org/officeDocument/2006/relationships/hyperlink" Target="http://www.nevo.co.il/advertisements/nevo-100.doc" TargetMode="External"/><Relationship Id="rId136" Type="http://schemas.openxmlformats.org/officeDocument/2006/relationships/hyperlink" Target="http://www.nevo.co.il/advertisements/nevo-100.doc" TargetMode="External"/><Relationship Id="rId135" Type="http://schemas.openxmlformats.org/officeDocument/2006/relationships/hyperlink" Target="http://www.nevo.co.il/advertisements/nevo-100.doc" TargetMode="External"/><Relationship Id="rId134" Type="http://schemas.openxmlformats.org/officeDocument/2006/relationships/hyperlink" Target="http://www.nevo.co.il/advertisements/nevo-100.doc" TargetMode="External"/><Relationship Id="rId133" Type="http://schemas.openxmlformats.org/officeDocument/2006/relationships/hyperlink" Target="http://www.nevo.co.il/advertisements/nevo-100.doc" TargetMode="External"/><Relationship Id="rId62" Type="http://schemas.openxmlformats.org/officeDocument/2006/relationships/hyperlink" Target="http://www.nevo.co.il/case/21837082" TargetMode="External"/><Relationship Id="rId61" Type="http://schemas.openxmlformats.org/officeDocument/2006/relationships/hyperlink" Target="http://www.nevo.co.il/case/21837082" TargetMode="External"/><Relationship Id="rId64" Type="http://schemas.openxmlformats.org/officeDocument/2006/relationships/hyperlink" Target="http://www.nevo.co.il/case/2377854" TargetMode="External"/><Relationship Id="rId63" Type="http://schemas.openxmlformats.org/officeDocument/2006/relationships/hyperlink" Target="http://www.nevo.co.il/case/2377854" TargetMode="External"/><Relationship Id="rId66" Type="http://schemas.openxmlformats.org/officeDocument/2006/relationships/hyperlink" Target="http://www.nevo.co.il/case/2377854" TargetMode="External"/><Relationship Id="rId65" Type="http://schemas.openxmlformats.org/officeDocument/2006/relationships/hyperlink" Target="http://www.nevo.co.il/case/2377854" TargetMode="External"/><Relationship Id="rId68" Type="http://schemas.openxmlformats.org/officeDocument/2006/relationships/hyperlink" Target="http://www.nevo.co.il/case/2377854" TargetMode="External"/><Relationship Id="rId67" Type="http://schemas.openxmlformats.org/officeDocument/2006/relationships/hyperlink" Target="http://www.nevo.co.il/case/2377854" TargetMode="External"/><Relationship Id="rId60" Type="http://schemas.openxmlformats.org/officeDocument/2006/relationships/hyperlink" Target="http://www.nevo.co.il/case/21837082" TargetMode="External"/><Relationship Id="rId69" Type="http://schemas.openxmlformats.org/officeDocument/2006/relationships/hyperlink" Target="http://www.nevo.co.il/case/2377854" TargetMode="External"/><Relationship Id="rId51" Type="http://schemas.openxmlformats.org/officeDocument/2006/relationships/hyperlink" Target="http://www.nevo.co.il/case/5587202" TargetMode="External"/><Relationship Id="rId50" Type="http://schemas.openxmlformats.org/officeDocument/2006/relationships/hyperlink" Target="http://www.nevo.co.il/case/10485615" TargetMode="External"/><Relationship Id="rId53" Type="http://schemas.openxmlformats.org/officeDocument/2006/relationships/hyperlink" Target="http://www.nevo.co.il/case/5587202" TargetMode="External"/><Relationship Id="rId52" Type="http://schemas.openxmlformats.org/officeDocument/2006/relationships/hyperlink" Target="http://www.nevo.co.il/case/5587202" TargetMode="External"/><Relationship Id="rId55" Type="http://schemas.openxmlformats.org/officeDocument/2006/relationships/hyperlink" Target="http://www.nevo.co.il/case/21837082" TargetMode="External"/><Relationship Id="rId54" Type="http://schemas.openxmlformats.org/officeDocument/2006/relationships/hyperlink" Target="http://www.nevo.co.il/case/5587202" TargetMode="External"/><Relationship Id="rId57" Type="http://schemas.openxmlformats.org/officeDocument/2006/relationships/hyperlink" Target="http://www.nevo.co.il/case/21837082" TargetMode="External"/><Relationship Id="rId56" Type="http://schemas.openxmlformats.org/officeDocument/2006/relationships/hyperlink" Target="http://www.nevo.co.il/case/21837082" TargetMode="External"/><Relationship Id="rId59" Type="http://schemas.openxmlformats.org/officeDocument/2006/relationships/hyperlink" Target="http://www.nevo.co.il/case/21837082" TargetMode="External"/><Relationship Id="rId58" Type="http://schemas.openxmlformats.org/officeDocument/2006/relationships/hyperlink" Target="http://www.nevo.co.il/case/21837082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qEK/XuBAvNFqIZJGnQKYOerflQ==">CgMxLjAyCWlkLmdqZGd4czIKaWQuMzBqMHpsbDIKaWQuMWZvYjl0ZTIKaWQuM3pueXNoNzIKaWQuMmV0OTJwMDIJaWQudHlqY3d0MgppZC4zZHk2dmttMgppZC4xdDNoNXNmOAByITFrMmdWLVNGOUptOWpwNU1WdFBta004UHA5N2ctT1o5Sw==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EWPROC">
    <vt:lpwstr>תפ</vt:lpwstr>
  </property>
  <property fmtid="{D5CDD505-2E9C-101B-9397-08002B2CF9AE}" pid="3" name="APPELLANT">
    <vt:lpwstr>מדינת ישראל</vt:lpwstr>
  </property>
  <property fmtid="{D5CDD505-2E9C-101B-9397-08002B2CF9AE}" pid="4" name="NEWPARTB">
    <vt:lpwstr>05</vt:lpwstr>
  </property>
  <property fmtid="{D5CDD505-2E9C-101B-9397-08002B2CF9AE}" pid="5" name="NEWPARTA">
    <vt:lpwstr>57618</vt:lpwstr>
  </property>
  <property fmtid="{D5CDD505-2E9C-101B-9397-08002B2CF9AE}" pid="6" name="CASESLISTTMP1">
    <vt:lpwstr>11309013;6731208;5604013;10485615:2;5587202;21837082;2377854;16968592;18134824;6861242;20685827;5882592</vt:lpwstr>
  </property>
  <property fmtid="{D5CDD505-2E9C-101B-9397-08002B2CF9AE}" pid="7" name="LAWLISTTMP1">
    <vt:lpwstr>70301/448;144.b;040b;040c</vt:lpwstr>
  </property>
  <property fmtid="{D5CDD505-2E9C-101B-9397-08002B2CF9AE}" pid="8" name="JUDGE">
    <vt:lpwstr>רבקה פרידמן פלדמן</vt:lpwstr>
  </property>
  <property fmtid="{D5CDD505-2E9C-101B-9397-08002B2CF9AE}" pid="9" name="TYPE_ABS_DATE">
    <vt:lpwstr>390020180201</vt:lpwstr>
  </property>
  <property fmtid="{D5CDD505-2E9C-101B-9397-08002B2CF9AE}" pid="10" name="TYPE_N_DATE">
    <vt:lpwstr>39020180201</vt:lpwstr>
  </property>
  <property fmtid="{D5CDD505-2E9C-101B-9397-08002B2CF9AE}" pid="11" name="DATE">
    <vt:lpwstr>20180201</vt:lpwstr>
  </property>
  <property fmtid="{D5CDD505-2E9C-101B-9397-08002B2CF9AE}" pid="12" name="CITY">
    <vt:lpwstr>י-ם</vt:lpwstr>
  </property>
  <property fmtid="{D5CDD505-2E9C-101B-9397-08002B2CF9AE}" pid="13" name="NEWPARTC">
    <vt:lpwstr>17</vt:lpwstr>
  </property>
  <property fmtid="{D5CDD505-2E9C-101B-9397-08002B2CF9AE}" pid="14" name="APPELLEE">
    <vt:lpwstr>פירס בדואן</vt:lpwstr>
  </property>
  <property fmtid="{D5CDD505-2E9C-101B-9397-08002B2CF9AE}" pid="15" name="WORDNUMPAGES">
    <vt:lpwstr>8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ISABSTRACT">
    <vt:lpwstr>Y</vt:lpwstr>
  </property>
</Properties>
</file>