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57"/>
        <w:gridCol w:w="3664"/>
      </w:tblGrid>
      <w:tr w:rsidR="00D0309E" w:rsidRPr="00F81156" w14:paraId="75871463" w14:textId="77777777" w:rsidTr="003A1F14">
        <w:trPr>
          <w:trHeight w:hRule="exact" w:val="418"/>
          <w:jc w:val="center"/>
        </w:trPr>
        <w:tc>
          <w:tcPr>
            <w:tcW w:w="8721" w:type="dxa"/>
            <w:gridSpan w:val="2"/>
          </w:tcPr>
          <w:p w14:paraId="2AB4CF72" w14:textId="77777777" w:rsidR="00D0309E" w:rsidRPr="00F81156" w:rsidRDefault="00D0309E" w:rsidP="00B75423">
            <w:pPr>
              <w:pStyle w:val="a3"/>
              <w:jc w:val="center"/>
              <w:rPr>
                <w:rFonts w:ascii="Tahoma" w:hAnsi="Tahoma" w:cs="Tahoma"/>
                <w:color w:val="000080"/>
                <w:rtl/>
              </w:rPr>
            </w:pPr>
            <w:bookmarkStart w:id="0" w:name="LastJudge"/>
            <w:r w:rsidRPr="00F81156">
              <w:rPr>
                <w:rFonts w:ascii="Tahoma" w:hAnsi="Tahoma" w:cs="Tahoma"/>
                <w:b/>
                <w:bCs/>
                <w:color w:val="000080"/>
                <w:rtl/>
              </w:rPr>
              <w:t>בית המשפט המחוזי בחיפה</w:t>
            </w:r>
          </w:p>
        </w:tc>
      </w:tr>
      <w:tr w:rsidR="00D0309E" w:rsidRPr="00F81156" w14:paraId="171A3365" w14:textId="77777777" w:rsidTr="003A1F14">
        <w:trPr>
          <w:trHeight w:val="337"/>
          <w:jc w:val="center"/>
        </w:trPr>
        <w:tc>
          <w:tcPr>
            <w:tcW w:w="5057" w:type="dxa"/>
          </w:tcPr>
          <w:p w14:paraId="5A262136" w14:textId="77777777" w:rsidR="00D0309E" w:rsidRPr="00F81156" w:rsidRDefault="00D0309E" w:rsidP="00B75423">
            <w:pPr>
              <w:rPr>
                <w:rFonts w:cs="FrankRuehl"/>
                <w:sz w:val="28"/>
                <w:szCs w:val="28"/>
                <w:rtl/>
              </w:rPr>
            </w:pPr>
            <w:r w:rsidRPr="00F81156">
              <w:rPr>
                <w:rFonts w:cs="FrankRuehl"/>
                <w:sz w:val="28"/>
                <w:szCs w:val="28"/>
                <w:rtl/>
              </w:rPr>
              <w:t>ת"פ</w:t>
            </w:r>
            <w:r w:rsidRPr="00F81156">
              <w:rPr>
                <w:rFonts w:cs="FrankRuehl" w:hint="cs"/>
                <w:sz w:val="28"/>
                <w:szCs w:val="28"/>
                <w:rtl/>
              </w:rPr>
              <w:t xml:space="preserve"> </w:t>
            </w:r>
            <w:r w:rsidRPr="00F81156">
              <w:rPr>
                <w:rFonts w:cs="FrankRuehl"/>
                <w:sz w:val="28"/>
                <w:szCs w:val="28"/>
                <w:rtl/>
              </w:rPr>
              <w:t>630-02-18</w:t>
            </w:r>
            <w:r w:rsidRPr="00F81156">
              <w:rPr>
                <w:rFonts w:cs="FrankRuehl" w:hint="cs"/>
                <w:sz w:val="28"/>
                <w:szCs w:val="28"/>
                <w:rtl/>
              </w:rPr>
              <w:t xml:space="preserve"> </w:t>
            </w:r>
            <w:r w:rsidRPr="00F81156">
              <w:rPr>
                <w:rFonts w:cs="FrankRuehl"/>
                <w:sz w:val="28"/>
                <w:szCs w:val="28"/>
                <w:rtl/>
              </w:rPr>
              <w:t>מדינת ישראל נ' סעיד(עצור בפיקוח)</w:t>
            </w:r>
          </w:p>
          <w:p w14:paraId="03D4E937" w14:textId="77777777" w:rsidR="00D0309E" w:rsidRPr="00F81156" w:rsidRDefault="00D0309E" w:rsidP="00B75423">
            <w:pPr>
              <w:pStyle w:val="a3"/>
              <w:rPr>
                <w:rFonts w:cs="FrankRuehl"/>
                <w:sz w:val="28"/>
                <w:szCs w:val="28"/>
                <w:rtl/>
              </w:rPr>
            </w:pPr>
          </w:p>
        </w:tc>
        <w:tc>
          <w:tcPr>
            <w:tcW w:w="3664" w:type="dxa"/>
          </w:tcPr>
          <w:p w14:paraId="1A03993B" w14:textId="77777777" w:rsidR="00D0309E" w:rsidRPr="00F81156" w:rsidRDefault="00D0309E" w:rsidP="00B75423">
            <w:pPr>
              <w:pStyle w:val="a3"/>
              <w:jc w:val="right"/>
              <w:rPr>
                <w:rFonts w:cs="FrankRuehl"/>
                <w:sz w:val="28"/>
                <w:szCs w:val="28"/>
                <w:rtl/>
              </w:rPr>
            </w:pPr>
          </w:p>
        </w:tc>
      </w:tr>
    </w:tbl>
    <w:p w14:paraId="63325DB1" w14:textId="77777777" w:rsidR="00D0309E" w:rsidRPr="00F81156" w:rsidRDefault="00D0309E" w:rsidP="00D0309E">
      <w:pPr>
        <w:pStyle w:val="a3"/>
        <w:rPr>
          <w:rtl/>
        </w:rPr>
      </w:pPr>
      <w:r w:rsidRPr="00F81156">
        <w:rPr>
          <w:rFonts w:hint="cs"/>
          <w:rtl/>
        </w:rPr>
        <w:t xml:space="preserve"> </w:t>
      </w:r>
    </w:p>
    <w:p w14:paraId="1E412B64" w14:textId="77777777" w:rsidR="00D0309E" w:rsidRPr="00F81156" w:rsidRDefault="00D0309E" w:rsidP="00D0309E">
      <w:pPr>
        <w:jc w:val="both"/>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4"/>
        <w:gridCol w:w="3761"/>
      </w:tblGrid>
      <w:tr w:rsidR="00D0309E" w:rsidRPr="00F81156" w14:paraId="50595286" w14:textId="77777777" w:rsidTr="00D0309E">
        <w:trPr>
          <w:trHeight w:val="295"/>
          <w:jc w:val="center"/>
        </w:trPr>
        <w:tc>
          <w:tcPr>
            <w:tcW w:w="945" w:type="dxa"/>
            <w:tcBorders>
              <w:top w:val="nil"/>
              <w:left w:val="nil"/>
              <w:bottom w:val="nil"/>
              <w:right w:val="nil"/>
            </w:tcBorders>
            <w:shd w:val="clear" w:color="auto" w:fill="auto"/>
          </w:tcPr>
          <w:p w14:paraId="452A57DF" w14:textId="77777777" w:rsidR="00D0309E" w:rsidRPr="00F81156" w:rsidRDefault="00D0309E" w:rsidP="00D0309E">
            <w:pPr>
              <w:jc w:val="both"/>
              <w:rPr>
                <w:rFonts w:ascii="Arial" w:hAnsi="Arial"/>
                <w:b/>
                <w:bCs/>
                <w:sz w:val="28"/>
                <w:szCs w:val="28"/>
              </w:rPr>
            </w:pPr>
            <w:r w:rsidRPr="00F81156">
              <w:rPr>
                <w:rFonts w:ascii="Arial" w:hAnsi="Arial" w:hint="cs"/>
                <w:b/>
                <w:bCs/>
                <w:sz w:val="28"/>
                <w:szCs w:val="28"/>
                <w:rtl/>
              </w:rPr>
              <w:t>ב</w:t>
            </w:r>
            <w:r w:rsidRPr="00F81156">
              <w:rPr>
                <w:rFonts w:ascii="Arial" w:hAnsi="Arial"/>
                <w:b/>
                <w:bCs/>
                <w:sz w:val="28"/>
                <w:szCs w:val="28"/>
                <w:rtl/>
              </w:rPr>
              <w:t xml:space="preserve">פני </w:t>
            </w:r>
          </w:p>
        </w:tc>
        <w:tc>
          <w:tcPr>
            <w:tcW w:w="7875" w:type="dxa"/>
            <w:gridSpan w:val="2"/>
            <w:tcBorders>
              <w:top w:val="nil"/>
              <w:left w:val="nil"/>
              <w:bottom w:val="nil"/>
              <w:right w:val="nil"/>
            </w:tcBorders>
            <w:shd w:val="clear" w:color="auto" w:fill="auto"/>
          </w:tcPr>
          <w:p w14:paraId="0479D6DD" w14:textId="77777777" w:rsidR="00D0309E" w:rsidRPr="00F81156" w:rsidRDefault="00D0309E" w:rsidP="00D0309E">
            <w:pPr>
              <w:jc w:val="both"/>
              <w:rPr>
                <w:rFonts w:ascii="Arial" w:hAnsi="Arial"/>
                <w:b/>
                <w:bCs/>
                <w:sz w:val="28"/>
                <w:szCs w:val="28"/>
                <w:rtl/>
              </w:rPr>
            </w:pPr>
            <w:r w:rsidRPr="00F81156">
              <w:rPr>
                <w:rFonts w:ascii="Arial" w:hAnsi="Arial" w:hint="cs"/>
                <w:b/>
                <w:bCs/>
                <w:sz w:val="28"/>
                <w:szCs w:val="28"/>
                <w:rtl/>
              </w:rPr>
              <w:t>כבוד ה</w:t>
            </w:r>
            <w:r w:rsidRPr="00F81156">
              <w:rPr>
                <w:rFonts w:ascii="Arial" w:hAnsi="Arial"/>
                <w:b/>
                <w:bCs/>
                <w:sz w:val="28"/>
                <w:szCs w:val="28"/>
                <w:rtl/>
              </w:rPr>
              <w:t>שופטת</w:t>
            </w:r>
            <w:r w:rsidRPr="00F81156">
              <w:rPr>
                <w:rFonts w:ascii="Arial" w:hAnsi="Arial" w:hint="cs"/>
                <w:b/>
                <w:bCs/>
                <w:sz w:val="28"/>
                <w:szCs w:val="28"/>
                <w:rtl/>
              </w:rPr>
              <w:t xml:space="preserve">  </w:t>
            </w:r>
            <w:r w:rsidRPr="00F81156">
              <w:rPr>
                <w:rFonts w:ascii="Arial" w:hAnsi="Arial"/>
                <w:b/>
                <w:bCs/>
                <w:sz w:val="28"/>
                <w:szCs w:val="28"/>
                <w:rtl/>
              </w:rPr>
              <w:t>רונית בש</w:t>
            </w:r>
          </w:p>
          <w:p w14:paraId="51348F63" w14:textId="77777777" w:rsidR="00D0309E" w:rsidRPr="00F81156" w:rsidRDefault="00D0309E" w:rsidP="00D0309E">
            <w:pPr>
              <w:jc w:val="both"/>
              <w:rPr>
                <w:b/>
                <w:bCs/>
                <w:sz w:val="28"/>
                <w:szCs w:val="28"/>
                <w:rtl/>
              </w:rPr>
            </w:pPr>
          </w:p>
          <w:p w14:paraId="686D9E28" w14:textId="77777777" w:rsidR="00D0309E" w:rsidRPr="00F81156" w:rsidRDefault="00D0309E" w:rsidP="00D0309E">
            <w:pPr>
              <w:jc w:val="both"/>
              <w:rPr>
                <w:rFonts w:ascii="Arial" w:hAnsi="Arial"/>
                <w:b/>
                <w:bCs/>
                <w:sz w:val="28"/>
                <w:szCs w:val="28"/>
              </w:rPr>
            </w:pPr>
          </w:p>
        </w:tc>
      </w:tr>
      <w:tr w:rsidR="00D0309E" w:rsidRPr="00F81156" w14:paraId="7BAAC183" w14:textId="77777777" w:rsidTr="00D0309E">
        <w:trPr>
          <w:trHeight w:val="355"/>
          <w:jc w:val="center"/>
        </w:trPr>
        <w:tc>
          <w:tcPr>
            <w:tcW w:w="945" w:type="dxa"/>
            <w:tcBorders>
              <w:top w:val="nil"/>
              <w:left w:val="nil"/>
              <w:bottom w:val="nil"/>
              <w:right w:val="nil"/>
            </w:tcBorders>
            <w:shd w:val="clear" w:color="auto" w:fill="auto"/>
          </w:tcPr>
          <w:p w14:paraId="0DBFD166" w14:textId="77777777" w:rsidR="00D0309E" w:rsidRPr="00F81156" w:rsidRDefault="00D0309E" w:rsidP="00D0309E">
            <w:pPr>
              <w:jc w:val="both"/>
              <w:rPr>
                <w:rFonts w:ascii="Arial" w:hAnsi="Arial"/>
                <w:b/>
                <w:bCs/>
                <w:sz w:val="28"/>
                <w:szCs w:val="28"/>
              </w:rPr>
            </w:pPr>
            <w:bookmarkStart w:id="1" w:name="FirstAppellant"/>
            <w:r w:rsidRPr="00F81156">
              <w:rPr>
                <w:rFonts w:ascii="Arial" w:hAnsi="Arial" w:hint="cs"/>
                <w:b/>
                <w:bCs/>
                <w:sz w:val="28"/>
                <w:szCs w:val="28"/>
                <w:rtl/>
              </w:rPr>
              <w:t>בעניין:</w:t>
            </w:r>
          </w:p>
        </w:tc>
        <w:tc>
          <w:tcPr>
            <w:tcW w:w="4114" w:type="dxa"/>
            <w:tcBorders>
              <w:top w:val="nil"/>
              <w:left w:val="nil"/>
              <w:bottom w:val="nil"/>
              <w:right w:val="nil"/>
            </w:tcBorders>
            <w:shd w:val="clear" w:color="auto" w:fill="auto"/>
          </w:tcPr>
          <w:p w14:paraId="12D0ED0E" w14:textId="77777777" w:rsidR="00D0309E" w:rsidRPr="00F81156" w:rsidRDefault="00D0309E" w:rsidP="00D0309E">
            <w:pPr>
              <w:jc w:val="both"/>
              <w:rPr>
                <w:b/>
                <w:bCs/>
              </w:rPr>
            </w:pPr>
            <w:r w:rsidRPr="00F81156">
              <w:rPr>
                <w:rFonts w:ascii="Arial" w:hAnsi="Arial"/>
                <w:b/>
                <w:bCs/>
                <w:sz w:val="28"/>
                <w:szCs w:val="28"/>
                <w:rtl/>
              </w:rPr>
              <w:t>מדינת ישראל</w:t>
            </w:r>
          </w:p>
        </w:tc>
        <w:tc>
          <w:tcPr>
            <w:tcW w:w="3761" w:type="dxa"/>
            <w:tcBorders>
              <w:top w:val="nil"/>
              <w:left w:val="nil"/>
              <w:bottom w:val="nil"/>
              <w:right w:val="nil"/>
            </w:tcBorders>
            <w:shd w:val="clear" w:color="auto" w:fill="auto"/>
          </w:tcPr>
          <w:p w14:paraId="7422F1FF" w14:textId="77777777" w:rsidR="00D0309E" w:rsidRPr="00F81156" w:rsidRDefault="00D0309E" w:rsidP="00D0309E">
            <w:pPr>
              <w:jc w:val="both"/>
              <w:rPr>
                <w:rFonts w:ascii="Arial" w:hAnsi="Arial"/>
                <w:b/>
                <w:bCs/>
                <w:sz w:val="28"/>
                <w:szCs w:val="28"/>
              </w:rPr>
            </w:pPr>
            <w:r w:rsidRPr="00F81156">
              <w:rPr>
                <w:rFonts w:ascii="Arial" w:hAnsi="Arial" w:hint="cs"/>
                <w:b/>
                <w:bCs/>
                <w:sz w:val="28"/>
                <w:szCs w:val="28"/>
                <w:rtl/>
              </w:rPr>
              <w:t>המאשימה</w:t>
            </w:r>
          </w:p>
        </w:tc>
      </w:tr>
      <w:bookmarkEnd w:id="1"/>
      <w:tr w:rsidR="00D0309E" w:rsidRPr="00F81156" w14:paraId="34571CE5" w14:textId="77777777" w:rsidTr="00D0309E">
        <w:trPr>
          <w:trHeight w:val="355"/>
          <w:jc w:val="center"/>
        </w:trPr>
        <w:tc>
          <w:tcPr>
            <w:tcW w:w="945" w:type="dxa"/>
            <w:tcBorders>
              <w:top w:val="nil"/>
              <w:left w:val="nil"/>
              <w:bottom w:val="nil"/>
              <w:right w:val="nil"/>
            </w:tcBorders>
            <w:shd w:val="clear" w:color="auto" w:fill="auto"/>
          </w:tcPr>
          <w:p w14:paraId="60CEC4C9" w14:textId="77777777" w:rsidR="00D0309E" w:rsidRPr="00F81156" w:rsidRDefault="00D0309E" w:rsidP="00D0309E">
            <w:pPr>
              <w:jc w:val="both"/>
              <w:rPr>
                <w:rFonts w:ascii="Arial" w:hAnsi="Arial"/>
                <w:b/>
                <w:bCs/>
                <w:sz w:val="28"/>
                <w:szCs w:val="28"/>
                <w:rtl/>
              </w:rPr>
            </w:pPr>
          </w:p>
        </w:tc>
        <w:tc>
          <w:tcPr>
            <w:tcW w:w="7875" w:type="dxa"/>
            <w:gridSpan w:val="2"/>
            <w:tcBorders>
              <w:top w:val="nil"/>
              <w:left w:val="nil"/>
              <w:bottom w:val="nil"/>
              <w:right w:val="nil"/>
            </w:tcBorders>
            <w:shd w:val="clear" w:color="auto" w:fill="auto"/>
          </w:tcPr>
          <w:p w14:paraId="77603925" w14:textId="77777777" w:rsidR="00D0309E" w:rsidRPr="00F81156" w:rsidRDefault="00D0309E" w:rsidP="00D0309E">
            <w:pPr>
              <w:jc w:val="both"/>
              <w:rPr>
                <w:rFonts w:ascii="Arial" w:hAnsi="Arial"/>
                <w:b/>
                <w:bCs/>
                <w:sz w:val="28"/>
                <w:szCs w:val="28"/>
                <w:rtl/>
              </w:rPr>
            </w:pPr>
          </w:p>
          <w:p w14:paraId="417D3062" w14:textId="77777777" w:rsidR="00D0309E" w:rsidRPr="00F81156" w:rsidRDefault="00D0309E" w:rsidP="00D0309E">
            <w:pPr>
              <w:jc w:val="both"/>
              <w:rPr>
                <w:rFonts w:ascii="Arial" w:hAnsi="Arial"/>
                <w:b/>
                <w:bCs/>
                <w:sz w:val="28"/>
                <w:szCs w:val="28"/>
                <w:rtl/>
              </w:rPr>
            </w:pPr>
            <w:r w:rsidRPr="00F81156">
              <w:rPr>
                <w:rFonts w:ascii="Arial" w:hAnsi="Arial"/>
                <w:b/>
                <w:bCs/>
                <w:sz w:val="28"/>
                <w:szCs w:val="28"/>
                <w:rtl/>
              </w:rPr>
              <w:t>נגד</w:t>
            </w:r>
          </w:p>
          <w:p w14:paraId="7AB607D3" w14:textId="77777777" w:rsidR="00D0309E" w:rsidRPr="00F81156" w:rsidRDefault="00D0309E" w:rsidP="00D0309E">
            <w:pPr>
              <w:jc w:val="both"/>
              <w:rPr>
                <w:rFonts w:ascii="Arial" w:hAnsi="Arial"/>
                <w:b/>
                <w:bCs/>
                <w:sz w:val="28"/>
                <w:szCs w:val="28"/>
              </w:rPr>
            </w:pPr>
          </w:p>
        </w:tc>
      </w:tr>
      <w:tr w:rsidR="00D0309E" w:rsidRPr="00F81156" w14:paraId="2A1BAD10" w14:textId="77777777" w:rsidTr="00D0309E">
        <w:trPr>
          <w:trHeight w:val="355"/>
          <w:jc w:val="center"/>
        </w:trPr>
        <w:tc>
          <w:tcPr>
            <w:tcW w:w="945" w:type="dxa"/>
            <w:tcBorders>
              <w:top w:val="nil"/>
              <w:left w:val="nil"/>
              <w:bottom w:val="nil"/>
              <w:right w:val="nil"/>
            </w:tcBorders>
            <w:shd w:val="clear" w:color="auto" w:fill="auto"/>
          </w:tcPr>
          <w:p w14:paraId="0CFC3EC2" w14:textId="77777777" w:rsidR="00D0309E" w:rsidRPr="00F81156" w:rsidRDefault="00D0309E" w:rsidP="00D0309E">
            <w:pPr>
              <w:jc w:val="both"/>
              <w:rPr>
                <w:rFonts w:ascii="Arial" w:hAnsi="Arial"/>
                <w:b/>
                <w:bCs/>
                <w:sz w:val="28"/>
                <w:szCs w:val="28"/>
                <w:rtl/>
              </w:rPr>
            </w:pPr>
          </w:p>
        </w:tc>
        <w:tc>
          <w:tcPr>
            <w:tcW w:w="4114" w:type="dxa"/>
            <w:tcBorders>
              <w:top w:val="nil"/>
              <w:left w:val="nil"/>
              <w:bottom w:val="nil"/>
              <w:right w:val="nil"/>
            </w:tcBorders>
            <w:shd w:val="clear" w:color="auto" w:fill="auto"/>
          </w:tcPr>
          <w:p w14:paraId="4400497B" w14:textId="77777777" w:rsidR="00D0309E" w:rsidRPr="00F81156" w:rsidRDefault="00D0309E" w:rsidP="00D0309E">
            <w:pPr>
              <w:jc w:val="both"/>
              <w:rPr>
                <w:b/>
                <w:bCs/>
                <w:rtl/>
              </w:rPr>
            </w:pPr>
            <w:r w:rsidRPr="00F81156">
              <w:rPr>
                <w:rFonts w:ascii="Arial" w:hAnsi="Arial"/>
                <w:b/>
                <w:bCs/>
                <w:sz w:val="28"/>
                <w:szCs w:val="28"/>
                <w:rtl/>
              </w:rPr>
              <w:t xml:space="preserve">סעיד סעיד </w:t>
            </w:r>
          </w:p>
        </w:tc>
        <w:tc>
          <w:tcPr>
            <w:tcW w:w="3761" w:type="dxa"/>
            <w:tcBorders>
              <w:top w:val="nil"/>
              <w:left w:val="nil"/>
              <w:bottom w:val="nil"/>
              <w:right w:val="nil"/>
            </w:tcBorders>
            <w:shd w:val="clear" w:color="auto" w:fill="auto"/>
          </w:tcPr>
          <w:p w14:paraId="5A0FC594" w14:textId="77777777" w:rsidR="00D0309E" w:rsidRPr="00F81156" w:rsidRDefault="00D0309E" w:rsidP="00D0309E">
            <w:pPr>
              <w:jc w:val="both"/>
              <w:rPr>
                <w:rFonts w:ascii="Arial" w:hAnsi="Arial"/>
                <w:b/>
                <w:bCs/>
                <w:sz w:val="28"/>
                <w:szCs w:val="28"/>
              </w:rPr>
            </w:pPr>
            <w:r w:rsidRPr="00F81156">
              <w:rPr>
                <w:rFonts w:ascii="Arial" w:hAnsi="Arial" w:hint="cs"/>
                <w:b/>
                <w:bCs/>
                <w:sz w:val="28"/>
                <w:szCs w:val="28"/>
                <w:rtl/>
              </w:rPr>
              <w:t>הנאשם</w:t>
            </w:r>
          </w:p>
        </w:tc>
      </w:tr>
    </w:tbl>
    <w:p w14:paraId="02CB00AE" w14:textId="77777777" w:rsidR="00321D19" w:rsidRDefault="00321D19" w:rsidP="00D0309E">
      <w:pPr>
        <w:jc w:val="both"/>
        <w:rPr>
          <w:rtl/>
        </w:rPr>
      </w:pPr>
      <w:bookmarkStart w:id="2" w:name="LawTable"/>
      <w:bookmarkEnd w:id="2"/>
    </w:p>
    <w:p w14:paraId="40E5B9B9" w14:textId="77777777" w:rsidR="00321D19" w:rsidRPr="00321D19" w:rsidRDefault="00321D19" w:rsidP="00321D19">
      <w:pPr>
        <w:spacing w:after="120" w:line="240" w:lineRule="exact"/>
        <w:ind w:left="283" w:hanging="283"/>
        <w:jc w:val="both"/>
        <w:rPr>
          <w:rFonts w:ascii="FrankRuehl" w:hAnsi="FrankRuehl" w:cs="FrankRuehl"/>
          <w:rtl/>
        </w:rPr>
      </w:pPr>
    </w:p>
    <w:p w14:paraId="4812D5FC" w14:textId="77777777" w:rsidR="00321D19" w:rsidRPr="00321D19" w:rsidRDefault="00321D19" w:rsidP="00321D19">
      <w:pPr>
        <w:spacing w:after="120" w:line="240" w:lineRule="exact"/>
        <w:ind w:left="283" w:hanging="283"/>
        <w:jc w:val="both"/>
        <w:rPr>
          <w:rFonts w:ascii="FrankRuehl" w:hAnsi="FrankRuehl" w:cs="FrankRuehl"/>
          <w:rtl/>
        </w:rPr>
      </w:pPr>
      <w:r w:rsidRPr="00321D19">
        <w:rPr>
          <w:rFonts w:ascii="FrankRuehl" w:hAnsi="FrankRuehl" w:cs="FrankRuehl"/>
          <w:rtl/>
        </w:rPr>
        <w:t xml:space="preserve">חקיקה שאוזכרה: </w:t>
      </w:r>
    </w:p>
    <w:p w14:paraId="15A804FC" w14:textId="77777777" w:rsidR="00321D19" w:rsidRPr="00321D19" w:rsidRDefault="00321D19" w:rsidP="00321D19">
      <w:pPr>
        <w:spacing w:after="120" w:line="240" w:lineRule="exact"/>
        <w:ind w:left="283" w:hanging="283"/>
        <w:jc w:val="both"/>
        <w:rPr>
          <w:rFonts w:ascii="FrankRuehl" w:hAnsi="FrankRuehl" w:cs="FrankRuehl"/>
          <w:rtl/>
        </w:rPr>
      </w:pPr>
      <w:hyperlink r:id="rId7" w:history="1">
        <w:r w:rsidRPr="00321D19">
          <w:rPr>
            <w:rFonts w:ascii="FrankRuehl" w:hAnsi="FrankRuehl" w:cs="FrankRuehl"/>
            <w:color w:val="0000FF"/>
            <w:u w:val="single"/>
            <w:rtl/>
          </w:rPr>
          <w:t>חוק העונשין, תשל"ז-1977</w:t>
        </w:r>
      </w:hyperlink>
      <w:r w:rsidRPr="00321D19">
        <w:rPr>
          <w:rFonts w:ascii="FrankRuehl" w:hAnsi="FrankRuehl" w:cs="FrankRuehl"/>
          <w:rtl/>
        </w:rPr>
        <w:t xml:space="preserve">: סע'  </w:t>
      </w:r>
      <w:hyperlink r:id="rId8" w:history="1">
        <w:r w:rsidRPr="00321D19">
          <w:rPr>
            <w:rFonts w:ascii="FrankRuehl" w:hAnsi="FrankRuehl" w:cs="FrankRuehl"/>
            <w:color w:val="0000FF"/>
            <w:u w:val="single"/>
            <w:rtl/>
          </w:rPr>
          <w:t>40ב</w:t>
        </w:r>
      </w:hyperlink>
      <w:r w:rsidRPr="00321D19">
        <w:rPr>
          <w:rFonts w:ascii="FrankRuehl" w:hAnsi="FrankRuehl" w:cs="FrankRuehl"/>
          <w:rtl/>
        </w:rPr>
        <w:t xml:space="preserve">, </w:t>
      </w:r>
      <w:hyperlink r:id="rId9" w:history="1">
        <w:r w:rsidRPr="00321D19">
          <w:rPr>
            <w:rFonts w:ascii="FrankRuehl" w:hAnsi="FrankRuehl" w:cs="FrankRuehl"/>
            <w:color w:val="0000FF"/>
            <w:u w:val="single"/>
            <w:rtl/>
          </w:rPr>
          <w:t>40ג</w:t>
        </w:r>
      </w:hyperlink>
      <w:r w:rsidRPr="00321D19">
        <w:rPr>
          <w:rFonts w:ascii="FrankRuehl" w:hAnsi="FrankRuehl" w:cs="FrankRuehl"/>
          <w:rtl/>
        </w:rPr>
        <w:t xml:space="preserve">, </w:t>
      </w:r>
      <w:hyperlink r:id="rId10" w:history="1">
        <w:r w:rsidRPr="00321D19">
          <w:rPr>
            <w:rFonts w:ascii="FrankRuehl" w:hAnsi="FrankRuehl" w:cs="FrankRuehl"/>
            <w:color w:val="0000FF"/>
            <w:u w:val="single"/>
            <w:rtl/>
          </w:rPr>
          <w:t>40ט</w:t>
        </w:r>
      </w:hyperlink>
      <w:r w:rsidRPr="00321D19">
        <w:rPr>
          <w:rFonts w:ascii="FrankRuehl" w:hAnsi="FrankRuehl" w:cs="FrankRuehl"/>
          <w:rtl/>
        </w:rPr>
        <w:t xml:space="preserve">, </w:t>
      </w:r>
      <w:hyperlink r:id="rId11" w:history="1">
        <w:r w:rsidRPr="00321D19">
          <w:rPr>
            <w:rFonts w:ascii="FrankRuehl" w:hAnsi="FrankRuehl" w:cs="FrankRuehl"/>
            <w:color w:val="0000FF"/>
            <w:u w:val="single"/>
            <w:rtl/>
          </w:rPr>
          <w:t>144</w:t>
        </w:r>
      </w:hyperlink>
      <w:r w:rsidRPr="00321D19">
        <w:rPr>
          <w:rFonts w:ascii="FrankRuehl" w:hAnsi="FrankRuehl" w:cs="FrankRuehl"/>
          <w:rtl/>
        </w:rPr>
        <w:t xml:space="preserve">, </w:t>
      </w:r>
      <w:hyperlink r:id="rId12" w:history="1">
        <w:r w:rsidRPr="00321D19">
          <w:rPr>
            <w:rFonts w:ascii="FrankRuehl" w:hAnsi="FrankRuehl" w:cs="FrankRuehl"/>
            <w:color w:val="0000FF"/>
            <w:u w:val="single"/>
            <w:rtl/>
          </w:rPr>
          <w:t>144(ב)</w:t>
        </w:r>
      </w:hyperlink>
    </w:p>
    <w:p w14:paraId="69D3E241" w14:textId="77777777" w:rsidR="00321D19" w:rsidRPr="00321D19" w:rsidRDefault="00321D19" w:rsidP="00321D19">
      <w:pPr>
        <w:spacing w:after="120" w:line="240" w:lineRule="exact"/>
        <w:ind w:left="283" w:hanging="283"/>
        <w:jc w:val="both"/>
        <w:rPr>
          <w:rFonts w:ascii="FrankRuehl" w:hAnsi="FrankRuehl" w:cs="FrankRuehl"/>
          <w:rtl/>
        </w:rPr>
      </w:pPr>
    </w:p>
    <w:p w14:paraId="009BC5FD" w14:textId="77777777" w:rsidR="00321D19" w:rsidRPr="00321D19" w:rsidRDefault="00321D19" w:rsidP="00D0309E">
      <w:pPr>
        <w:jc w:val="both"/>
        <w:rPr>
          <w:rtl/>
        </w:rPr>
      </w:pPr>
      <w:bookmarkStart w:id="3" w:name="LawTable_End"/>
      <w:bookmarkEnd w:id="3"/>
    </w:p>
    <w:p w14:paraId="73071D60" w14:textId="77777777" w:rsidR="00321D19" w:rsidRPr="00321D19" w:rsidRDefault="00321D19" w:rsidP="00D0309E">
      <w:pPr>
        <w:jc w:val="both"/>
        <w:rPr>
          <w:rtl/>
        </w:rPr>
      </w:pPr>
    </w:p>
    <w:p w14:paraId="72FEDAFE" w14:textId="77777777" w:rsidR="003A1F14" w:rsidRDefault="003A1F14" w:rsidP="00D0309E">
      <w:pPr>
        <w:jc w:val="both"/>
        <w:rPr>
          <w:rtl/>
        </w:rPr>
      </w:pPr>
    </w:p>
    <w:p w14:paraId="3624360A" w14:textId="77777777" w:rsidR="003A1F14" w:rsidRPr="003A1F14" w:rsidRDefault="003A1F14" w:rsidP="003A1F14">
      <w:pPr>
        <w:spacing w:after="120" w:line="240" w:lineRule="exact"/>
        <w:ind w:left="283" w:hanging="283"/>
        <w:jc w:val="both"/>
        <w:rPr>
          <w:rFonts w:ascii="FrankRuehl" w:hAnsi="FrankRuehl" w:cs="FrankRuehl"/>
          <w:rtl/>
        </w:rPr>
      </w:pPr>
    </w:p>
    <w:p w14:paraId="2639E989" w14:textId="77777777" w:rsidR="003A1F14" w:rsidRPr="003A1F14" w:rsidRDefault="003A1F14" w:rsidP="003A1F14">
      <w:pPr>
        <w:spacing w:after="120" w:line="240" w:lineRule="exact"/>
        <w:ind w:left="283" w:hanging="283"/>
        <w:jc w:val="both"/>
        <w:rPr>
          <w:rFonts w:ascii="FrankRuehl" w:hAnsi="FrankRuehl" w:cs="FrankRuehl"/>
          <w:rtl/>
        </w:rPr>
      </w:pPr>
      <w:r w:rsidRPr="003A1F14">
        <w:rPr>
          <w:rFonts w:ascii="FrankRuehl" w:hAnsi="FrankRuehl" w:cs="FrankRuehl"/>
          <w:rtl/>
        </w:rPr>
        <w:t xml:space="preserve">חקיקה שאוזכרה: </w:t>
      </w:r>
    </w:p>
    <w:p w14:paraId="16C106B0" w14:textId="77777777" w:rsidR="003A1F14" w:rsidRPr="003A1F14" w:rsidRDefault="003A1F14" w:rsidP="003A1F14">
      <w:pPr>
        <w:spacing w:after="120" w:line="240" w:lineRule="exact"/>
        <w:ind w:left="283" w:hanging="283"/>
        <w:jc w:val="both"/>
        <w:rPr>
          <w:rFonts w:ascii="FrankRuehl" w:hAnsi="FrankRuehl" w:cs="FrankRuehl"/>
          <w:rtl/>
        </w:rPr>
      </w:pPr>
      <w:hyperlink r:id="rId13" w:history="1">
        <w:r w:rsidRPr="003A1F14">
          <w:rPr>
            <w:rFonts w:ascii="FrankRuehl" w:hAnsi="FrankRuehl" w:cs="FrankRuehl"/>
            <w:color w:val="0000FF"/>
            <w:u w:val="single"/>
            <w:rtl/>
          </w:rPr>
          <w:t>חוק העונשין, תשל"ז-1977</w:t>
        </w:r>
      </w:hyperlink>
      <w:r w:rsidRPr="003A1F14">
        <w:rPr>
          <w:rFonts w:ascii="FrankRuehl" w:hAnsi="FrankRuehl" w:cs="FrankRuehl"/>
          <w:rtl/>
        </w:rPr>
        <w:t xml:space="preserve">: סע'  </w:t>
      </w:r>
      <w:hyperlink r:id="rId14" w:history="1">
        <w:r w:rsidRPr="003A1F14">
          <w:rPr>
            <w:rFonts w:ascii="FrankRuehl" w:hAnsi="FrankRuehl" w:cs="FrankRuehl"/>
            <w:color w:val="0000FF"/>
            <w:u w:val="single"/>
            <w:rtl/>
          </w:rPr>
          <w:t>40ב</w:t>
        </w:r>
      </w:hyperlink>
      <w:r w:rsidRPr="003A1F14">
        <w:rPr>
          <w:rFonts w:ascii="FrankRuehl" w:hAnsi="FrankRuehl" w:cs="FrankRuehl"/>
          <w:rtl/>
        </w:rPr>
        <w:t xml:space="preserve">, </w:t>
      </w:r>
      <w:hyperlink r:id="rId15" w:history="1">
        <w:r w:rsidRPr="003A1F14">
          <w:rPr>
            <w:rFonts w:ascii="FrankRuehl" w:hAnsi="FrankRuehl" w:cs="FrankRuehl"/>
            <w:color w:val="0000FF"/>
            <w:u w:val="single"/>
            <w:rtl/>
          </w:rPr>
          <w:t>40ג</w:t>
        </w:r>
      </w:hyperlink>
      <w:r w:rsidRPr="003A1F14">
        <w:rPr>
          <w:rFonts w:ascii="FrankRuehl" w:hAnsi="FrankRuehl" w:cs="FrankRuehl"/>
          <w:rtl/>
        </w:rPr>
        <w:t xml:space="preserve">, </w:t>
      </w:r>
      <w:hyperlink r:id="rId16" w:history="1">
        <w:r w:rsidRPr="003A1F14">
          <w:rPr>
            <w:rFonts w:ascii="FrankRuehl" w:hAnsi="FrankRuehl" w:cs="FrankRuehl"/>
            <w:color w:val="0000FF"/>
            <w:u w:val="single"/>
            <w:rtl/>
          </w:rPr>
          <w:t>40ט</w:t>
        </w:r>
      </w:hyperlink>
      <w:r w:rsidRPr="003A1F14">
        <w:rPr>
          <w:rFonts w:ascii="FrankRuehl" w:hAnsi="FrankRuehl" w:cs="FrankRuehl"/>
          <w:rtl/>
        </w:rPr>
        <w:t xml:space="preserve">, </w:t>
      </w:r>
      <w:hyperlink r:id="rId17" w:history="1">
        <w:r w:rsidRPr="003A1F14">
          <w:rPr>
            <w:rFonts w:ascii="FrankRuehl" w:hAnsi="FrankRuehl" w:cs="FrankRuehl"/>
            <w:color w:val="0000FF"/>
            <w:u w:val="single"/>
            <w:rtl/>
          </w:rPr>
          <w:t>144</w:t>
        </w:r>
      </w:hyperlink>
      <w:r w:rsidRPr="003A1F14">
        <w:rPr>
          <w:rFonts w:ascii="FrankRuehl" w:hAnsi="FrankRuehl" w:cs="FrankRuehl"/>
          <w:rtl/>
        </w:rPr>
        <w:t xml:space="preserve">, </w:t>
      </w:r>
      <w:hyperlink r:id="rId18" w:history="1">
        <w:r w:rsidRPr="003A1F14">
          <w:rPr>
            <w:rFonts w:ascii="FrankRuehl" w:hAnsi="FrankRuehl" w:cs="FrankRuehl"/>
            <w:color w:val="0000FF"/>
            <w:u w:val="single"/>
            <w:rtl/>
          </w:rPr>
          <w:t>144(ב)</w:t>
        </w:r>
      </w:hyperlink>
    </w:p>
    <w:p w14:paraId="062A4038" w14:textId="77777777" w:rsidR="00D0309E" w:rsidRPr="00F81156" w:rsidRDefault="00D0309E" w:rsidP="00D0309E">
      <w:pPr>
        <w:jc w:val="both"/>
        <w:rPr>
          <w:b/>
          <w:bCs/>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0309E" w:rsidRPr="00385636" w14:paraId="25B44F6E" w14:textId="77777777" w:rsidTr="00D0309E">
        <w:trPr>
          <w:trHeight w:val="355"/>
          <w:jc w:val="center"/>
        </w:trPr>
        <w:tc>
          <w:tcPr>
            <w:tcW w:w="8820" w:type="dxa"/>
            <w:tcBorders>
              <w:top w:val="nil"/>
              <w:left w:val="nil"/>
              <w:bottom w:val="nil"/>
              <w:right w:val="nil"/>
            </w:tcBorders>
            <w:shd w:val="clear" w:color="auto" w:fill="auto"/>
          </w:tcPr>
          <w:p w14:paraId="1DEE5340" w14:textId="77777777" w:rsidR="00F81156" w:rsidRPr="00F81156" w:rsidRDefault="00F81156" w:rsidP="00F81156">
            <w:pPr>
              <w:jc w:val="center"/>
              <w:rPr>
                <w:rFonts w:ascii="Arial" w:hAnsi="Arial"/>
                <w:b/>
                <w:bCs/>
                <w:sz w:val="32"/>
                <w:szCs w:val="32"/>
                <w:u w:val="single"/>
                <w:rtl/>
              </w:rPr>
            </w:pPr>
            <w:bookmarkStart w:id="4" w:name="PsakDin" w:colFirst="0" w:colLast="0"/>
            <w:bookmarkEnd w:id="0"/>
            <w:r w:rsidRPr="00F81156">
              <w:rPr>
                <w:rFonts w:ascii="Arial" w:hAnsi="Arial"/>
                <w:b/>
                <w:bCs/>
                <w:sz w:val="32"/>
                <w:szCs w:val="32"/>
                <w:u w:val="single"/>
                <w:rtl/>
              </w:rPr>
              <w:t>גזר דין</w:t>
            </w:r>
          </w:p>
          <w:p w14:paraId="5AFC8CD9" w14:textId="77777777" w:rsidR="00D0309E" w:rsidRPr="00F81156" w:rsidRDefault="00D0309E" w:rsidP="00F81156">
            <w:pPr>
              <w:jc w:val="center"/>
              <w:rPr>
                <w:rFonts w:ascii="Arial" w:hAnsi="Arial"/>
                <w:b/>
                <w:bCs/>
                <w:sz w:val="32"/>
                <w:szCs w:val="32"/>
                <w:u w:val="single"/>
                <w:rtl/>
              </w:rPr>
            </w:pPr>
          </w:p>
        </w:tc>
      </w:tr>
      <w:bookmarkEnd w:id="4"/>
    </w:tbl>
    <w:p w14:paraId="1157E656" w14:textId="77777777" w:rsidR="00D0309E" w:rsidRPr="00B05847" w:rsidRDefault="00D0309E" w:rsidP="00D0309E">
      <w:pPr>
        <w:jc w:val="both"/>
        <w:rPr>
          <w:rFonts w:ascii="Arial" w:hAnsi="Arial"/>
          <w:rtl/>
        </w:rPr>
      </w:pPr>
    </w:p>
    <w:p w14:paraId="742C2DA2" w14:textId="77777777" w:rsidR="00D0309E" w:rsidRPr="00B05847" w:rsidRDefault="00D0309E" w:rsidP="00D0309E">
      <w:pPr>
        <w:jc w:val="both"/>
        <w:rPr>
          <w:rtl/>
        </w:rPr>
      </w:pPr>
    </w:p>
    <w:p w14:paraId="5DDF8920" w14:textId="77777777" w:rsidR="00D0309E" w:rsidRDefault="00D0309E" w:rsidP="00D0309E">
      <w:pPr>
        <w:spacing w:line="360" w:lineRule="auto"/>
        <w:jc w:val="both"/>
        <w:rPr>
          <w:rtl/>
        </w:rPr>
      </w:pPr>
      <w:r>
        <w:rPr>
          <w:rFonts w:hint="cs"/>
          <w:rtl/>
        </w:rPr>
        <w:t>1.</w:t>
      </w:r>
      <w:r>
        <w:rPr>
          <w:rFonts w:hint="cs"/>
          <w:rtl/>
        </w:rPr>
        <w:tab/>
      </w:r>
      <w:bookmarkStart w:id="5" w:name="ABSTRACT_START"/>
      <w:bookmarkEnd w:id="5"/>
      <w:r w:rsidRPr="00B062B3">
        <w:rPr>
          <w:rtl/>
        </w:rPr>
        <w:t xml:space="preserve">ביום </w:t>
      </w:r>
      <w:r>
        <w:rPr>
          <w:rFonts w:hint="cs"/>
          <w:rtl/>
        </w:rPr>
        <w:t xml:space="preserve">22.5.18 </w:t>
      </w:r>
      <w:r>
        <w:rPr>
          <w:rtl/>
        </w:rPr>
        <w:t>הורשע הנאש</w:t>
      </w:r>
      <w:r w:rsidRPr="00B062B3">
        <w:rPr>
          <w:rtl/>
        </w:rPr>
        <w:t xml:space="preserve">ם, על יסוד הודאתו בעובדות כתב האישום שתוקן </w:t>
      </w:r>
      <w:r>
        <w:rPr>
          <w:rFonts w:hint="cs"/>
          <w:rtl/>
        </w:rPr>
        <w:t>לבקשת המאשימה ובהסכמת ההגנה,</w:t>
      </w:r>
      <w:r>
        <w:rPr>
          <w:rtl/>
        </w:rPr>
        <w:t xml:space="preserve"> </w:t>
      </w:r>
      <w:r>
        <w:rPr>
          <w:rFonts w:hint="cs"/>
          <w:rtl/>
        </w:rPr>
        <w:t xml:space="preserve">וזאת </w:t>
      </w:r>
      <w:r>
        <w:rPr>
          <w:rtl/>
        </w:rPr>
        <w:t xml:space="preserve">בעבירה </w:t>
      </w:r>
      <w:r>
        <w:rPr>
          <w:rFonts w:hint="cs"/>
          <w:rtl/>
        </w:rPr>
        <w:t xml:space="preserve">של נשיאת נשק, עבירה לפי </w:t>
      </w:r>
      <w:hyperlink r:id="rId19" w:history="1">
        <w:r w:rsidR="003A1F14" w:rsidRPr="003A1F14">
          <w:rPr>
            <w:color w:val="0000FF"/>
            <w:u w:val="single"/>
            <w:rtl/>
          </w:rPr>
          <w:t>סעיף 144(ב)</w:t>
        </w:r>
      </w:hyperlink>
      <w:r>
        <w:rPr>
          <w:rFonts w:hint="cs"/>
          <w:rtl/>
        </w:rPr>
        <w:t xml:space="preserve"> רישא וסיפא ל</w:t>
      </w:r>
      <w:hyperlink r:id="rId20" w:history="1">
        <w:r w:rsidR="00F81156" w:rsidRPr="00F81156">
          <w:rPr>
            <w:color w:val="0000FF"/>
            <w:u w:val="single"/>
            <w:rtl/>
          </w:rPr>
          <w:t>חוק העונשין</w:t>
        </w:r>
      </w:hyperlink>
      <w:r>
        <w:rPr>
          <w:rFonts w:hint="cs"/>
          <w:rtl/>
        </w:rPr>
        <w:t>, התשל"ז- 1977.</w:t>
      </w:r>
    </w:p>
    <w:p w14:paraId="639C7268" w14:textId="77777777" w:rsidR="00D0309E" w:rsidRDefault="00D0309E" w:rsidP="00D0309E">
      <w:pPr>
        <w:spacing w:line="360" w:lineRule="auto"/>
        <w:jc w:val="both"/>
        <w:rPr>
          <w:rtl/>
        </w:rPr>
      </w:pPr>
    </w:p>
    <w:p w14:paraId="03DDDB33" w14:textId="77777777" w:rsidR="00D0309E" w:rsidRPr="00B05847" w:rsidRDefault="00D0309E" w:rsidP="00D0309E">
      <w:pPr>
        <w:spacing w:line="360" w:lineRule="auto"/>
        <w:jc w:val="both"/>
        <w:rPr>
          <w:rtl/>
        </w:rPr>
      </w:pPr>
      <w:r w:rsidRPr="00B062B3">
        <w:rPr>
          <w:rtl/>
        </w:rPr>
        <w:t xml:space="preserve"> 2.         כעת, לאחר שנשמעו טיעוני באי כוח הצדדים לעניין העונש והוגש תסקיר שירות המבחן בעניינו של </w:t>
      </w:r>
      <w:r>
        <w:rPr>
          <w:rFonts w:hint="cs"/>
          <w:rtl/>
        </w:rPr>
        <w:t>ה</w:t>
      </w:r>
      <w:r w:rsidRPr="00B062B3">
        <w:rPr>
          <w:rtl/>
        </w:rPr>
        <w:t>נ</w:t>
      </w:r>
      <w:r>
        <w:rPr>
          <w:rtl/>
        </w:rPr>
        <w:t>אש</w:t>
      </w:r>
      <w:r>
        <w:rPr>
          <w:rFonts w:hint="cs"/>
          <w:rtl/>
        </w:rPr>
        <w:t xml:space="preserve">ם, </w:t>
      </w:r>
      <w:r>
        <w:rPr>
          <w:rtl/>
        </w:rPr>
        <w:t>אפנה  למלאכת גזירת הדין.</w:t>
      </w:r>
    </w:p>
    <w:p w14:paraId="712ED7B7" w14:textId="77777777" w:rsidR="00D0309E" w:rsidRPr="00B05847" w:rsidRDefault="00D0309E" w:rsidP="00D0309E">
      <w:pPr>
        <w:jc w:val="both"/>
        <w:rPr>
          <w:rtl/>
        </w:rPr>
      </w:pPr>
    </w:p>
    <w:p w14:paraId="2D167D6B" w14:textId="77777777" w:rsidR="00D0309E" w:rsidRPr="00B05847" w:rsidRDefault="00D0309E" w:rsidP="00D0309E">
      <w:pPr>
        <w:jc w:val="both"/>
        <w:rPr>
          <w:rtl/>
        </w:rPr>
      </w:pPr>
    </w:p>
    <w:p w14:paraId="52D6481D" w14:textId="77777777" w:rsidR="00D0309E" w:rsidRPr="003C7A3C" w:rsidRDefault="00D0309E" w:rsidP="00D0309E">
      <w:pPr>
        <w:jc w:val="both"/>
        <w:rPr>
          <w:rFonts w:cs="Miriam"/>
          <w:u w:val="single"/>
          <w:rtl/>
        </w:rPr>
      </w:pPr>
      <w:r w:rsidRPr="003C7A3C">
        <w:rPr>
          <w:rFonts w:cs="Miriam" w:hint="cs"/>
          <w:u w:val="single"/>
          <w:rtl/>
        </w:rPr>
        <w:t>כתב האישום המתוקן</w:t>
      </w:r>
    </w:p>
    <w:p w14:paraId="01995D00" w14:textId="77777777" w:rsidR="00D0309E" w:rsidRPr="00B05847" w:rsidRDefault="00D0309E" w:rsidP="00D0309E">
      <w:pPr>
        <w:spacing w:line="360" w:lineRule="auto"/>
        <w:jc w:val="both"/>
        <w:rPr>
          <w:rtl/>
        </w:rPr>
      </w:pPr>
    </w:p>
    <w:p w14:paraId="73918205" w14:textId="77777777" w:rsidR="00D0309E" w:rsidRDefault="00D0309E" w:rsidP="00D0309E">
      <w:pPr>
        <w:spacing w:line="360" w:lineRule="auto"/>
        <w:jc w:val="both"/>
        <w:rPr>
          <w:rtl/>
        </w:rPr>
      </w:pPr>
      <w:r>
        <w:rPr>
          <w:rFonts w:hint="cs"/>
          <w:rtl/>
        </w:rPr>
        <w:lastRenderedPageBreak/>
        <w:t>3.</w:t>
      </w:r>
      <w:r>
        <w:rPr>
          <w:rFonts w:hint="cs"/>
          <w:rtl/>
        </w:rPr>
        <w:tab/>
        <w:t>ביום 22.1.18 בשעה 20:30 ובסמוך לכך, בכפר מענה, במתחם הבית של משפחת סעיד, בני דודיו של הנאשם, נשא הנאשם על גופו אקדח חצי אוטומטי מסוג סי-זד (</w:t>
      </w:r>
      <w:r>
        <w:t>cz</w:t>
      </w:r>
      <w:r>
        <w:rPr>
          <w:rFonts w:hint="cs"/>
          <w:rtl/>
        </w:rPr>
        <w:t xml:space="preserve">), קליבר 9 מ"מ קצר (להלן: </w:t>
      </w:r>
      <w:r w:rsidRPr="00BC08EA">
        <w:rPr>
          <w:rFonts w:cs="Miriam" w:hint="cs"/>
          <w:rtl/>
        </w:rPr>
        <w:t>האקדח</w:t>
      </w:r>
      <w:r>
        <w:rPr>
          <w:rFonts w:hint="cs"/>
          <w:rtl/>
        </w:rPr>
        <w:t>), אשר נגנב מאיתן גל בשנת 2007. באותה עת התקהלו במקום  אנשים רבים.</w:t>
      </w:r>
    </w:p>
    <w:p w14:paraId="3035DC6D" w14:textId="77777777" w:rsidR="00D0309E" w:rsidRDefault="00D0309E" w:rsidP="00D0309E">
      <w:pPr>
        <w:spacing w:line="360" w:lineRule="auto"/>
        <w:jc w:val="both"/>
        <w:rPr>
          <w:rtl/>
        </w:rPr>
      </w:pPr>
    </w:p>
    <w:p w14:paraId="1D56021D" w14:textId="77777777" w:rsidR="00D0309E" w:rsidRDefault="00D0309E" w:rsidP="00D0309E">
      <w:pPr>
        <w:spacing w:line="360" w:lineRule="auto"/>
        <w:jc w:val="both"/>
        <w:rPr>
          <w:rtl/>
        </w:rPr>
      </w:pPr>
      <w:r>
        <w:rPr>
          <w:rFonts w:hint="cs"/>
          <w:rtl/>
        </w:rPr>
        <w:t>4.</w:t>
      </w:r>
      <w:r>
        <w:rPr>
          <w:rFonts w:hint="cs"/>
          <w:rtl/>
        </w:rPr>
        <w:tab/>
        <w:t xml:space="preserve">הנאשם נשא, ללא רשות כדין, את האקדח על גופו, צמוד למותן ימין, כאשר קת האקדח וחלקו האחורי בולטים ממכנסיו, ובתוכו מחסנית שהכילה עשרה כדורים בקליבר 9 מ"מ קצר. </w:t>
      </w:r>
    </w:p>
    <w:p w14:paraId="079BD513" w14:textId="77777777" w:rsidR="00D0309E" w:rsidRDefault="00D0309E" w:rsidP="00D0309E">
      <w:pPr>
        <w:spacing w:line="360" w:lineRule="auto"/>
        <w:jc w:val="both"/>
        <w:rPr>
          <w:rtl/>
        </w:rPr>
      </w:pPr>
    </w:p>
    <w:p w14:paraId="0049F8C5" w14:textId="77777777" w:rsidR="00D0309E" w:rsidRDefault="00D0309E" w:rsidP="00D0309E">
      <w:pPr>
        <w:spacing w:line="360" w:lineRule="auto"/>
        <w:jc w:val="both"/>
        <w:rPr>
          <w:rtl/>
        </w:rPr>
      </w:pPr>
      <w:r>
        <w:rPr>
          <w:rFonts w:hint="cs"/>
          <w:rtl/>
        </w:rPr>
        <w:t>5.</w:t>
      </w:r>
      <w:r>
        <w:rPr>
          <w:rFonts w:hint="cs"/>
          <w:rtl/>
        </w:rPr>
        <w:tab/>
        <w:t>במעשיו המתוארים לעיל, נשא הנאשם נשק שסוגל לירות כדור שבכוחו להמית אדם, וכן נשא מחסנית שהינה אביזר לנשק ועשרה כדורים שהינם תחמושת לנשק, והכל ללא רשות בדין.</w:t>
      </w:r>
    </w:p>
    <w:p w14:paraId="30D96041" w14:textId="77777777" w:rsidR="00D0309E" w:rsidRDefault="00D0309E" w:rsidP="00D0309E">
      <w:pPr>
        <w:spacing w:line="360" w:lineRule="auto"/>
        <w:jc w:val="both"/>
        <w:rPr>
          <w:rtl/>
        </w:rPr>
      </w:pPr>
      <w:bookmarkStart w:id="6" w:name="ABSTRACT_END"/>
      <w:bookmarkEnd w:id="6"/>
    </w:p>
    <w:p w14:paraId="1E4E6A6B" w14:textId="77777777" w:rsidR="00D0309E" w:rsidRDefault="00D0309E" w:rsidP="00D0309E">
      <w:pPr>
        <w:spacing w:line="360" w:lineRule="auto"/>
        <w:jc w:val="both"/>
        <w:rPr>
          <w:rFonts w:cs="Miriam"/>
          <w:rtl/>
        </w:rPr>
      </w:pPr>
    </w:p>
    <w:p w14:paraId="415553B4" w14:textId="77777777" w:rsidR="00D0309E" w:rsidRDefault="00D0309E" w:rsidP="00D0309E">
      <w:pPr>
        <w:spacing w:line="360" w:lineRule="auto"/>
        <w:jc w:val="both"/>
        <w:rPr>
          <w:rFonts w:cs="Miriam"/>
          <w:rtl/>
        </w:rPr>
      </w:pPr>
    </w:p>
    <w:p w14:paraId="0178E926" w14:textId="77777777" w:rsidR="00D0309E" w:rsidRDefault="00D0309E" w:rsidP="00D0309E">
      <w:pPr>
        <w:spacing w:line="360" w:lineRule="auto"/>
        <w:jc w:val="both"/>
        <w:rPr>
          <w:rFonts w:cs="Miriam"/>
          <w:rtl/>
        </w:rPr>
      </w:pPr>
    </w:p>
    <w:p w14:paraId="16951898" w14:textId="77777777" w:rsidR="00D0309E" w:rsidRDefault="00D0309E" w:rsidP="00D0309E">
      <w:pPr>
        <w:spacing w:line="360" w:lineRule="auto"/>
        <w:jc w:val="both"/>
        <w:rPr>
          <w:rFonts w:cs="Miriam"/>
          <w:rtl/>
        </w:rPr>
      </w:pPr>
    </w:p>
    <w:p w14:paraId="70DD4520" w14:textId="77777777" w:rsidR="00D0309E" w:rsidRPr="000E0A06" w:rsidRDefault="00D0309E" w:rsidP="00D0309E">
      <w:pPr>
        <w:spacing w:line="360" w:lineRule="auto"/>
        <w:jc w:val="both"/>
        <w:rPr>
          <w:rFonts w:cs="Miriam"/>
          <w:u w:val="single"/>
          <w:rtl/>
        </w:rPr>
      </w:pPr>
      <w:r w:rsidRPr="000E0A06">
        <w:rPr>
          <w:rFonts w:cs="Miriam" w:hint="cs"/>
          <w:u w:val="single"/>
          <w:rtl/>
        </w:rPr>
        <w:t>תסקיר שירות המבחן</w:t>
      </w:r>
    </w:p>
    <w:p w14:paraId="73B1D405" w14:textId="77777777" w:rsidR="00D0309E" w:rsidRPr="00DD5998" w:rsidRDefault="00D0309E" w:rsidP="00D0309E">
      <w:pPr>
        <w:spacing w:line="360" w:lineRule="auto"/>
        <w:jc w:val="both"/>
        <w:rPr>
          <w:rFonts w:cs="Miriam"/>
          <w:rtl/>
        </w:rPr>
      </w:pPr>
    </w:p>
    <w:p w14:paraId="081FC1ED" w14:textId="77777777" w:rsidR="00D0309E" w:rsidRDefault="00D0309E" w:rsidP="00D0309E">
      <w:pPr>
        <w:spacing w:line="360" w:lineRule="auto"/>
        <w:jc w:val="both"/>
        <w:rPr>
          <w:rtl/>
        </w:rPr>
      </w:pPr>
      <w:r>
        <w:rPr>
          <w:rFonts w:hint="cs"/>
          <w:rtl/>
        </w:rPr>
        <w:t>6.</w:t>
      </w:r>
      <w:r>
        <w:rPr>
          <w:rFonts w:hint="cs"/>
          <w:rtl/>
        </w:rPr>
        <w:tab/>
        <w:t>מתסקיר שירות המבחן שהוגש בעניינו של הנאשם עולה, כי הנאשם הוא תושב בענה, בן 32, נשוי ואב ל- 3 ילדים. הנאשם נתון במעצר בית בפיקוח אלקטרוני בבית אחיו בכפר ג'דידה- מכר בגין מעורבותו בעבירה שבפנינו. הנאשם סיים 12 שנות לימוד. לדבריו, עם סיום לימודיו הוא קיבל תעודת חשמל ומכניקת רכבים. כן הציג הנאשם בפני שירות המבחן מסמכים רפואיים, מהם עולה כי הוא סובל מבעיות אורתופדיות בעטיין הוא צפוי לעבור ניתוח. שירות המבחן התרשם, כי הנאשם גדל במשפחה נורמטיבי</w:t>
      </w:r>
      <w:r>
        <w:rPr>
          <w:rFonts w:hint="eastAsia"/>
          <w:rtl/>
        </w:rPr>
        <w:t>ת</w:t>
      </w:r>
      <w:r>
        <w:rPr>
          <w:rFonts w:hint="cs"/>
          <w:rtl/>
        </w:rPr>
        <w:t xml:space="preserve"> וניהל אורח  חיים תקין ביסודו. </w:t>
      </w:r>
    </w:p>
    <w:p w14:paraId="455F492F" w14:textId="77777777" w:rsidR="00D0309E" w:rsidRDefault="00D0309E" w:rsidP="00D0309E">
      <w:pPr>
        <w:spacing w:line="360" w:lineRule="auto"/>
        <w:jc w:val="both"/>
        <w:rPr>
          <w:rtl/>
        </w:rPr>
      </w:pPr>
    </w:p>
    <w:p w14:paraId="738770BB" w14:textId="77777777" w:rsidR="00D0309E" w:rsidRDefault="00D0309E" w:rsidP="00D0309E">
      <w:pPr>
        <w:spacing w:line="360" w:lineRule="auto"/>
        <w:jc w:val="both"/>
        <w:rPr>
          <w:rtl/>
        </w:rPr>
      </w:pPr>
      <w:r>
        <w:rPr>
          <w:rFonts w:hint="cs"/>
          <w:rtl/>
        </w:rPr>
        <w:t>7.</w:t>
      </w:r>
      <w:r>
        <w:rPr>
          <w:rFonts w:hint="cs"/>
          <w:rtl/>
        </w:rPr>
        <w:tab/>
        <w:t xml:space="preserve">שירות המבחן ציין בתסקירו כי הנאשם נעדר עבר פלילי. אשר לביצוע העבירה הנוכחית, טען הנאשם  בפני שירות המבחן כי החזיק הנשק בתוך מכנסיו, כדרך להשגת תחושת ריגוש  ולהרשים את האחר. הנאשם הוסיף וטען, כי הנשק אינו שייך לו וכי החזיק בו לדקות ספורות בלבד. שירות המבחן התרשם, כי חרטת הנאשם בפניו- כנה,  וכי ההליך המשפטי המתנהל נגדו חידד עבורו את חומרת והשלכות מעשיו. שירות המבחן ציין,  כי לנאשם יכולת של חיבור רגשי לחומרת מעשיו, משמעותם והשלכותיהם. עם זאת, הנאשם נוטה להסתיר ולטשטש את מניעיו לביצוע העבירה ולייחס מיקוד שליטה חיצוני לסיבות שבבסיס ביצוע העבירה, תוך שהוא מתקשה לבחון את מניעיו הפנימיים. שירות המבחן סבור, כי הנאשם מצוי בשלב ראשוני של בחינה עצמית ושל התבוננות בכשליו ההתנהגותיים, דבר העשוי להעיד במצבו על סיכויי שיקום. שירות המבחן מעריך, כי הסיכון נמוך לביצוע עבירות ע"י הנאשם בתחום האלימות, וזאת ברמת מסוכנות נמוכה. </w:t>
      </w:r>
    </w:p>
    <w:p w14:paraId="2DFC9BEA" w14:textId="77777777" w:rsidR="00D0309E" w:rsidRDefault="00D0309E" w:rsidP="00D0309E">
      <w:pPr>
        <w:spacing w:line="360" w:lineRule="auto"/>
        <w:jc w:val="both"/>
        <w:rPr>
          <w:rtl/>
        </w:rPr>
      </w:pPr>
    </w:p>
    <w:p w14:paraId="4EF61BBA" w14:textId="77777777" w:rsidR="00D0309E" w:rsidRDefault="00D0309E" w:rsidP="00D0309E">
      <w:pPr>
        <w:spacing w:line="360" w:lineRule="auto"/>
        <w:jc w:val="both"/>
        <w:rPr>
          <w:rtl/>
        </w:rPr>
      </w:pPr>
      <w:r>
        <w:rPr>
          <w:rFonts w:hint="cs"/>
          <w:rtl/>
        </w:rPr>
        <w:lastRenderedPageBreak/>
        <w:t>8.</w:t>
      </w:r>
      <w:r>
        <w:rPr>
          <w:rFonts w:hint="cs"/>
          <w:rtl/>
        </w:rPr>
        <w:tab/>
        <w:t>עוד ציין שירות המבחן לעניין שיקומו של הנאשם, כי נבחנת האפשרות לשלבו בקבוצה טיפולית שעתידה להימשך 25 מפגשים וצפויה להיפתח בחודש אוקטובר. צוין בתסקיר, כי בבואו לגבש המלצה בעניינו של הנאשם, שקל שירות המבחן את חומרת העבירה והסיכון הטמון בה. עם זאת, בשל רמת המסוכנות הנמוכה, העדר עבר פלילי וסיכויי השיקום, ממליץ שירות המבחן להטיל על  הנאשם ענישה שתכלול רכיב ענישה מוחשי שימחיש עבורו את חומרת מעשיו ואת "המחיר" שעליו לשאת בגינם, וזאת לצד ענישה שתכלול מרכיבים טיפוליים ושיקומיים.</w:t>
      </w:r>
    </w:p>
    <w:p w14:paraId="52927F7E" w14:textId="77777777" w:rsidR="00D0309E" w:rsidRDefault="00D0309E" w:rsidP="00D0309E">
      <w:pPr>
        <w:spacing w:line="360" w:lineRule="auto"/>
        <w:jc w:val="both"/>
        <w:rPr>
          <w:rtl/>
        </w:rPr>
      </w:pPr>
    </w:p>
    <w:p w14:paraId="5931E534" w14:textId="77777777" w:rsidR="00D0309E" w:rsidRDefault="00D0309E" w:rsidP="00D0309E">
      <w:pPr>
        <w:spacing w:line="360" w:lineRule="auto"/>
        <w:jc w:val="both"/>
        <w:rPr>
          <w:rtl/>
        </w:rPr>
      </w:pPr>
      <w:r>
        <w:rPr>
          <w:rFonts w:hint="cs"/>
          <w:rtl/>
        </w:rPr>
        <w:t>9.</w:t>
      </w:r>
      <w:r>
        <w:rPr>
          <w:rFonts w:hint="cs"/>
          <w:rtl/>
        </w:rPr>
        <w:tab/>
        <w:t xml:space="preserve">לסיכום, ממליץ שירות המבחן להטיל על הנאשם צו מבחן למשך 12 חודשים, במהלכם ישולב הנאשם בהליך טיפולי במסגרת שירות המבחן. כמו כן, ממליץ שירות המבחן להשית על הנאשם עונש של מאסר בפועל לתקופה שניתן יהא לרצותה בעבודות שירות, וכן מאסר על תנאי. </w:t>
      </w:r>
    </w:p>
    <w:p w14:paraId="6A32F353" w14:textId="77777777" w:rsidR="00D0309E" w:rsidRDefault="00D0309E" w:rsidP="00D0309E">
      <w:pPr>
        <w:spacing w:line="360" w:lineRule="auto"/>
        <w:jc w:val="both"/>
        <w:rPr>
          <w:rtl/>
        </w:rPr>
      </w:pPr>
    </w:p>
    <w:p w14:paraId="3FADA586" w14:textId="77777777" w:rsidR="00D0309E" w:rsidRDefault="00D0309E" w:rsidP="00D0309E">
      <w:pPr>
        <w:spacing w:line="360" w:lineRule="auto"/>
        <w:jc w:val="both"/>
        <w:rPr>
          <w:rFonts w:cs="Miriam"/>
          <w:rtl/>
        </w:rPr>
      </w:pPr>
    </w:p>
    <w:p w14:paraId="03B3CE84" w14:textId="77777777" w:rsidR="00D0309E" w:rsidRDefault="00D0309E" w:rsidP="00D0309E">
      <w:pPr>
        <w:spacing w:line="360" w:lineRule="auto"/>
        <w:jc w:val="both"/>
        <w:rPr>
          <w:rFonts w:cs="Miriam"/>
          <w:rtl/>
        </w:rPr>
      </w:pPr>
    </w:p>
    <w:p w14:paraId="24064059" w14:textId="77777777" w:rsidR="00D0309E" w:rsidRPr="000E0A06" w:rsidRDefault="00D0309E" w:rsidP="00D0309E">
      <w:pPr>
        <w:spacing w:line="360" w:lineRule="auto"/>
        <w:jc w:val="both"/>
        <w:rPr>
          <w:rFonts w:cs="Miriam"/>
          <w:u w:val="single"/>
          <w:rtl/>
        </w:rPr>
      </w:pPr>
      <w:r w:rsidRPr="000E0A06">
        <w:rPr>
          <w:rFonts w:cs="Miriam" w:hint="cs"/>
          <w:u w:val="single"/>
          <w:rtl/>
        </w:rPr>
        <w:t>ראיות ההגנה לעונש</w:t>
      </w:r>
    </w:p>
    <w:p w14:paraId="1EDF581F" w14:textId="77777777" w:rsidR="00D0309E" w:rsidRPr="007464B8" w:rsidRDefault="00D0309E" w:rsidP="00D0309E">
      <w:pPr>
        <w:jc w:val="both"/>
        <w:rPr>
          <w:rFonts w:cs="Miriam"/>
          <w:rtl/>
        </w:rPr>
      </w:pPr>
    </w:p>
    <w:p w14:paraId="7944632B" w14:textId="77777777" w:rsidR="00D0309E" w:rsidRDefault="00D0309E" w:rsidP="00D0309E">
      <w:pPr>
        <w:spacing w:line="360" w:lineRule="auto"/>
        <w:jc w:val="both"/>
        <w:rPr>
          <w:rtl/>
        </w:rPr>
      </w:pPr>
      <w:r>
        <w:rPr>
          <w:rFonts w:hint="cs"/>
          <w:rtl/>
        </w:rPr>
        <w:t>10.</w:t>
      </w:r>
      <w:r>
        <w:rPr>
          <w:rFonts w:hint="cs"/>
          <w:rtl/>
        </w:rPr>
        <w:tab/>
        <w:t xml:space="preserve">במסגרת ראיות ההגנה לעונש העידה אשת הנאשם, וולאא סעיד (להלן: </w:t>
      </w:r>
      <w:r w:rsidRPr="007464B8">
        <w:rPr>
          <w:rFonts w:cs="Miriam" w:hint="cs"/>
          <w:rtl/>
        </w:rPr>
        <w:t>גב' סעיד</w:t>
      </w:r>
      <w:r>
        <w:rPr>
          <w:rFonts w:hint="cs"/>
          <w:rtl/>
        </w:rPr>
        <w:t>). גב' סעיד ציינה כי בעלה הוא אדם טוב. לדבריה, התקופה בה הוא היה נתון במעצר נחוותה עבורה ועבור ילדי בני הזוג, כתקופה קשה. גב' סעיד הבהירה כי היא מתקשה לשאת בגפה בעול פרנסת המשפחה, וכן הוסיפה וציינה, כי הנאשם אמר לה, במהלך מעצרו, כי הוא מתחרט על מעשיו ולא ישוב לסורו.</w:t>
      </w:r>
    </w:p>
    <w:p w14:paraId="4F9D5484" w14:textId="77777777" w:rsidR="00D0309E" w:rsidRDefault="00D0309E" w:rsidP="00D0309E">
      <w:pPr>
        <w:jc w:val="both"/>
        <w:rPr>
          <w:rFonts w:cs="Miriam"/>
          <w:rtl/>
        </w:rPr>
      </w:pPr>
    </w:p>
    <w:p w14:paraId="61C03B5F" w14:textId="77777777" w:rsidR="00D0309E" w:rsidRPr="000E0A06" w:rsidRDefault="00D0309E" w:rsidP="00D0309E">
      <w:pPr>
        <w:spacing w:line="360" w:lineRule="auto"/>
        <w:jc w:val="both"/>
        <w:rPr>
          <w:rFonts w:cs="Miriam"/>
          <w:u w:val="single"/>
          <w:rtl/>
        </w:rPr>
      </w:pPr>
      <w:r w:rsidRPr="000E0A06">
        <w:rPr>
          <w:rFonts w:cs="Miriam" w:hint="cs"/>
          <w:u w:val="single"/>
          <w:rtl/>
        </w:rPr>
        <w:t>טיעוני המאשימה לעונש</w:t>
      </w:r>
    </w:p>
    <w:p w14:paraId="26B2892D" w14:textId="77777777" w:rsidR="00D0309E" w:rsidRDefault="00D0309E" w:rsidP="00D0309E">
      <w:pPr>
        <w:jc w:val="both"/>
        <w:rPr>
          <w:rtl/>
        </w:rPr>
      </w:pPr>
    </w:p>
    <w:p w14:paraId="2A4538C6" w14:textId="77777777" w:rsidR="00D0309E" w:rsidRDefault="00D0309E" w:rsidP="00D0309E">
      <w:pPr>
        <w:spacing w:line="360" w:lineRule="auto"/>
        <w:jc w:val="both"/>
        <w:rPr>
          <w:rtl/>
        </w:rPr>
      </w:pPr>
      <w:r>
        <w:rPr>
          <w:rFonts w:hint="cs"/>
          <w:rtl/>
        </w:rPr>
        <w:t>11.</w:t>
      </w:r>
      <w:r>
        <w:rPr>
          <w:rtl/>
        </w:rPr>
        <w:tab/>
      </w:r>
      <w:r>
        <w:rPr>
          <w:rFonts w:hint="cs"/>
          <w:rtl/>
        </w:rPr>
        <w:t>בדיון בפניי ביום 16.9.18 הגיש ב"כ המאשימה את טיעוניו לעונש בכתב (</w:t>
      </w:r>
      <w:r w:rsidRPr="00F50F3D">
        <w:rPr>
          <w:rFonts w:cs="Miriam" w:hint="cs"/>
          <w:rtl/>
        </w:rPr>
        <w:t>ט/1</w:t>
      </w:r>
      <w:r>
        <w:rPr>
          <w:rFonts w:hint="cs"/>
          <w:rtl/>
        </w:rPr>
        <w:t xml:space="preserve">) </w:t>
      </w:r>
      <w:r>
        <w:rPr>
          <w:rtl/>
        </w:rPr>
        <w:t>והוסי</w:t>
      </w:r>
      <w:r>
        <w:rPr>
          <w:rFonts w:hint="cs"/>
          <w:rtl/>
        </w:rPr>
        <w:t xml:space="preserve">ף </w:t>
      </w:r>
      <w:r w:rsidRPr="00A63A25">
        <w:rPr>
          <w:rtl/>
        </w:rPr>
        <w:t>וטע</w:t>
      </w:r>
      <w:r>
        <w:rPr>
          <w:rFonts w:hint="cs"/>
          <w:rtl/>
        </w:rPr>
        <w:t xml:space="preserve">ן </w:t>
      </w:r>
      <w:r>
        <w:rPr>
          <w:rtl/>
        </w:rPr>
        <w:t>לעונש בעל</w:t>
      </w:r>
      <w:r>
        <w:rPr>
          <w:rFonts w:hint="cs"/>
          <w:rtl/>
        </w:rPr>
        <w:t>-</w:t>
      </w:r>
      <w:r>
        <w:rPr>
          <w:rtl/>
        </w:rPr>
        <w:t>פה</w:t>
      </w:r>
      <w:r w:rsidRPr="00A63A25">
        <w:rPr>
          <w:rtl/>
        </w:rPr>
        <w:t xml:space="preserve">. </w:t>
      </w:r>
      <w:r>
        <w:rPr>
          <w:rtl/>
        </w:rPr>
        <w:t>ב</w:t>
      </w:r>
      <w:r>
        <w:rPr>
          <w:rFonts w:hint="cs"/>
          <w:rtl/>
        </w:rPr>
        <w:t xml:space="preserve">"כ המאשימה הדגיש בטיעוניו את החומרה הרבה הגלומה בעבירות הנשק, זאת בשל הפוטנציאל הגבוה לפגיעה בגוף והסכנה הממשית לפגיעה בשלום הציבור. </w:t>
      </w:r>
      <w:r w:rsidRPr="00D50D54">
        <w:rPr>
          <w:rtl/>
        </w:rPr>
        <w:t>ב"כ המאשימה הפנ</w:t>
      </w:r>
      <w:r>
        <w:rPr>
          <w:rFonts w:hint="cs"/>
          <w:rtl/>
        </w:rPr>
        <w:t>ה</w:t>
      </w:r>
      <w:r w:rsidRPr="00D50D54">
        <w:rPr>
          <w:rtl/>
        </w:rPr>
        <w:t xml:space="preserve"> לפסיקתו של בית המשפט העליון</w:t>
      </w:r>
      <w:r>
        <w:rPr>
          <w:rFonts w:hint="cs"/>
          <w:rtl/>
        </w:rPr>
        <w:t>, המדגישה את ה</w:t>
      </w:r>
      <w:r w:rsidRPr="00D50D54">
        <w:rPr>
          <w:rtl/>
        </w:rPr>
        <w:t xml:space="preserve">צורך להחמיר בענישת </w:t>
      </w:r>
      <w:r>
        <w:rPr>
          <w:rtl/>
        </w:rPr>
        <w:t>מבצעי עבירות בנשק</w:t>
      </w:r>
      <w:r>
        <w:rPr>
          <w:rFonts w:hint="cs"/>
          <w:rtl/>
        </w:rPr>
        <w:t>, תוך שציין כי נקבע על ידי המחוקק, ולא בכדי, עונש מרבי של עשר שנות מאסר בגין  העבירה של נשיאת נשק.</w:t>
      </w:r>
    </w:p>
    <w:p w14:paraId="3C9FCAF6" w14:textId="77777777" w:rsidR="00D0309E" w:rsidRDefault="00D0309E" w:rsidP="00D0309E">
      <w:pPr>
        <w:jc w:val="both"/>
        <w:rPr>
          <w:rtl/>
        </w:rPr>
      </w:pPr>
    </w:p>
    <w:p w14:paraId="593A20B3" w14:textId="77777777" w:rsidR="00D0309E" w:rsidRDefault="00D0309E" w:rsidP="00D0309E">
      <w:pPr>
        <w:spacing w:line="360" w:lineRule="auto"/>
        <w:jc w:val="both"/>
        <w:rPr>
          <w:rtl/>
        </w:rPr>
      </w:pPr>
      <w:r>
        <w:rPr>
          <w:rFonts w:hint="cs"/>
          <w:rtl/>
        </w:rPr>
        <w:t>12.</w:t>
      </w:r>
      <w:r>
        <w:rPr>
          <w:rFonts w:hint="cs"/>
          <w:rtl/>
        </w:rPr>
        <w:tab/>
      </w:r>
      <w:r w:rsidRPr="00D50D54">
        <w:rPr>
          <w:rtl/>
        </w:rPr>
        <w:t>לטענת ב"כ המאשימה, הערך החברתי המוגן שנפגע במקרה דנן ה</w:t>
      </w:r>
      <w:r>
        <w:rPr>
          <w:rFonts w:hint="cs"/>
          <w:rtl/>
        </w:rPr>
        <w:t>וא</w:t>
      </w:r>
      <w:r w:rsidRPr="00D50D54">
        <w:rPr>
          <w:rtl/>
        </w:rPr>
        <w:t xml:space="preserve"> שלום הציבור והגנה על חיי אדם. לדיד</w:t>
      </w:r>
      <w:r>
        <w:rPr>
          <w:rFonts w:hint="cs"/>
          <w:rtl/>
        </w:rPr>
        <w:t>ו</w:t>
      </w:r>
      <w:r w:rsidRPr="00D50D54">
        <w:rPr>
          <w:rtl/>
        </w:rPr>
        <w:t xml:space="preserve">, </w:t>
      </w:r>
      <w:r>
        <w:rPr>
          <w:rFonts w:hint="cs"/>
          <w:rtl/>
        </w:rPr>
        <w:t>בעבירה של נשיאת נשק טמון פוטנציאל הרסני, שכן מטבע הדברים, עשויה העבירה לשמש שלב מקדים לביצוע עבירות אחרות, שיש בהן כדי להטיל אימה ממשית על הציבור, זאת גם בהעדר הוכחה לכוונה כלשהי מצדו של הנאשם. עוד נטען, כי סוג הנשק והעובדה שהוא נישא יחד עם תחמושת ומחסנית, מובילים למסקנה כי מידת הפגיעה בערכים החברתיים במקרה זה- גבוהה.</w:t>
      </w:r>
    </w:p>
    <w:p w14:paraId="26054AFF" w14:textId="77777777" w:rsidR="00D0309E" w:rsidRDefault="00D0309E" w:rsidP="00D0309E">
      <w:pPr>
        <w:jc w:val="both"/>
        <w:rPr>
          <w:rtl/>
        </w:rPr>
      </w:pPr>
    </w:p>
    <w:p w14:paraId="341AD58E" w14:textId="77777777" w:rsidR="00D0309E" w:rsidRDefault="00D0309E" w:rsidP="00D0309E">
      <w:pPr>
        <w:spacing w:line="360" w:lineRule="auto"/>
        <w:jc w:val="both"/>
        <w:rPr>
          <w:rtl/>
        </w:rPr>
      </w:pPr>
      <w:r>
        <w:rPr>
          <w:rFonts w:hint="cs"/>
          <w:rtl/>
        </w:rPr>
        <w:t>13.</w:t>
      </w:r>
      <w:r>
        <w:rPr>
          <w:rFonts w:hint="cs"/>
          <w:rtl/>
        </w:rPr>
        <w:tab/>
        <w:t>באשר לנסיבות ביצוע העבירה, נטען כי יש לראות בהן ככאלה המשקפות חומרה משמעותית בהינתן סוג הנשק, וכן העובדה שהנאשם נשא בצד הנשק תחמושת, כל זאת במקום בו התקהלו באותה עת אנשים רבים. ב"כ המאשימה הוסיף וטען, כי נשיאת נשק בליווי תחמושת מתאימה, מרמזים כי נשיאת הנשק נעשתה שלא למטרות כשרות, אלא למטרות פליליות או ביטחוניו</w:t>
      </w:r>
      <w:r>
        <w:rPr>
          <w:rFonts w:hint="eastAsia"/>
          <w:rtl/>
        </w:rPr>
        <w:t>ת</w:t>
      </w:r>
      <w:r>
        <w:rPr>
          <w:rFonts w:hint="cs"/>
          <w:rtl/>
        </w:rPr>
        <w:t>, אשר הצריכו תכנון מוקדם והערכות מצדו של הנאשם. בסיכומו של דבר, מבקשת המאשימה לקבוע כי מתחם העונש ההולם לעבירה בנסיבות שבפנינו נע בין  4-1.5 שנות מאסר בפועל.</w:t>
      </w:r>
    </w:p>
    <w:p w14:paraId="047F75EA" w14:textId="77777777" w:rsidR="00D0309E" w:rsidRDefault="00D0309E" w:rsidP="00D0309E">
      <w:pPr>
        <w:jc w:val="both"/>
        <w:rPr>
          <w:rtl/>
        </w:rPr>
      </w:pPr>
    </w:p>
    <w:p w14:paraId="28DB56DE" w14:textId="77777777" w:rsidR="00D0309E" w:rsidRDefault="00D0309E" w:rsidP="00D0309E">
      <w:pPr>
        <w:spacing w:line="360" w:lineRule="auto"/>
        <w:jc w:val="both"/>
        <w:rPr>
          <w:rtl/>
        </w:rPr>
      </w:pPr>
      <w:r>
        <w:rPr>
          <w:rFonts w:hint="cs"/>
          <w:rtl/>
        </w:rPr>
        <w:t>14.</w:t>
      </w:r>
      <w:r>
        <w:rPr>
          <w:rFonts w:hint="cs"/>
          <w:rtl/>
        </w:rPr>
        <w:tab/>
        <w:t>ב"כ המאשימה הוסיף והפנה לאמור בתסקיר שירות המבחן, שהוגש בעניינו של הנאשם, בציינו כי בדבריו בפני קצינת המבחן, טען הנאשם, כאמור, כי ביקש מאחד האנשים במקום להחזיק את הנשק, ושם אותו במכנסיו במטרה להשיג ריגוש וכדרך להרשים את האחר. ב"כ המאשימה טען ובצדק, כי דבריו הנ"ל של הנאשם חורגים מעובדות כתב האישום המתוקן, ועל כן ביקש שלא ליתן להם כל משקל  בעת גזירת דינו של הנאשם. עוד ציין ב"כ המאשימה את התרשמותה של קצינת המבחן ממנה עולה, כי הנאשם נוטה להסתיר ולטשטש את מניעי ביצוע העבירה ולייחס מיקוד שליטה חיצוני  לסיבות שבבסיס ביצוע העבירה, וכן מתקשה בבחינת מניעיו הפנימיים.</w:t>
      </w:r>
    </w:p>
    <w:p w14:paraId="01A059B8" w14:textId="77777777" w:rsidR="00D0309E" w:rsidRDefault="00D0309E" w:rsidP="00D0309E">
      <w:pPr>
        <w:spacing w:line="360" w:lineRule="auto"/>
        <w:jc w:val="both"/>
        <w:rPr>
          <w:rtl/>
        </w:rPr>
      </w:pPr>
    </w:p>
    <w:p w14:paraId="7F9E9DDD" w14:textId="77777777" w:rsidR="00D0309E" w:rsidRDefault="00D0309E" w:rsidP="00D0309E">
      <w:pPr>
        <w:spacing w:line="360" w:lineRule="auto"/>
        <w:jc w:val="both"/>
        <w:rPr>
          <w:rtl/>
        </w:rPr>
      </w:pPr>
      <w:r>
        <w:rPr>
          <w:rFonts w:hint="cs"/>
          <w:rtl/>
        </w:rPr>
        <w:t xml:space="preserve">15. </w:t>
      </w:r>
      <w:r>
        <w:rPr>
          <w:rtl/>
        </w:rPr>
        <w:tab/>
      </w:r>
      <w:r>
        <w:rPr>
          <w:rFonts w:hint="cs"/>
          <w:rtl/>
        </w:rPr>
        <w:t>ב"כ המאשימה הבהיר, כי לשיטת  המאשימה, אין מקום  בתיק זה לסטות, משיקולי שיקום, ממתחם העונש ההולם, זאת מאחר שעל פי תסקיר שירות המבחן הנאשם מצוי בשלב ראשוני של בחינה עצמית של כשליו, וכן הסבריו לביצוע העבירה מצביעים על קושי מצדו לקבל אחריות מלאה על מעשיו. על כן, סבור ב"כ המאשימה כי לא ניתן לקבוע, בשלב זה, כי מדובר בנאשם בעל סיכויי שיקום שכן מדובר בהליך שיקום המצוי בראשיתו. בסיכומו של דבר, סבורה המאשימה כי בהתחשב בנסיבות שאינן קשורות בביצוע העבירה, מן הראוי לגזור את עונשו של הנאשם ברף התחתון של מתחם הענישה ההולם המוצע על ידה, כאמור לעיל, וזאת לצד עונש של מאסר על תנאי מרתיע וקנס.</w:t>
      </w:r>
    </w:p>
    <w:p w14:paraId="031B2612" w14:textId="77777777" w:rsidR="00D0309E" w:rsidRDefault="00D0309E" w:rsidP="00D0309E">
      <w:pPr>
        <w:spacing w:line="360" w:lineRule="auto"/>
        <w:jc w:val="both"/>
        <w:rPr>
          <w:rtl/>
        </w:rPr>
      </w:pPr>
    </w:p>
    <w:p w14:paraId="43902614" w14:textId="77777777" w:rsidR="00D0309E" w:rsidRPr="000E0A06" w:rsidRDefault="00D0309E" w:rsidP="00D0309E">
      <w:pPr>
        <w:spacing w:line="360" w:lineRule="auto"/>
        <w:jc w:val="both"/>
        <w:rPr>
          <w:rFonts w:cs="Miriam"/>
          <w:u w:val="single"/>
          <w:rtl/>
        </w:rPr>
      </w:pPr>
      <w:r w:rsidRPr="000E0A06">
        <w:rPr>
          <w:rFonts w:cs="Miriam" w:hint="cs"/>
          <w:u w:val="single"/>
          <w:rtl/>
        </w:rPr>
        <w:t>טיעוני ההגנה לעונש</w:t>
      </w:r>
    </w:p>
    <w:p w14:paraId="0C11A72F" w14:textId="77777777" w:rsidR="00D0309E" w:rsidRPr="007B411C" w:rsidRDefault="00D0309E" w:rsidP="00D0309E">
      <w:pPr>
        <w:spacing w:line="360" w:lineRule="auto"/>
        <w:jc w:val="both"/>
        <w:rPr>
          <w:rFonts w:cs="Miriam"/>
          <w:rtl/>
        </w:rPr>
      </w:pPr>
    </w:p>
    <w:p w14:paraId="1C477F5B" w14:textId="77777777" w:rsidR="00D0309E" w:rsidRDefault="00D0309E" w:rsidP="00D0309E">
      <w:pPr>
        <w:spacing w:line="360" w:lineRule="auto"/>
        <w:jc w:val="both"/>
        <w:rPr>
          <w:rtl/>
        </w:rPr>
      </w:pPr>
      <w:r>
        <w:rPr>
          <w:rFonts w:hint="cs"/>
          <w:rtl/>
        </w:rPr>
        <w:t>16.</w:t>
      </w:r>
      <w:r>
        <w:rPr>
          <w:rFonts w:hint="cs"/>
          <w:rtl/>
        </w:rPr>
        <w:tab/>
        <w:t>בטיעוניו לעונש בפניי, טען ב"כ הנאשם כי העבירה שבפנינו היא, אומנם, חמורה. אולם, חומרת העבירה היא אך נתון אחד מיני רבים שעל בית המשפט לשקול בעת גזירת דינו של נאשם.</w:t>
      </w:r>
    </w:p>
    <w:p w14:paraId="7DED9242" w14:textId="77777777" w:rsidR="00D0309E" w:rsidRDefault="00D0309E" w:rsidP="00D0309E">
      <w:pPr>
        <w:spacing w:line="360" w:lineRule="auto"/>
        <w:jc w:val="both"/>
        <w:rPr>
          <w:rtl/>
        </w:rPr>
      </w:pPr>
    </w:p>
    <w:p w14:paraId="1E10E3C4" w14:textId="77777777" w:rsidR="00D0309E" w:rsidRDefault="00D0309E" w:rsidP="00D0309E">
      <w:pPr>
        <w:spacing w:line="360" w:lineRule="auto"/>
        <w:jc w:val="both"/>
        <w:rPr>
          <w:rtl/>
        </w:rPr>
      </w:pPr>
      <w:r>
        <w:rPr>
          <w:rFonts w:hint="cs"/>
          <w:rtl/>
        </w:rPr>
        <w:t>17.</w:t>
      </w:r>
      <w:r>
        <w:rPr>
          <w:rFonts w:hint="cs"/>
          <w:rtl/>
        </w:rPr>
        <w:tab/>
        <w:t>אשר לנסיבות ביצוע העבירה, נטען על ידי הסנגור, כי אין המדובר בנסיבות המצויות ברף גבוה של חומרה, זאת בעיקר בהעדר תימוכין לסכסוך כלשהו  שהביא לנשיאת הנשק, מה גם שהנאשם לא עשה כל שימוש בו. ב"כ הנאשם טען, כי לביצוע העבירה לא קדם כל תכנון וכי מדובר בעבירה שבוצעה באופן ספונטני. בנקודה זו מפנה הסנגור  לדבריו של הנאשם בפני קצינת המבחן, לפיהם נשא את האקדח במטרה להשיג תחושת ריגוש ולהרשים את האחר. יודגש כי דברים אלו חורגים, כאמור, מהמסכת העובדתית העולה מכתב האישום המתוקן. עוד ציין הסנגור, כי הנשק נתפס על ידי המשטרה ולא הועבר לידיים אחרות.</w:t>
      </w:r>
    </w:p>
    <w:p w14:paraId="08FE9E5D" w14:textId="77777777" w:rsidR="00D0309E" w:rsidRDefault="00D0309E" w:rsidP="00D0309E">
      <w:pPr>
        <w:spacing w:line="360" w:lineRule="auto"/>
        <w:jc w:val="both"/>
        <w:rPr>
          <w:rtl/>
        </w:rPr>
      </w:pPr>
    </w:p>
    <w:p w14:paraId="2B0E0631" w14:textId="77777777" w:rsidR="00D0309E" w:rsidRDefault="00D0309E" w:rsidP="00D0309E">
      <w:pPr>
        <w:spacing w:line="360" w:lineRule="auto"/>
        <w:jc w:val="both"/>
        <w:rPr>
          <w:rtl/>
        </w:rPr>
      </w:pPr>
      <w:r>
        <w:rPr>
          <w:rFonts w:hint="cs"/>
          <w:rtl/>
        </w:rPr>
        <w:t>18.</w:t>
      </w:r>
      <w:r>
        <w:rPr>
          <w:rFonts w:hint="cs"/>
          <w:rtl/>
        </w:rPr>
        <w:tab/>
        <w:t>באשר לנסיבות שאינן קשורות בביצוע העבירה, ציין הסנגור את נסיבותיו האישיות והמשפחתיות של הנאשם, כפי שהן עולות מתסקיר שירות המבחן. הסנגור הדגיש את הודאת הנאשם בהזדמנות הראשונה כבר במשטרה, וזאת לצד לקיחת האחריות על ידו והבעת החרטה. כן נטען, כי הנאשם נאלץ לפרנס את משפחתו בעקבות פטירת אביו בגיל 45, אשר הסבה טראומה לנאשם, כמו גם פטירת אחיו הבכור לאחר מכן. נטען, כי הנאשם הקים תא משפחתי ותפקד באורח נורמטיבי עד לביצוע העבירה שבפנינו. כן ציין הסנגור, כי הנאשם סובל מצליעה  לאחר שעבר סדרת ניתוחים בגבו, ובד בבד ביקש להתחשב בכך שהנאשם צפוי לעבור ניתוח אורתופדי נוסף בגבו ביום 12.11.18.</w:t>
      </w:r>
    </w:p>
    <w:p w14:paraId="54104650" w14:textId="77777777" w:rsidR="00D0309E" w:rsidRDefault="00D0309E" w:rsidP="00D0309E">
      <w:pPr>
        <w:spacing w:line="360" w:lineRule="auto"/>
        <w:jc w:val="both"/>
        <w:rPr>
          <w:rtl/>
        </w:rPr>
      </w:pPr>
    </w:p>
    <w:p w14:paraId="0F6653F7" w14:textId="77777777" w:rsidR="00D0309E" w:rsidRDefault="00D0309E" w:rsidP="00D0309E">
      <w:pPr>
        <w:spacing w:line="360" w:lineRule="auto"/>
        <w:jc w:val="both"/>
        <w:rPr>
          <w:rtl/>
        </w:rPr>
      </w:pPr>
      <w:r>
        <w:rPr>
          <w:rFonts w:hint="cs"/>
          <w:rtl/>
        </w:rPr>
        <w:t>19.</w:t>
      </w:r>
      <w:r>
        <w:rPr>
          <w:rFonts w:hint="cs"/>
          <w:rtl/>
        </w:rPr>
        <w:tab/>
        <w:t>הסנגור טען כי התסקיר בעניינו של הנאשם הוא תסקיר חיובי, וזאת תוך שהפנה לפסיקה המדגישה את חשיבותו ומעמדו של שירות המבחן (</w:t>
      </w:r>
      <w:r w:rsidRPr="00837CD1">
        <w:rPr>
          <w:rFonts w:cs="Miriam" w:hint="cs"/>
          <w:rtl/>
        </w:rPr>
        <w:t>נ/3</w:t>
      </w:r>
      <w:r>
        <w:rPr>
          <w:rFonts w:hint="cs"/>
          <w:rtl/>
        </w:rPr>
        <w:t xml:space="preserve">). הסנגור טען, כי העובדה שהנאשם מצוי בשלב של בחינה ראשונית של מעשיו צריכה להיזקף לזכותו, שכן מעיד הדבר על סיכויי שיקום משמעותיים. הסנגור ביקש לאמץ את המלצת שירות המבחן, תוך שטען כי שירות המבחן ממליץ על ענישה משולבת הנותנת דעתה למכלול ההיבטים. </w:t>
      </w:r>
    </w:p>
    <w:p w14:paraId="63AFE998" w14:textId="77777777" w:rsidR="00D0309E" w:rsidRDefault="00D0309E" w:rsidP="00D0309E">
      <w:pPr>
        <w:spacing w:line="360" w:lineRule="auto"/>
        <w:jc w:val="both"/>
        <w:rPr>
          <w:rtl/>
        </w:rPr>
      </w:pPr>
    </w:p>
    <w:p w14:paraId="6EA15544" w14:textId="77777777" w:rsidR="00D0309E" w:rsidRDefault="00D0309E" w:rsidP="00D0309E">
      <w:pPr>
        <w:spacing w:line="360" w:lineRule="auto"/>
        <w:jc w:val="both"/>
        <w:rPr>
          <w:rtl/>
        </w:rPr>
      </w:pPr>
      <w:r>
        <w:rPr>
          <w:rFonts w:hint="cs"/>
          <w:rtl/>
        </w:rPr>
        <w:t>20.</w:t>
      </w:r>
      <w:r>
        <w:rPr>
          <w:rFonts w:hint="cs"/>
          <w:rtl/>
        </w:rPr>
        <w:tab/>
        <w:t>הסנגור ביקש לתת את הדעת לקולה לכך שהנאשם היה נתון במעצר של ממש במשך 45 ימים, ומאז שחרורו  בחודש פברואר הוא נתון במעצר באיזוק אלקטרוני.  הסנגור טען, כי האופק השיקומי במקרה דנן מצדיק את אימוץ המלצת שירות המבחן, והוסיף כי הנאשם אף מסכים לכך שתושת עליו תקופה ארוכה יותר של צו מבחן (תקופה של שנה וחצי).</w:t>
      </w:r>
    </w:p>
    <w:p w14:paraId="3E5104DE" w14:textId="77777777" w:rsidR="00D0309E" w:rsidRDefault="00D0309E" w:rsidP="00D0309E">
      <w:pPr>
        <w:spacing w:line="360" w:lineRule="auto"/>
        <w:jc w:val="both"/>
        <w:rPr>
          <w:rtl/>
        </w:rPr>
      </w:pPr>
    </w:p>
    <w:p w14:paraId="45349988" w14:textId="77777777" w:rsidR="00D0309E" w:rsidRDefault="00D0309E" w:rsidP="00D0309E">
      <w:pPr>
        <w:spacing w:line="360" w:lineRule="auto"/>
        <w:jc w:val="both"/>
        <w:rPr>
          <w:rtl/>
        </w:rPr>
      </w:pPr>
      <w:r>
        <w:rPr>
          <w:rFonts w:hint="cs"/>
          <w:rtl/>
        </w:rPr>
        <w:t>21.</w:t>
      </w:r>
      <w:r>
        <w:rPr>
          <w:rFonts w:hint="cs"/>
          <w:rtl/>
        </w:rPr>
        <w:tab/>
        <w:t>לשיטתו של הסנגור, מתחם העונש ההולם בתיק זה כולל בחובו עונש של מאסר בפועל שניתן לרצותו בעבודות שירות. לחילופין, טוען הסנגור כי יש לחרוג בתיק זה, משקולי שיקום, ממתחם העונש ההולם ולהשית על הנאשם מאסר בפועל שירוצה בדרך של עבודות שירות. להמחשת עמדתו לעונש הגיש הסנגור אסופת פסיקה (</w:t>
      </w:r>
      <w:r w:rsidRPr="0099795D">
        <w:rPr>
          <w:rFonts w:cs="Miriam" w:hint="cs"/>
          <w:rtl/>
        </w:rPr>
        <w:t>נ/</w:t>
      </w:r>
      <w:r>
        <w:rPr>
          <w:rFonts w:hint="cs"/>
          <w:rtl/>
        </w:rPr>
        <w:t>4).</w:t>
      </w:r>
    </w:p>
    <w:p w14:paraId="0DF2CAEE" w14:textId="77777777" w:rsidR="00D0309E" w:rsidRDefault="00D0309E" w:rsidP="00D0309E">
      <w:pPr>
        <w:spacing w:line="360" w:lineRule="auto"/>
        <w:jc w:val="both"/>
        <w:rPr>
          <w:rtl/>
        </w:rPr>
      </w:pPr>
    </w:p>
    <w:p w14:paraId="365FBBBE" w14:textId="77777777" w:rsidR="00D0309E" w:rsidRPr="000E0A06" w:rsidRDefault="00D0309E" w:rsidP="00D0309E">
      <w:pPr>
        <w:spacing w:line="360" w:lineRule="auto"/>
        <w:jc w:val="both"/>
        <w:rPr>
          <w:rFonts w:cs="Miriam"/>
          <w:u w:val="single"/>
          <w:rtl/>
        </w:rPr>
      </w:pPr>
      <w:r w:rsidRPr="000E0A06">
        <w:rPr>
          <w:rFonts w:cs="Miriam" w:hint="cs"/>
          <w:u w:val="single"/>
          <w:rtl/>
        </w:rPr>
        <w:t>דבר הנאשם</w:t>
      </w:r>
    </w:p>
    <w:p w14:paraId="11B2331B" w14:textId="77777777" w:rsidR="00D0309E" w:rsidRDefault="00D0309E" w:rsidP="00D0309E">
      <w:pPr>
        <w:spacing w:line="360" w:lineRule="auto"/>
        <w:jc w:val="both"/>
        <w:rPr>
          <w:rFonts w:cs="Miriam"/>
          <w:rtl/>
        </w:rPr>
      </w:pPr>
    </w:p>
    <w:p w14:paraId="7C5F466E" w14:textId="77777777" w:rsidR="00D0309E" w:rsidRDefault="00D0309E" w:rsidP="00D0309E">
      <w:pPr>
        <w:spacing w:line="360" w:lineRule="auto"/>
        <w:jc w:val="both"/>
        <w:rPr>
          <w:rFonts w:cs="Miriam"/>
          <w:rtl/>
        </w:rPr>
      </w:pPr>
      <w:r>
        <w:rPr>
          <w:rFonts w:hint="cs"/>
          <w:rtl/>
        </w:rPr>
        <w:t>22</w:t>
      </w:r>
      <w:r w:rsidRPr="001F1C43">
        <w:rPr>
          <w:rFonts w:hint="cs"/>
          <w:rtl/>
        </w:rPr>
        <w:t>.</w:t>
      </w:r>
      <w:r w:rsidRPr="001F1C43">
        <w:rPr>
          <w:rFonts w:hint="cs"/>
          <w:rtl/>
        </w:rPr>
        <w:tab/>
        <w:t>להלן דברי הנאשם בדיון בפניי</w:t>
      </w:r>
      <w:r>
        <w:rPr>
          <w:rFonts w:hint="cs"/>
          <w:rtl/>
        </w:rPr>
        <w:t>, כלשונם</w:t>
      </w:r>
      <w:r w:rsidRPr="001F1C43">
        <w:rPr>
          <w:rFonts w:hint="cs"/>
          <w:rtl/>
        </w:rPr>
        <w:t>:</w:t>
      </w:r>
      <w:r>
        <w:rPr>
          <w:rFonts w:cs="Miriam" w:hint="cs"/>
          <w:rtl/>
        </w:rPr>
        <w:t xml:space="preserve"> "... </w:t>
      </w:r>
      <w:r w:rsidRPr="001F1C43">
        <w:rPr>
          <w:rFonts w:cs="Miriam"/>
          <w:rtl/>
        </w:rPr>
        <w:t>אני לוקח את האחריות על עצמי. והעונש שבית המשפט יגזור עלי מקובל עלי.  אני במעצר בית, ישבתי בבית עם הילדים, הבנתי את העבירה שעשיתי, ואני משלם את המחיר הזה עם הבית שלי ועם הילדים שלי ואני מקווה שבית  המשפט ייתן לי הזדמנות.  אני בחיים לא אחזור למעשים אלה ולא אחשוב על זה</w:t>
      </w:r>
      <w:r>
        <w:rPr>
          <w:rFonts w:cs="Miriam" w:hint="cs"/>
          <w:rtl/>
        </w:rPr>
        <w:t>".</w:t>
      </w:r>
    </w:p>
    <w:p w14:paraId="6E1DEFEE" w14:textId="77777777" w:rsidR="00D0309E" w:rsidRDefault="00D0309E" w:rsidP="00D0309E">
      <w:pPr>
        <w:spacing w:line="360" w:lineRule="auto"/>
        <w:jc w:val="both"/>
        <w:rPr>
          <w:rFonts w:cs="Miriam"/>
          <w:rtl/>
        </w:rPr>
      </w:pPr>
    </w:p>
    <w:p w14:paraId="0D8A74FA" w14:textId="77777777" w:rsidR="00D0309E" w:rsidRPr="000E0A06" w:rsidRDefault="00D0309E" w:rsidP="00D0309E">
      <w:pPr>
        <w:spacing w:line="360" w:lineRule="auto"/>
        <w:jc w:val="both"/>
        <w:rPr>
          <w:rFonts w:cs="Miriam"/>
          <w:u w:val="single"/>
          <w:rtl/>
        </w:rPr>
      </w:pPr>
      <w:r w:rsidRPr="000E0A06">
        <w:rPr>
          <w:rFonts w:cs="Miriam" w:hint="cs"/>
          <w:u w:val="single"/>
          <w:rtl/>
        </w:rPr>
        <w:t>דיון והכרעה</w:t>
      </w:r>
    </w:p>
    <w:p w14:paraId="13B64382" w14:textId="77777777" w:rsidR="00D0309E" w:rsidRDefault="00D0309E" w:rsidP="00D0309E">
      <w:pPr>
        <w:spacing w:line="360" w:lineRule="auto"/>
        <w:jc w:val="both"/>
        <w:rPr>
          <w:rFonts w:cs="Miriam"/>
          <w:rtl/>
        </w:rPr>
      </w:pPr>
    </w:p>
    <w:p w14:paraId="52489DE7" w14:textId="77777777" w:rsidR="00D0309E" w:rsidRDefault="00D0309E" w:rsidP="00D0309E">
      <w:pPr>
        <w:spacing w:line="360" w:lineRule="auto"/>
        <w:jc w:val="both"/>
        <w:rPr>
          <w:rtl/>
        </w:rPr>
      </w:pPr>
      <w:r>
        <w:rPr>
          <w:rFonts w:hint="cs"/>
          <w:rtl/>
        </w:rPr>
        <w:t>23</w:t>
      </w:r>
      <w:r w:rsidRPr="001F1C43">
        <w:rPr>
          <w:rFonts w:hint="cs"/>
          <w:rtl/>
        </w:rPr>
        <w:t>.</w:t>
      </w:r>
      <w:r>
        <w:rPr>
          <w:rFonts w:cs="Miriam"/>
          <w:rtl/>
        </w:rPr>
        <w:tab/>
      </w:r>
      <w:r>
        <w:rPr>
          <w:rFonts w:hint="eastAsia"/>
          <w:rtl/>
        </w:rPr>
        <w:t>תיקון</w:t>
      </w:r>
      <w:r>
        <w:rPr>
          <w:rtl/>
        </w:rPr>
        <w:t xml:space="preserve"> </w:t>
      </w:r>
      <w:r>
        <w:rPr>
          <w:rFonts w:hint="eastAsia"/>
          <w:rtl/>
        </w:rPr>
        <w:t>מס</w:t>
      </w:r>
      <w:r>
        <w:rPr>
          <w:rtl/>
        </w:rPr>
        <w:t xml:space="preserve">' 113 </w:t>
      </w:r>
      <w:r>
        <w:rPr>
          <w:rFonts w:hint="cs"/>
          <w:rtl/>
        </w:rPr>
        <w:t>ל</w:t>
      </w:r>
      <w:hyperlink r:id="rId21" w:history="1">
        <w:r w:rsidR="00F81156" w:rsidRPr="00F81156">
          <w:rPr>
            <w:color w:val="0000FF"/>
            <w:u w:val="single"/>
            <w:rtl/>
          </w:rPr>
          <w:t>חוק העונשין</w:t>
        </w:r>
      </w:hyperlink>
      <w:r>
        <w:rPr>
          <w:rFonts w:hint="cs"/>
          <w:rtl/>
        </w:rPr>
        <w:t xml:space="preserve"> </w:t>
      </w:r>
      <w:r>
        <w:rPr>
          <w:rFonts w:hint="eastAsia"/>
          <w:rtl/>
        </w:rPr>
        <w:t>מתווה</w:t>
      </w:r>
      <w:r>
        <w:rPr>
          <w:rtl/>
        </w:rPr>
        <w:t xml:space="preserve"> </w:t>
      </w:r>
      <w:r>
        <w:rPr>
          <w:rFonts w:hint="eastAsia"/>
          <w:rtl/>
        </w:rPr>
        <w:t>את</w:t>
      </w:r>
      <w:r>
        <w:rPr>
          <w:rtl/>
        </w:rPr>
        <w:t xml:space="preserve"> </w:t>
      </w:r>
      <w:r>
        <w:rPr>
          <w:rFonts w:hint="eastAsia"/>
          <w:rtl/>
        </w:rPr>
        <w:t>העיקרון</w:t>
      </w:r>
      <w:r>
        <w:rPr>
          <w:rtl/>
        </w:rPr>
        <w:t xml:space="preserve"> </w:t>
      </w:r>
      <w:r>
        <w:rPr>
          <w:rFonts w:hint="eastAsia"/>
          <w:rtl/>
        </w:rPr>
        <w:t>המנחה</w:t>
      </w:r>
      <w:r>
        <w:rPr>
          <w:rtl/>
        </w:rPr>
        <w:t xml:space="preserve"> </w:t>
      </w:r>
      <w:r>
        <w:rPr>
          <w:rFonts w:hint="eastAsia"/>
          <w:rtl/>
        </w:rPr>
        <w:t>את</w:t>
      </w:r>
      <w:r>
        <w:rPr>
          <w:rtl/>
        </w:rPr>
        <w:t xml:space="preserve"> </w:t>
      </w:r>
      <w:r>
        <w:rPr>
          <w:rFonts w:hint="eastAsia"/>
          <w:rtl/>
        </w:rPr>
        <w:t>ביהמ</w:t>
      </w:r>
      <w:r>
        <w:rPr>
          <w:rtl/>
        </w:rPr>
        <w:t>"</w:t>
      </w:r>
      <w:r>
        <w:rPr>
          <w:rFonts w:hint="eastAsia"/>
          <w:rtl/>
        </w:rPr>
        <w:t>ש</w:t>
      </w:r>
      <w:r>
        <w:rPr>
          <w:rtl/>
        </w:rPr>
        <w:t xml:space="preserve"> </w:t>
      </w:r>
      <w:r>
        <w:rPr>
          <w:rFonts w:hint="eastAsia"/>
          <w:rtl/>
        </w:rPr>
        <w:t>בבואו</w:t>
      </w:r>
      <w:r>
        <w:rPr>
          <w:rtl/>
        </w:rPr>
        <w:t xml:space="preserve"> </w:t>
      </w:r>
      <w:r>
        <w:rPr>
          <w:rFonts w:hint="eastAsia"/>
          <w:rtl/>
        </w:rPr>
        <w:t>לגזור</w:t>
      </w:r>
      <w:r>
        <w:rPr>
          <w:rtl/>
        </w:rPr>
        <w:t xml:space="preserve"> </w:t>
      </w:r>
      <w:r>
        <w:rPr>
          <w:rFonts w:hint="eastAsia"/>
          <w:rtl/>
        </w:rPr>
        <w:t>דינו</w:t>
      </w:r>
      <w:r>
        <w:rPr>
          <w:rtl/>
        </w:rPr>
        <w:t xml:space="preserve"> </w:t>
      </w:r>
      <w:r>
        <w:rPr>
          <w:rFonts w:hint="eastAsia"/>
          <w:rtl/>
        </w:rPr>
        <w:t>של</w:t>
      </w:r>
      <w:r>
        <w:rPr>
          <w:rtl/>
        </w:rPr>
        <w:t xml:space="preserve"> </w:t>
      </w:r>
      <w:r>
        <w:rPr>
          <w:rFonts w:hint="eastAsia"/>
          <w:rtl/>
        </w:rPr>
        <w:t>נאשם</w:t>
      </w:r>
      <w:r>
        <w:rPr>
          <w:rtl/>
        </w:rPr>
        <w:t xml:space="preserve">, </w:t>
      </w:r>
      <w:r>
        <w:rPr>
          <w:rFonts w:hint="eastAsia"/>
          <w:rtl/>
        </w:rPr>
        <w:t>שהינו</w:t>
      </w:r>
      <w:r>
        <w:rPr>
          <w:rtl/>
        </w:rPr>
        <w:t xml:space="preserve">, </w:t>
      </w:r>
      <w:r>
        <w:rPr>
          <w:rFonts w:hint="eastAsia"/>
          <w:rtl/>
        </w:rPr>
        <w:t>לפי</w:t>
      </w:r>
      <w:r>
        <w:rPr>
          <w:rtl/>
        </w:rPr>
        <w:t xml:space="preserve"> </w:t>
      </w:r>
      <w:hyperlink r:id="rId22" w:history="1">
        <w:r w:rsidR="003A1F14" w:rsidRPr="003A1F14">
          <w:rPr>
            <w:color w:val="0000FF"/>
            <w:u w:val="single"/>
            <w:rtl/>
          </w:rPr>
          <w:t>סעיף 40ב</w:t>
        </w:r>
      </w:hyperlink>
      <w:r>
        <w:rPr>
          <w:rtl/>
        </w:rPr>
        <w:t xml:space="preserve"> </w:t>
      </w:r>
      <w:r>
        <w:rPr>
          <w:rFonts w:hint="eastAsia"/>
          <w:rtl/>
        </w:rPr>
        <w:t>לחוק</w:t>
      </w:r>
      <w:r>
        <w:rPr>
          <w:rtl/>
        </w:rPr>
        <w:t xml:space="preserve"> </w:t>
      </w:r>
      <w:r>
        <w:rPr>
          <w:rFonts w:hint="eastAsia"/>
          <w:rtl/>
        </w:rPr>
        <w:t>העונשין</w:t>
      </w:r>
      <w:r>
        <w:rPr>
          <w:rtl/>
        </w:rPr>
        <w:t xml:space="preserve">, </w:t>
      </w:r>
      <w:r>
        <w:rPr>
          <w:rFonts w:hint="eastAsia"/>
          <w:rtl/>
        </w:rPr>
        <w:t>עיקרון</w:t>
      </w:r>
      <w:r>
        <w:rPr>
          <w:rtl/>
        </w:rPr>
        <w:t xml:space="preserve"> </w:t>
      </w:r>
      <w:r>
        <w:rPr>
          <w:rFonts w:hint="eastAsia"/>
          <w:rtl/>
        </w:rPr>
        <w:t>ההלימה</w:t>
      </w:r>
      <w:r>
        <w:rPr>
          <w:rtl/>
        </w:rPr>
        <w:t xml:space="preserve">, </w:t>
      </w:r>
      <w:r>
        <w:rPr>
          <w:rFonts w:hint="eastAsia"/>
          <w:rtl/>
        </w:rPr>
        <w:t>לפיו</w:t>
      </w:r>
      <w:r>
        <w:rPr>
          <w:rtl/>
        </w:rPr>
        <w:t xml:space="preserve"> </w:t>
      </w:r>
      <w:r>
        <w:rPr>
          <w:rFonts w:hint="eastAsia"/>
          <w:rtl/>
        </w:rPr>
        <w:t>צריך</w:t>
      </w:r>
      <w:r>
        <w:rPr>
          <w:rtl/>
        </w:rPr>
        <w:t xml:space="preserve"> </w:t>
      </w:r>
      <w:r>
        <w:rPr>
          <w:rFonts w:hint="eastAsia"/>
          <w:rtl/>
        </w:rPr>
        <w:t>להתקיים</w:t>
      </w:r>
      <w:r>
        <w:rPr>
          <w:rtl/>
        </w:rPr>
        <w:t xml:space="preserve"> </w:t>
      </w:r>
      <w:r>
        <w:rPr>
          <w:rFonts w:hint="eastAsia"/>
          <w:rtl/>
        </w:rPr>
        <w:t>יחס</w:t>
      </w:r>
      <w:r>
        <w:rPr>
          <w:rtl/>
        </w:rPr>
        <w:t xml:space="preserve"> </w:t>
      </w:r>
      <w:r>
        <w:rPr>
          <w:rFonts w:hint="eastAsia"/>
          <w:rtl/>
        </w:rPr>
        <w:t>הולם</w:t>
      </w:r>
      <w:r>
        <w:rPr>
          <w:rtl/>
        </w:rPr>
        <w:t xml:space="preserve"> </w:t>
      </w:r>
      <w:r>
        <w:rPr>
          <w:rFonts w:hint="eastAsia"/>
          <w:rtl/>
        </w:rPr>
        <w:t>בין</w:t>
      </w:r>
      <w:r>
        <w:rPr>
          <w:rtl/>
        </w:rPr>
        <w:t xml:space="preserve"> </w:t>
      </w:r>
      <w:r>
        <w:rPr>
          <w:rFonts w:hint="eastAsia"/>
          <w:rtl/>
        </w:rPr>
        <w:t>חומרת</w:t>
      </w:r>
      <w:r>
        <w:rPr>
          <w:rtl/>
        </w:rPr>
        <w:t xml:space="preserve"> </w:t>
      </w:r>
      <w:r>
        <w:rPr>
          <w:rFonts w:hint="eastAsia"/>
          <w:rtl/>
        </w:rPr>
        <w:t>מעשה</w:t>
      </w:r>
      <w:r>
        <w:rPr>
          <w:rtl/>
        </w:rPr>
        <w:t xml:space="preserve"> </w:t>
      </w:r>
      <w:r>
        <w:rPr>
          <w:rFonts w:hint="eastAsia"/>
          <w:rtl/>
        </w:rPr>
        <w:t>העבירה</w:t>
      </w:r>
      <w:r>
        <w:rPr>
          <w:rtl/>
        </w:rPr>
        <w:t xml:space="preserve"> </w:t>
      </w:r>
      <w:r>
        <w:rPr>
          <w:rFonts w:hint="eastAsia"/>
          <w:rtl/>
        </w:rPr>
        <w:t>בנסיבותיו</w:t>
      </w:r>
      <w:r>
        <w:rPr>
          <w:rtl/>
        </w:rPr>
        <w:t xml:space="preserve"> </w:t>
      </w:r>
      <w:r>
        <w:rPr>
          <w:rFonts w:hint="eastAsia"/>
          <w:rtl/>
        </w:rPr>
        <w:t>ומידת</w:t>
      </w:r>
      <w:r>
        <w:rPr>
          <w:rtl/>
        </w:rPr>
        <w:t xml:space="preserve"> </w:t>
      </w:r>
      <w:r>
        <w:rPr>
          <w:rFonts w:hint="eastAsia"/>
          <w:rtl/>
        </w:rPr>
        <w:t>אשמו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לבין</w:t>
      </w:r>
      <w:r>
        <w:rPr>
          <w:rtl/>
        </w:rPr>
        <w:t xml:space="preserve"> </w:t>
      </w:r>
      <w:r>
        <w:rPr>
          <w:rFonts w:hint="eastAsia"/>
          <w:rtl/>
        </w:rPr>
        <w:t>סוג</w:t>
      </w:r>
      <w:r>
        <w:rPr>
          <w:rtl/>
        </w:rPr>
        <w:t xml:space="preserve"> </w:t>
      </w:r>
      <w:r>
        <w:rPr>
          <w:rFonts w:hint="eastAsia"/>
          <w:rtl/>
        </w:rPr>
        <w:t>ומידת</w:t>
      </w:r>
      <w:r>
        <w:rPr>
          <w:rtl/>
        </w:rPr>
        <w:t xml:space="preserve"> </w:t>
      </w:r>
      <w:r>
        <w:rPr>
          <w:rFonts w:hint="eastAsia"/>
          <w:rtl/>
        </w:rPr>
        <w:t>העונש</w:t>
      </w:r>
      <w:r>
        <w:rPr>
          <w:rtl/>
        </w:rPr>
        <w:t xml:space="preserve"> </w:t>
      </w:r>
      <w:r>
        <w:rPr>
          <w:rFonts w:hint="eastAsia"/>
          <w:rtl/>
        </w:rPr>
        <w:t>המוטל</w:t>
      </w:r>
      <w:r>
        <w:rPr>
          <w:rtl/>
        </w:rPr>
        <w:t xml:space="preserve"> </w:t>
      </w:r>
      <w:r>
        <w:rPr>
          <w:rFonts w:hint="eastAsia"/>
          <w:rtl/>
        </w:rPr>
        <w:t>עליו</w:t>
      </w:r>
      <w:r>
        <w:rPr>
          <w:rtl/>
        </w:rPr>
        <w:t xml:space="preserve">. </w:t>
      </w:r>
      <w:r>
        <w:rPr>
          <w:rFonts w:hint="eastAsia"/>
          <w:rtl/>
        </w:rPr>
        <w:t>יחס</w:t>
      </w:r>
      <w:r>
        <w:rPr>
          <w:rtl/>
        </w:rPr>
        <w:t xml:space="preserve"> </w:t>
      </w:r>
      <w:r>
        <w:rPr>
          <w:rFonts w:hint="eastAsia"/>
          <w:rtl/>
        </w:rPr>
        <w:t>זה</w:t>
      </w:r>
      <w:r>
        <w:rPr>
          <w:rtl/>
        </w:rPr>
        <w:t xml:space="preserve"> </w:t>
      </w:r>
      <w:r>
        <w:rPr>
          <w:rFonts w:hint="eastAsia"/>
          <w:rtl/>
        </w:rPr>
        <w:t>מבטא</w:t>
      </w:r>
      <w:r>
        <w:rPr>
          <w:rtl/>
        </w:rPr>
        <w:t xml:space="preserve">, </w:t>
      </w:r>
      <w:r>
        <w:rPr>
          <w:rFonts w:hint="eastAsia"/>
          <w:rtl/>
        </w:rPr>
        <w:t>למעשה</w:t>
      </w:r>
      <w:r>
        <w:rPr>
          <w:rtl/>
        </w:rPr>
        <w:t xml:space="preserve">, </w:t>
      </w:r>
      <w:r>
        <w:rPr>
          <w:rFonts w:hint="eastAsia"/>
          <w:rtl/>
        </w:rPr>
        <w:t>את</w:t>
      </w:r>
      <w:r>
        <w:rPr>
          <w:rtl/>
        </w:rPr>
        <w:t xml:space="preserve"> </w:t>
      </w:r>
      <w:r>
        <w:rPr>
          <w:rFonts w:hint="eastAsia"/>
          <w:rtl/>
        </w:rPr>
        <w:t>עיקרון</w:t>
      </w:r>
      <w:r>
        <w:rPr>
          <w:rtl/>
        </w:rPr>
        <w:t xml:space="preserve"> </w:t>
      </w:r>
      <w:r>
        <w:rPr>
          <w:rFonts w:hint="eastAsia"/>
          <w:rtl/>
        </w:rPr>
        <w:t>הגמול</w:t>
      </w:r>
      <w:r>
        <w:rPr>
          <w:rtl/>
        </w:rPr>
        <w:t xml:space="preserve"> (</w:t>
      </w:r>
      <w:r>
        <w:rPr>
          <w:rFonts w:hint="eastAsia"/>
          <w:rtl/>
        </w:rPr>
        <w:t>ראו</w:t>
      </w:r>
      <w:r>
        <w:rPr>
          <w:rtl/>
        </w:rPr>
        <w:t xml:space="preserve">: </w:t>
      </w:r>
      <w:hyperlink r:id="rId23" w:history="1">
        <w:r w:rsidR="00F81156" w:rsidRPr="00F81156">
          <w:rPr>
            <w:color w:val="0000FF"/>
            <w:u w:val="single"/>
            <w:rtl/>
          </w:rPr>
          <w:t>ע.פ. 1523/10</w:t>
        </w:r>
      </w:hyperlink>
      <w:r>
        <w:rPr>
          <w:rtl/>
        </w:rPr>
        <w:t xml:space="preserve"> </w:t>
      </w:r>
      <w:r w:rsidRPr="00C07930">
        <w:rPr>
          <w:rFonts w:cs="Miriam" w:hint="eastAsia"/>
          <w:rtl/>
        </w:rPr>
        <w:t>פלוני</w:t>
      </w:r>
      <w:r w:rsidRPr="00C07930">
        <w:rPr>
          <w:rFonts w:cs="Miriam"/>
          <w:rtl/>
        </w:rPr>
        <w:t xml:space="preserve"> </w:t>
      </w:r>
      <w:r w:rsidRPr="00C07930">
        <w:rPr>
          <w:rFonts w:cs="Miriam" w:hint="eastAsia"/>
          <w:rtl/>
        </w:rPr>
        <w:t>נ</w:t>
      </w:r>
      <w:r w:rsidRPr="00C07930">
        <w:rPr>
          <w:rFonts w:cs="Miriam"/>
          <w:rtl/>
        </w:rPr>
        <w:t xml:space="preserve">' </w:t>
      </w:r>
      <w:r w:rsidRPr="00C07930">
        <w:rPr>
          <w:rFonts w:cs="Miriam" w:hint="eastAsia"/>
          <w:rtl/>
        </w:rPr>
        <w:t>מדינת</w:t>
      </w:r>
      <w:r w:rsidRPr="00C07930">
        <w:rPr>
          <w:rFonts w:cs="Miriam"/>
          <w:rtl/>
        </w:rPr>
        <w:t xml:space="preserve"> </w:t>
      </w:r>
      <w:r w:rsidRPr="00C07930">
        <w:rPr>
          <w:rFonts w:cs="Miriam" w:hint="eastAsia"/>
          <w:rtl/>
        </w:rPr>
        <w:t>ישראל</w:t>
      </w:r>
      <w:r w:rsidRPr="00C07930">
        <w:rPr>
          <w:rFonts w:cs="Miriam"/>
          <w:rtl/>
        </w:rPr>
        <w:t>,</w:t>
      </w:r>
      <w:r>
        <w:rPr>
          <w:rtl/>
        </w:rPr>
        <w:t xml:space="preserve"> 18/4/12). </w:t>
      </w:r>
      <w:hyperlink r:id="rId24" w:history="1">
        <w:r w:rsidR="003A1F14" w:rsidRPr="003A1F14">
          <w:rPr>
            <w:color w:val="0000FF"/>
            <w:u w:val="single"/>
            <w:rtl/>
          </w:rPr>
          <w:t>סעיף 40ג</w:t>
        </w:r>
      </w:hyperlink>
      <w:r>
        <w:rPr>
          <w:rtl/>
        </w:rPr>
        <w:t xml:space="preserve"> </w:t>
      </w:r>
      <w:r>
        <w:rPr>
          <w:rFonts w:hint="eastAsia"/>
          <w:rtl/>
        </w:rPr>
        <w:t>ל</w:t>
      </w:r>
      <w:hyperlink r:id="rId25" w:history="1">
        <w:r w:rsidR="00F81156" w:rsidRPr="00F81156">
          <w:rPr>
            <w:color w:val="0000FF"/>
            <w:u w:val="single"/>
            <w:rtl/>
          </w:rPr>
          <w:t>חוק העונשין</w:t>
        </w:r>
      </w:hyperlink>
      <w:r>
        <w:rPr>
          <w:rtl/>
        </w:rPr>
        <w:t xml:space="preserve"> </w:t>
      </w:r>
      <w:r>
        <w:rPr>
          <w:rFonts w:hint="eastAsia"/>
          <w:rtl/>
        </w:rPr>
        <w:t>קובע</w:t>
      </w:r>
      <w:r>
        <w:rPr>
          <w:rtl/>
        </w:rPr>
        <w:t xml:space="preserve">, </w:t>
      </w:r>
      <w:r>
        <w:rPr>
          <w:rFonts w:hint="eastAsia"/>
          <w:rtl/>
        </w:rPr>
        <w:t>כי</w:t>
      </w:r>
      <w:r>
        <w:rPr>
          <w:rtl/>
        </w:rPr>
        <w:t xml:space="preserve"> </w:t>
      </w:r>
      <w:r>
        <w:rPr>
          <w:rFonts w:hint="eastAsia"/>
          <w:rtl/>
        </w:rPr>
        <w:t>על</w:t>
      </w:r>
      <w:r>
        <w:rPr>
          <w:rtl/>
        </w:rPr>
        <w:t xml:space="preserve"> </w:t>
      </w:r>
      <w:r>
        <w:rPr>
          <w:rFonts w:hint="eastAsia"/>
          <w:rtl/>
        </w:rPr>
        <w:t>ביהמ</w:t>
      </w:r>
      <w:r>
        <w:rPr>
          <w:rtl/>
        </w:rPr>
        <w:t>"</w:t>
      </w:r>
      <w:r>
        <w:rPr>
          <w:rFonts w:hint="eastAsia"/>
          <w:rtl/>
        </w:rPr>
        <w:t>ש</w:t>
      </w:r>
      <w:r>
        <w:rPr>
          <w:rtl/>
        </w:rPr>
        <w:t xml:space="preserve"> </w:t>
      </w:r>
      <w:r>
        <w:rPr>
          <w:rFonts w:hint="eastAsia"/>
          <w:rtl/>
        </w:rPr>
        <w:t>לקבוע</w:t>
      </w:r>
      <w:r>
        <w:rPr>
          <w:rtl/>
        </w:rPr>
        <w:t xml:space="preserve"> </w:t>
      </w:r>
      <w:r>
        <w:rPr>
          <w:rFonts w:hint="eastAsia"/>
          <w:rtl/>
        </w:rPr>
        <w:t>מתחם</w:t>
      </w:r>
      <w:r>
        <w:rPr>
          <w:rtl/>
        </w:rPr>
        <w:t xml:space="preserve"> </w:t>
      </w:r>
      <w:r>
        <w:rPr>
          <w:rFonts w:hint="eastAsia"/>
          <w:rtl/>
        </w:rPr>
        <w:t>עונש</w:t>
      </w:r>
      <w:r>
        <w:rPr>
          <w:rtl/>
        </w:rPr>
        <w:t xml:space="preserve"> </w:t>
      </w:r>
      <w:r>
        <w:rPr>
          <w:rFonts w:hint="eastAsia"/>
          <w:rtl/>
        </w:rPr>
        <w:t>הולם</w:t>
      </w:r>
      <w:r>
        <w:rPr>
          <w:rtl/>
        </w:rPr>
        <w:t xml:space="preserve"> </w:t>
      </w:r>
      <w:r>
        <w:rPr>
          <w:rFonts w:hint="eastAsia"/>
          <w:rtl/>
        </w:rPr>
        <w:t>למעשה</w:t>
      </w:r>
      <w:r>
        <w:rPr>
          <w:rtl/>
        </w:rPr>
        <w:t xml:space="preserve"> </w:t>
      </w:r>
      <w:r>
        <w:rPr>
          <w:rFonts w:hint="eastAsia"/>
          <w:rtl/>
        </w:rPr>
        <w:t>העבירה</w:t>
      </w:r>
      <w:r>
        <w:rPr>
          <w:rtl/>
        </w:rPr>
        <w:t xml:space="preserve"> </w:t>
      </w:r>
      <w:r>
        <w:rPr>
          <w:rFonts w:hint="eastAsia"/>
          <w:rtl/>
        </w:rPr>
        <w:t>שביצע</w:t>
      </w:r>
      <w:r>
        <w:rPr>
          <w:rtl/>
        </w:rPr>
        <w:t xml:space="preserve"> </w:t>
      </w:r>
      <w:r>
        <w:rPr>
          <w:rFonts w:hint="eastAsia"/>
          <w:rtl/>
        </w:rPr>
        <w:t>הנאשם</w:t>
      </w:r>
      <w:r>
        <w:rPr>
          <w:rtl/>
        </w:rPr>
        <w:t xml:space="preserve">, </w:t>
      </w:r>
      <w:r>
        <w:rPr>
          <w:rFonts w:hint="eastAsia"/>
          <w:rtl/>
        </w:rPr>
        <w:t>בהתאם</w:t>
      </w:r>
      <w:r>
        <w:rPr>
          <w:rtl/>
        </w:rPr>
        <w:t xml:space="preserve"> </w:t>
      </w:r>
      <w:r>
        <w:rPr>
          <w:rFonts w:hint="eastAsia"/>
          <w:rtl/>
        </w:rPr>
        <w:t>לעיקרון</w:t>
      </w:r>
      <w:r>
        <w:rPr>
          <w:rtl/>
        </w:rPr>
        <w:t xml:space="preserve"> </w:t>
      </w:r>
      <w:r>
        <w:rPr>
          <w:rFonts w:hint="eastAsia"/>
          <w:rtl/>
        </w:rPr>
        <w:t>המנחה</w:t>
      </w:r>
      <w:r>
        <w:rPr>
          <w:rtl/>
        </w:rPr>
        <w:t xml:space="preserve"> </w:t>
      </w:r>
      <w:r>
        <w:rPr>
          <w:rFonts w:hint="eastAsia"/>
          <w:rtl/>
        </w:rPr>
        <w:t>הנ</w:t>
      </w:r>
      <w:r>
        <w:rPr>
          <w:rtl/>
        </w:rPr>
        <w:t>"</w:t>
      </w:r>
      <w:r>
        <w:rPr>
          <w:rFonts w:hint="eastAsia"/>
          <w:rtl/>
        </w:rPr>
        <w:t>ל</w:t>
      </w:r>
      <w:r>
        <w:rPr>
          <w:rtl/>
        </w:rPr>
        <w:t xml:space="preserve">. </w:t>
      </w:r>
      <w:r>
        <w:rPr>
          <w:rFonts w:hint="eastAsia"/>
          <w:rtl/>
        </w:rPr>
        <w:t>לשם</w:t>
      </w:r>
      <w:r>
        <w:rPr>
          <w:rtl/>
        </w:rPr>
        <w:t xml:space="preserve"> </w:t>
      </w:r>
      <w:r>
        <w:rPr>
          <w:rFonts w:hint="eastAsia"/>
          <w:rtl/>
        </w:rPr>
        <w:t>כך</w:t>
      </w:r>
      <w:r>
        <w:rPr>
          <w:rtl/>
        </w:rPr>
        <w:t xml:space="preserve">, </w:t>
      </w:r>
      <w:r>
        <w:rPr>
          <w:rFonts w:hint="eastAsia"/>
          <w:rtl/>
        </w:rPr>
        <w:t>יתחשב</w:t>
      </w:r>
      <w:r>
        <w:rPr>
          <w:rtl/>
        </w:rPr>
        <w:t xml:space="preserve"> </w:t>
      </w:r>
      <w:r>
        <w:rPr>
          <w:rFonts w:hint="eastAsia"/>
          <w:rtl/>
        </w:rPr>
        <w:t>ביהמ</w:t>
      </w:r>
      <w:r>
        <w:rPr>
          <w:rtl/>
        </w:rPr>
        <w:t>"</w:t>
      </w:r>
      <w:r>
        <w:rPr>
          <w:rFonts w:hint="eastAsia"/>
          <w:rtl/>
        </w:rPr>
        <w:t>ש</w:t>
      </w:r>
      <w:r>
        <w:rPr>
          <w:rtl/>
        </w:rPr>
        <w:t xml:space="preserve"> </w:t>
      </w:r>
      <w:r>
        <w:rPr>
          <w:rFonts w:hint="eastAsia"/>
          <w:rtl/>
        </w:rPr>
        <w:t>בערך</w:t>
      </w:r>
      <w:r>
        <w:rPr>
          <w:rtl/>
        </w:rPr>
        <w:t xml:space="preserve"> </w:t>
      </w:r>
      <w:r>
        <w:rPr>
          <w:rFonts w:hint="eastAsia"/>
          <w:rtl/>
        </w:rPr>
        <w:t>החברתי</w:t>
      </w:r>
      <w:r>
        <w:rPr>
          <w:rtl/>
        </w:rPr>
        <w:t xml:space="preserve"> </w:t>
      </w:r>
      <w:r>
        <w:rPr>
          <w:rFonts w:hint="eastAsia"/>
          <w:rtl/>
        </w:rPr>
        <w:t>שנפגע</w:t>
      </w:r>
      <w:r>
        <w:rPr>
          <w:rtl/>
        </w:rPr>
        <w:t xml:space="preserve"> </w:t>
      </w:r>
      <w:r>
        <w:rPr>
          <w:rFonts w:hint="eastAsia"/>
          <w:rtl/>
        </w:rPr>
        <w:t>מביצוע</w:t>
      </w:r>
      <w:r>
        <w:rPr>
          <w:rtl/>
        </w:rPr>
        <w:t xml:space="preserve"> </w:t>
      </w:r>
      <w:r>
        <w:rPr>
          <w:rFonts w:hint="eastAsia"/>
          <w:rtl/>
        </w:rPr>
        <w:t>העבירה</w:t>
      </w:r>
      <w:r>
        <w:rPr>
          <w:rtl/>
        </w:rPr>
        <w:t xml:space="preserve">, </w:t>
      </w:r>
      <w:r>
        <w:rPr>
          <w:rFonts w:hint="eastAsia"/>
          <w:rtl/>
        </w:rPr>
        <w:t>במידת</w:t>
      </w:r>
      <w:r>
        <w:rPr>
          <w:rtl/>
        </w:rPr>
        <w:t xml:space="preserve"> </w:t>
      </w:r>
      <w:r>
        <w:rPr>
          <w:rFonts w:hint="eastAsia"/>
          <w:rtl/>
        </w:rPr>
        <w:t>הפגיעה</w:t>
      </w:r>
      <w:r>
        <w:rPr>
          <w:rtl/>
        </w:rPr>
        <w:t xml:space="preserve"> </w:t>
      </w:r>
      <w:r>
        <w:rPr>
          <w:rFonts w:hint="eastAsia"/>
          <w:rtl/>
        </w:rPr>
        <w:t>בו</w:t>
      </w:r>
      <w:r>
        <w:rPr>
          <w:rtl/>
        </w:rPr>
        <w:t xml:space="preserve">, </w:t>
      </w:r>
      <w:r>
        <w:rPr>
          <w:rFonts w:hint="eastAsia"/>
          <w:rtl/>
        </w:rPr>
        <w:t>במדיניות</w:t>
      </w:r>
      <w:r>
        <w:rPr>
          <w:rtl/>
        </w:rPr>
        <w:t xml:space="preserve"> </w:t>
      </w:r>
      <w:r>
        <w:rPr>
          <w:rFonts w:hint="eastAsia"/>
          <w:rtl/>
        </w:rPr>
        <w:t>הענישה</w:t>
      </w:r>
      <w:r>
        <w:rPr>
          <w:rtl/>
        </w:rPr>
        <w:t xml:space="preserve"> </w:t>
      </w:r>
      <w:r>
        <w:rPr>
          <w:rFonts w:hint="eastAsia"/>
          <w:rtl/>
        </w:rPr>
        <w:t>הנהוגה</w:t>
      </w:r>
      <w:r>
        <w:rPr>
          <w:rtl/>
        </w:rPr>
        <w:t xml:space="preserve"> </w:t>
      </w:r>
      <w:r>
        <w:rPr>
          <w:rFonts w:hint="eastAsia"/>
          <w:rtl/>
        </w:rPr>
        <w:t>ובנסיבות</w:t>
      </w:r>
      <w:r>
        <w:rPr>
          <w:rtl/>
        </w:rPr>
        <w:t xml:space="preserve"> </w:t>
      </w:r>
      <w:r>
        <w:rPr>
          <w:rFonts w:hint="eastAsia"/>
          <w:rtl/>
        </w:rPr>
        <w:t>הקשורות</w:t>
      </w:r>
      <w:r>
        <w:rPr>
          <w:rtl/>
        </w:rPr>
        <w:t xml:space="preserve"> </w:t>
      </w:r>
      <w:r>
        <w:rPr>
          <w:rFonts w:hint="eastAsia"/>
          <w:rtl/>
        </w:rPr>
        <w:t>בביצוע</w:t>
      </w:r>
      <w:r>
        <w:rPr>
          <w:rtl/>
        </w:rPr>
        <w:t xml:space="preserve"> </w:t>
      </w:r>
      <w:r>
        <w:rPr>
          <w:rFonts w:hint="eastAsia"/>
          <w:rtl/>
        </w:rPr>
        <w:t>העבירה</w:t>
      </w:r>
      <w:r>
        <w:rPr>
          <w:rtl/>
        </w:rPr>
        <w:t xml:space="preserve">, </w:t>
      </w:r>
      <w:r>
        <w:rPr>
          <w:rFonts w:hint="eastAsia"/>
          <w:rtl/>
        </w:rPr>
        <w:t>הכלולות</w:t>
      </w:r>
      <w:r>
        <w:rPr>
          <w:rtl/>
        </w:rPr>
        <w:t xml:space="preserve"> </w:t>
      </w:r>
      <w:hyperlink r:id="rId26" w:history="1">
        <w:r w:rsidR="003A1F14" w:rsidRPr="003A1F14">
          <w:rPr>
            <w:color w:val="0000FF"/>
            <w:u w:val="single"/>
            <w:rtl/>
          </w:rPr>
          <w:t>בסעיף 40ט</w:t>
        </w:r>
      </w:hyperlink>
      <w:r>
        <w:rPr>
          <w:rtl/>
        </w:rPr>
        <w:t xml:space="preserve"> </w:t>
      </w:r>
      <w:r>
        <w:rPr>
          <w:rFonts w:hint="eastAsia"/>
          <w:rtl/>
        </w:rPr>
        <w:t>ל</w:t>
      </w:r>
      <w:hyperlink r:id="rId27" w:history="1">
        <w:r w:rsidR="00F81156" w:rsidRPr="00F81156">
          <w:rPr>
            <w:color w:val="0000FF"/>
            <w:u w:val="single"/>
            <w:rtl/>
          </w:rPr>
          <w:t>חוק העונשין</w:t>
        </w:r>
      </w:hyperlink>
      <w:r>
        <w:rPr>
          <w:rtl/>
        </w:rPr>
        <w:t>.</w:t>
      </w:r>
    </w:p>
    <w:p w14:paraId="46DE924A" w14:textId="77777777" w:rsidR="00D0309E" w:rsidRDefault="00D0309E" w:rsidP="00D0309E">
      <w:pPr>
        <w:spacing w:line="360" w:lineRule="auto"/>
        <w:jc w:val="both"/>
        <w:rPr>
          <w:rtl/>
        </w:rPr>
      </w:pPr>
      <w:r>
        <w:rPr>
          <w:rFonts w:hint="cs"/>
          <w:rtl/>
        </w:rPr>
        <w:t>24</w:t>
      </w:r>
      <w:r>
        <w:rPr>
          <w:rtl/>
        </w:rPr>
        <w:t>.</w:t>
      </w:r>
      <w:r>
        <w:rPr>
          <w:rtl/>
        </w:rPr>
        <w:tab/>
      </w:r>
      <w:r>
        <w:rPr>
          <w:rFonts w:hint="eastAsia"/>
          <w:rtl/>
        </w:rPr>
        <w:t>הערך</w:t>
      </w:r>
      <w:r>
        <w:rPr>
          <w:rtl/>
        </w:rPr>
        <w:t xml:space="preserve"> </w:t>
      </w:r>
      <w:r>
        <w:rPr>
          <w:rFonts w:hint="eastAsia"/>
          <w:rtl/>
        </w:rPr>
        <w:t>המוגן</w:t>
      </w:r>
      <w:r>
        <w:rPr>
          <w:rtl/>
        </w:rPr>
        <w:t xml:space="preserve"> </w:t>
      </w:r>
      <w:r>
        <w:rPr>
          <w:rFonts w:hint="eastAsia"/>
          <w:rtl/>
        </w:rPr>
        <w:t>הנפגע</w:t>
      </w:r>
      <w:r>
        <w:rPr>
          <w:rtl/>
        </w:rPr>
        <w:t xml:space="preserve"> </w:t>
      </w:r>
      <w:r>
        <w:rPr>
          <w:rFonts w:hint="eastAsia"/>
          <w:rtl/>
        </w:rPr>
        <w:t>כתוצאה</w:t>
      </w:r>
      <w:r>
        <w:rPr>
          <w:rtl/>
        </w:rPr>
        <w:t xml:space="preserve"> </w:t>
      </w:r>
      <w:r>
        <w:rPr>
          <w:rFonts w:hint="eastAsia"/>
          <w:rtl/>
        </w:rPr>
        <w:t>מביצוע</w:t>
      </w:r>
      <w:r>
        <w:rPr>
          <w:rtl/>
        </w:rPr>
        <w:t xml:space="preserve"> </w:t>
      </w:r>
      <w:r>
        <w:rPr>
          <w:rFonts w:hint="cs"/>
          <w:rtl/>
        </w:rPr>
        <w:t>ה</w:t>
      </w:r>
      <w:r>
        <w:rPr>
          <w:rFonts w:hint="eastAsia"/>
          <w:rtl/>
        </w:rPr>
        <w:t>עבירה</w:t>
      </w:r>
      <w:r>
        <w:rPr>
          <w:rtl/>
        </w:rPr>
        <w:t xml:space="preserve"> </w:t>
      </w:r>
      <w:r>
        <w:rPr>
          <w:rFonts w:hint="eastAsia"/>
          <w:rtl/>
        </w:rPr>
        <w:t>של</w:t>
      </w:r>
      <w:r>
        <w:rPr>
          <w:rtl/>
        </w:rPr>
        <w:t xml:space="preserve"> </w:t>
      </w:r>
      <w:r>
        <w:rPr>
          <w:rFonts w:hint="eastAsia"/>
          <w:rtl/>
        </w:rPr>
        <w:t>נשיאת</w:t>
      </w:r>
      <w:r>
        <w:rPr>
          <w:rtl/>
        </w:rPr>
        <w:t xml:space="preserve"> </w:t>
      </w:r>
      <w:r>
        <w:rPr>
          <w:rFonts w:hint="eastAsia"/>
          <w:rtl/>
        </w:rPr>
        <w:t>נשק</w:t>
      </w:r>
      <w:r>
        <w:rPr>
          <w:rtl/>
        </w:rPr>
        <w:t xml:space="preserve"> </w:t>
      </w:r>
      <w:r>
        <w:rPr>
          <w:rFonts w:hint="cs"/>
          <w:rtl/>
        </w:rPr>
        <w:t xml:space="preserve">שלא כדין </w:t>
      </w:r>
      <w:r>
        <w:rPr>
          <w:rFonts w:hint="eastAsia"/>
          <w:rtl/>
        </w:rPr>
        <w:t>ה</w:t>
      </w:r>
      <w:r>
        <w:rPr>
          <w:rFonts w:hint="cs"/>
          <w:rtl/>
        </w:rPr>
        <w:t xml:space="preserve">וא </w:t>
      </w:r>
      <w:r>
        <w:rPr>
          <w:rFonts w:hint="eastAsia"/>
          <w:rtl/>
        </w:rPr>
        <w:t>שלום</w:t>
      </w:r>
      <w:r>
        <w:rPr>
          <w:rtl/>
        </w:rPr>
        <w:t xml:space="preserve"> </w:t>
      </w:r>
      <w:r>
        <w:rPr>
          <w:rFonts w:hint="eastAsia"/>
          <w:rtl/>
        </w:rPr>
        <w:t>הציבור</w:t>
      </w:r>
      <w:r>
        <w:rPr>
          <w:rtl/>
        </w:rPr>
        <w:t xml:space="preserve"> </w:t>
      </w:r>
      <w:r>
        <w:rPr>
          <w:rFonts w:hint="eastAsia"/>
          <w:rtl/>
        </w:rPr>
        <w:t>ובטחונו</w:t>
      </w:r>
      <w:r>
        <w:rPr>
          <w:rtl/>
        </w:rPr>
        <w:t>. "</w:t>
      </w:r>
      <w:r w:rsidRPr="00C07930">
        <w:rPr>
          <w:rFonts w:cs="Miriam" w:hint="eastAsia"/>
          <w:rtl/>
        </w:rPr>
        <w:t>עבירות</w:t>
      </w:r>
      <w:r w:rsidRPr="00C07930">
        <w:rPr>
          <w:rFonts w:cs="Miriam"/>
          <w:rtl/>
        </w:rPr>
        <w:t xml:space="preserve"> </w:t>
      </w:r>
      <w:r w:rsidRPr="00C07930">
        <w:rPr>
          <w:rFonts w:cs="Miriam" w:hint="eastAsia"/>
          <w:rtl/>
        </w:rPr>
        <w:t>בנשק</w:t>
      </w:r>
      <w:r w:rsidRPr="00C07930">
        <w:rPr>
          <w:rFonts w:cs="Miriam"/>
          <w:rtl/>
        </w:rPr>
        <w:t xml:space="preserve"> </w:t>
      </w:r>
      <w:r w:rsidRPr="00C07930">
        <w:rPr>
          <w:rFonts w:cs="Miriam" w:hint="eastAsia"/>
          <w:rtl/>
        </w:rPr>
        <w:t>לסוגיהן</w:t>
      </w:r>
      <w:r w:rsidRPr="00C07930">
        <w:rPr>
          <w:rFonts w:cs="Miriam"/>
          <w:rtl/>
        </w:rPr>
        <w:t xml:space="preserve"> </w:t>
      </w:r>
      <w:r w:rsidRPr="00C07930">
        <w:rPr>
          <w:rFonts w:cs="Miriam" w:hint="eastAsia"/>
          <w:rtl/>
        </w:rPr>
        <w:t>מגלמות</w:t>
      </w:r>
      <w:r w:rsidRPr="00C07930">
        <w:rPr>
          <w:rFonts w:cs="Miriam"/>
          <w:rtl/>
        </w:rPr>
        <w:t xml:space="preserve"> </w:t>
      </w:r>
      <w:r w:rsidRPr="00C07930">
        <w:rPr>
          <w:rFonts w:cs="Miriam" w:hint="eastAsia"/>
          <w:rtl/>
        </w:rPr>
        <w:t>בתוכן</w:t>
      </w:r>
      <w:r w:rsidRPr="00C07930">
        <w:rPr>
          <w:rFonts w:cs="Miriam"/>
          <w:rtl/>
        </w:rPr>
        <w:t xml:space="preserve"> </w:t>
      </w:r>
      <w:r w:rsidRPr="00C07930">
        <w:rPr>
          <w:rFonts w:cs="Miriam" w:hint="eastAsia"/>
          <w:rtl/>
        </w:rPr>
        <w:t>סיכון</w:t>
      </w:r>
      <w:r w:rsidRPr="00C07930">
        <w:rPr>
          <w:rFonts w:cs="Miriam"/>
          <w:rtl/>
        </w:rPr>
        <w:t xml:space="preserve"> </w:t>
      </w:r>
      <w:r w:rsidRPr="00C07930">
        <w:rPr>
          <w:rFonts w:cs="Miriam" w:hint="eastAsia"/>
          <w:rtl/>
        </w:rPr>
        <w:t>ממשי</w:t>
      </w:r>
      <w:r w:rsidRPr="00C07930">
        <w:rPr>
          <w:rFonts w:cs="Miriam"/>
          <w:rtl/>
        </w:rPr>
        <w:t xml:space="preserve"> </w:t>
      </w:r>
      <w:r w:rsidRPr="00C07930">
        <w:rPr>
          <w:rFonts w:cs="Miriam" w:hint="eastAsia"/>
          <w:rtl/>
        </w:rPr>
        <w:t>לשלום</w:t>
      </w:r>
      <w:r w:rsidRPr="00C07930">
        <w:rPr>
          <w:rFonts w:cs="Miriam"/>
          <w:rtl/>
        </w:rPr>
        <w:t xml:space="preserve"> </w:t>
      </w:r>
      <w:r w:rsidRPr="00C07930">
        <w:rPr>
          <w:rFonts w:cs="Miriam" w:hint="eastAsia"/>
          <w:rtl/>
        </w:rPr>
        <w:t>הציבור</w:t>
      </w:r>
      <w:r w:rsidRPr="00C07930">
        <w:rPr>
          <w:rFonts w:cs="Miriam"/>
          <w:rtl/>
        </w:rPr>
        <w:t xml:space="preserve"> </w:t>
      </w:r>
      <w:r w:rsidRPr="00C07930">
        <w:rPr>
          <w:rFonts w:cs="Miriam" w:hint="eastAsia"/>
          <w:rtl/>
        </w:rPr>
        <w:t>ולב</w:t>
      </w:r>
      <w:r>
        <w:rPr>
          <w:rFonts w:cs="Miriam" w:hint="cs"/>
          <w:rtl/>
        </w:rPr>
        <w:t>י</w:t>
      </w:r>
      <w:r w:rsidRPr="00C07930">
        <w:rPr>
          <w:rFonts w:cs="Miriam" w:hint="eastAsia"/>
          <w:rtl/>
        </w:rPr>
        <w:t>טחונו</w:t>
      </w:r>
      <w:r w:rsidRPr="00C07930">
        <w:rPr>
          <w:rFonts w:cs="Miriam"/>
          <w:rtl/>
        </w:rPr>
        <w:t xml:space="preserve">, </w:t>
      </w:r>
      <w:r w:rsidRPr="00C07930">
        <w:rPr>
          <w:rFonts w:cs="Miriam" w:hint="eastAsia"/>
          <w:rtl/>
        </w:rPr>
        <w:t>שכן</w:t>
      </w:r>
      <w:r w:rsidRPr="00C07930">
        <w:rPr>
          <w:rFonts w:cs="Miriam"/>
          <w:rtl/>
        </w:rPr>
        <w:t xml:space="preserve"> </w:t>
      </w:r>
      <w:r w:rsidRPr="00C07930">
        <w:rPr>
          <w:rFonts w:cs="Miriam" w:hint="eastAsia"/>
          <w:rtl/>
        </w:rPr>
        <w:t>לא</w:t>
      </w:r>
      <w:r w:rsidRPr="00C07930">
        <w:rPr>
          <w:rFonts w:cs="Miriam"/>
          <w:rtl/>
        </w:rPr>
        <w:t xml:space="preserve"> </w:t>
      </w:r>
      <w:r w:rsidRPr="00C07930">
        <w:rPr>
          <w:rFonts w:cs="Miriam" w:hint="eastAsia"/>
          <w:rtl/>
        </w:rPr>
        <w:t>ניתן</w:t>
      </w:r>
      <w:r w:rsidRPr="00C07930">
        <w:rPr>
          <w:rFonts w:cs="Miriam"/>
          <w:rtl/>
        </w:rPr>
        <w:t xml:space="preserve"> </w:t>
      </w:r>
      <w:r w:rsidRPr="00C07930">
        <w:rPr>
          <w:rFonts w:cs="Miriam" w:hint="eastAsia"/>
          <w:rtl/>
        </w:rPr>
        <w:t>לדעת</w:t>
      </w:r>
      <w:r w:rsidRPr="00C07930">
        <w:rPr>
          <w:rFonts w:cs="Miriam"/>
          <w:rtl/>
        </w:rPr>
        <w:t xml:space="preserve"> </w:t>
      </w:r>
      <w:r w:rsidRPr="00C07930">
        <w:rPr>
          <w:rFonts w:cs="Miriam" w:hint="eastAsia"/>
          <w:rtl/>
        </w:rPr>
        <w:t>להיכן</w:t>
      </w:r>
      <w:r w:rsidRPr="00C07930">
        <w:rPr>
          <w:rFonts w:cs="Miriam"/>
          <w:rtl/>
        </w:rPr>
        <w:t xml:space="preserve"> </w:t>
      </w:r>
      <w:r w:rsidRPr="00C07930">
        <w:rPr>
          <w:rFonts w:cs="Miriam" w:hint="eastAsia"/>
          <w:rtl/>
        </w:rPr>
        <w:t>יתגלגלו</w:t>
      </w:r>
      <w:r w:rsidRPr="00C07930">
        <w:rPr>
          <w:rFonts w:cs="Miriam"/>
          <w:rtl/>
        </w:rPr>
        <w:t xml:space="preserve"> </w:t>
      </w:r>
      <w:r w:rsidRPr="00C07930">
        <w:rPr>
          <w:rFonts w:cs="Miriam" w:hint="eastAsia"/>
          <w:rtl/>
        </w:rPr>
        <w:t>כלי</w:t>
      </w:r>
      <w:r w:rsidRPr="00C07930">
        <w:rPr>
          <w:rFonts w:cs="Miriam"/>
          <w:rtl/>
        </w:rPr>
        <w:t xml:space="preserve"> </w:t>
      </w:r>
      <w:r w:rsidRPr="00C07930">
        <w:rPr>
          <w:rFonts w:cs="Miriam" w:hint="eastAsia"/>
          <w:rtl/>
        </w:rPr>
        <w:t>הנשק</w:t>
      </w:r>
      <w:r w:rsidRPr="00C07930">
        <w:rPr>
          <w:rFonts w:cs="Miriam"/>
          <w:rtl/>
        </w:rPr>
        <w:t xml:space="preserve"> </w:t>
      </w:r>
      <w:r w:rsidRPr="00C07930">
        <w:rPr>
          <w:rFonts w:cs="Miriam" w:hint="eastAsia"/>
          <w:rtl/>
        </w:rPr>
        <w:t>המוחזקים</w:t>
      </w:r>
      <w:r w:rsidRPr="00C07930">
        <w:rPr>
          <w:rFonts w:cs="Miriam"/>
          <w:rtl/>
        </w:rPr>
        <w:t xml:space="preserve"> </w:t>
      </w:r>
      <w:r w:rsidRPr="00C07930">
        <w:rPr>
          <w:rFonts w:cs="Miriam" w:hint="eastAsia"/>
          <w:rtl/>
        </w:rPr>
        <w:t>שלא</w:t>
      </w:r>
      <w:r w:rsidRPr="00C07930">
        <w:rPr>
          <w:rFonts w:cs="Miriam"/>
          <w:rtl/>
        </w:rPr>
        <w:t xml:space="preserve"> </w:t>
      </w:r>
      <w:r w:rsidRPr="00C07930">
        <w:rPr>
          <w:rFonts w:cs="Miriam" w:hint="eastAsia"/>
          <w:rtl/>
        </w:rPr>
        <w:t>כדין</w:t>
      </w:r>
      <w:r w:rsidRPr="00C07930">
        <w:rPr>
          <w:rFonts w:cs="Miriam"/>
          <w:rtl/>
        </w:rPr>
        <w:t xml:space="preserve">, </w:t>
      </w:r>
      <w:r w:rsidRPr="00C07930">
        <w:rPr>
          <w:rFonts w:cs="Miriam" w:hint="eastAsia"/>
          <w:rtl/>
        </w:rPr>
        <w:t>ואיזה</w:t>
      </w:r>
      <w:r w:rsidRPr="00C07930">
        <w:rPr>
          <w:rFonts w:cs="Miriam"/>
          <w:rtl/>
        </w:rPr>
        <w:t xml:space="preserve"> </w:t>
      </w:r>
      <w:r w:rsidRPr="00C07930">
        <w:rPr>
          <w:rFonts w:cs="Miriam" w:hint="eastAsia"/>
          <w:rtl/>
        </w:rPr>
        <w:t>שימוש</w:t>
      </w:r>
      <w:r w:rsidRPr="00C07930">
        <w:rPr>
          <w:rFonts w:cs="Miriam"/>
          <w:rtl/>
        </w:rPr>
        <w:t xml:space="preserve"> </w:t>
      </w:r>
      <w:r w:rsidRPr="00C07930">
        <w:rPr>
          <w:rFonts w:cs="Miriam" w:hint="eastAsia"/>
          <w:rtl/>
        </w:rPr>
        <w:t>יעשה</w:t>
      </w:r>
      <w:r w:rsidRPr="00C07930">
        <w:rPr>
          <w:rFonts w:cs="Miriam"/>
          <w:rtl/>
        </w:rPr>
        <w:t xml:space="preserve"> </w:t>
      </w:r>
      <w:r w:rsidRPr="00C07930">
        <w:rPr>
          <w:rFonts w:cs="Miriam" w:hint="eastAsia"/>
          <w:rtl/>
        </w:rPr>
        <w:t>בהם</w:t>
      </w:r>
      <w:r w:rsidRPr="00C07930">
        <w:rPr>
          <w:rFonts w:cs="Miriam"/>
          <w:rtl/>
        </w:rPr>
        <w:t xml:space="preserve"> </w:t>
      </w:r>
      <w:r w:rsidRPr="00C07930">
        <w:rPr>
          <w:rFonts w:cs="Miriam" w:hint="eastAsia"/>
          <w:rtl/>
        </w:rPr>
        <w:t>בעתיד</w:t>
      </w:r>
      <w:r>
        <w:rPr>
          <w:rtl/>
        </w:rPr>
        <w:t>" (</w:t>
      </w:r>
      <w:hyperlink r:id="rId28" w:history="1">
        <w:r w:rsidR="00F81156" w:rsidRPr="00F81156">
          <w:rPr>
            <w:color w:val="0000FF"/>
            <w:u w:val="single"/>
            <w:rtl/>
          </w:rPr>
          <w:t>ע"פ 7502/12</w:t>
        </w:r>
      </w:hyperlink>
      <w:r>
        <w:rPr>
          <w:rtl/>
        </w:rPr>
        <w:t xml:space="preserve"> </w:t>
      </w:r>
      <w:r>
        <w:rPr>
          <w:rFonts w:hint="eastAsia"/>
          <w:rtl/>
        </w:rPr>
        <w:t>‏</w:t>
      </w:r>
      <w:r w:rsidRPr="00385636">
        <w:rPr>
          <w:rFonts w:cs="Miriam" w:hint="eastAsia"/>
          <w:rtl/>
        </w:rPr>
        <w:t>כוויס</w:t>
      </w:r>
      <w:r w:rsidRPr="00385636">
        <w:rPr>
          <w:rFonts w:cs="Miriam"/>
          <w:rtl/>
        </w:rPr>
        <w:t xml:space="preserve"> </w:t>
      </w:r>
      <w:r w:rsidRPr="00385636">
        <w:rPr>
          <w:rFonts w:cs="Miriam" w:hint="eastAsia"/>
          <w:rtl/>
        </w:rPr>
        <w:t>נ</w:t>
      </w:r>
      <w:r w:rsidRPr="00385636">
        <w:rPr>
          <w:rFonts w:cs="Miriam"/>
          <w:rtl/>
        </w:rPr>
        <w:t xml:space="preserve">' </w:t>
      </w:r>
      <w:r w:rsidRPr="00385636">
        <w:rPr>
          <w:rFonts w:cs="Miriam" w:hint="eastAsia"/>
          <w:rtl/>
        </w:rPr>
        <w:t>מדינת</w:t>
      </w:r>
      <w:r w:rsidRPr="00385636">
        <w:rPr>
          <w:rFonts w:cs="Miriam"/>
          <w:rtl/>
        </w:rPr>
        <w:t xml:space="preserve"> </w:t>
      </w:r>
      <w:r w:rsidRPr="00385636">
        <w:rPr>
          <w:rFonts w:cs="Miriam" w:hint="eastAsia"/>
          <w:rtl/>
        </w:rPr>
        <w:t>ישראל</w:t>
      </w:r>
      <w:r>
        <w:rPr>
          <w:rtl/>
        </w:rPr>
        <w:t xml:space="preserve"> (25.6.2013)). </w:t>
      </w:r>
      <w:r>
        <w:rPr>
          <w:rFonts w:hint="eastAsia"/>
          <w:rtl/>
        </w:rPr>
        <w:t>בתי</w:t>
      </w:r>
      <w:r>
        <w:rPr>
          <w:rtl/>
        </w:rPr>
        <w:t xml:space="preserve"> </w:t>
      </w:r>
      <w:r>
        <w:rPr>
          <w:rFonts w:hint="eastAsia"/>
          <w:rtl/>
        </w:rPr>
        <w:t>המשפט</w:t>
      </w:r>
      <w:r>
        <w:rPr>
          <w:rtl/>
        </w:rPr>
        <w:t xml:space="preserve"> </w:t>
      </w:r>
      <w:r>
        <w:rPr>
          <w:rFonts w:hint="eastAsia"/>
          <w:rtl/>
        </w:rPr>
        <w:t>עמדו</w:t>
      </w:r>
      <w:r>
        <w:rPr>
          <w:rtl/>
        </w:rPr>
        <w:t xml:space="preserve"> </w:t>
      </w:r>
      <w:r>
        <w:rPr>
          <w:rFonts w:hint="eastAsia"/>
          <w:rtl/>
        </w:rPr>
        <w:t>לא</w:t>
      </w:r>
      <w:r>
        <w:rPr>
          <w:rtl/>
        </w:rPr>
        <w:t xml:space="preserve"> </w:t>
      </w:r>
      <w:r>
        <w:rPr>
          <w:rFonts w:hint="eastAsia"/>
          <w:rtl/>
        </w:rPr>
        <w:t>אחת</w:t>
      </w:r>
      <w:r>
        <w:rPr>
          <w:rtl/>
        </w:rPr>
        <w:t xml:space="preserve"> </w:t>
      </w:r>
      <w:r>
        <w:rPr>
          <w:rFonts w:hint="eastAsia"/>
          <w:rtl/>
        </w:rPr>
        <w:t>על</w:t>
      </w:r>
      <w:r>
        <w:rPr>
          <w:rtl/>
        </w:rPr>
        <w:t xml:space="preserve"> </w:t>
      </w:r>
      <w:r>
        <w:rPr>
          <w:rFonts w:hint="eastAsia"/>
          <w:rtl/>
        </w:rPr>
        <w:t>חומרתן</w:t>
      </w:r>
      <w:r>
        <w:rPr>
          <w:rtl/>
        </w:rPr>
        <w:t xml:space="preserve"> </w:t>
      </w:r>
      <w:r>
        <w:rPr>
          <w:rFonts w:hint="eastAsia"/>
          <w:rtl/>
        </w:rPr>
        <w:t>הרבה</w:t>
      </w:r>
      <w:r>
        <w:rPr>
          <w:rtl/>
        </w:rPr>
        <w:t xml:space="preserve"> </w:t>
      </w:r>
      <w:r>
        <w:rPr>
          <w:rFonts w:hint="eastAsia"/>
          <w:rtl/>
        </w:rPr>
        <w:t>של</w:t>
      </w:r>
      <w:r>
        <w:rPr>
          <w:rtl/>
        </w:rPr>
        <w:t xml:space="preserve"> </w:t>
      </w:r>
      <w:r>
        <w:rPr>
          <w:rFonts w:hint="eastAsia"/>
          <w:rtl/>
        </w:rPr>
        <w:t>עבירות</w:t>
      </w:r>
      <w:r>
        <w:rPr>
          <w:rtl/>
        </w:rPr>
        <w:t xml:space="preserve"> </w:t>
      </w:r>
      <w:r>
        <w:rPr>
          <w:rFonts w:hint="eastAsia"/>
          <w:rtl/>
        </w:rPr>
        <w:t>הנשק</w:t>
      </w:r>
      <w:r>
        <w:rPr>
          <w:rtl/>
        </w:rPr>
        <w:t xml:space="preserve"> </w:t>
      </w:r>
      <w:r>
        <w:rPr>
          <w:rFonts w:hint="eastAsia"/>
          <w:rtl/>
        </w:rPr>
        <w:t>למיניהן</w:t>
      </w:r>
      <w:r>
        <w:rPr>
          <w:rtl/>
        </w:rPr>
        <w:t xml:space="preserve">, </w:t>
      </w:r>
      <w:r>
        <w:rPr>
          <w:rFonts w:hint="eastAsia"/>
          <w:rtl/>
        </w:rPr>
        <w:t>על</w:t>
      </w:r>
      <w:r>
        <w:rPr>
          <w:rtl/>
        </w:rPr>
        <w:t xml:space="preserve"> </w:t>
      </w:r>
      <w:r>
        <w:rPr>
          <w:rFonts w:hint="eastAsia"/>
          <w:rtl/>
        </w:rPr>
        <w:t>פוטנציאל</w:t>
      </w:r>
      <w:r>
        <w:rPr>
          <w:rtl/>
        </w:rPr>
        <w:t xml:space="preserve"> </w:t>
      </w:r>
      <w:r>
        <w:rPr>
          <w:rFonts w:hint="eastAsia"/>
          <w:rtl/>
        </w:rPr>
        <w:t>הסיכון</w:t>
      </w:r>
      <w:r>
        <w:rPr>
          <w:rtl/>
        </w:rPr>
        <w:t xml:space="preserve"> </w:t>
      </w:r>
      <w:r>
        <w:rPr>
          <w:rFonts w:hint="eastAsia"/>
          <w:rtl/>
        </w:rPr>
        <w:t>הרב</w:t>
      </w:r>
      <w:r>
        <w:rPr>
          <w:rtl/>
        </w:rPr>
        <w:t xml:space="preserve"> </w:t>
      </w:r>
      <w:r>
        <w:rPr>
          <w:rFonts w:hint="eastAsia"/>
          <w:rtl/>
        </w:rPr>
        <w:t>הטמון</w:t>
      </w:r>
      <w:r>
        <w:rPr>
          <w:rtl/>
        </w:rPr>
        <w:t xml:space="preserve"> </w:t>
      </w:r>
      <w:r>
        <w:rPr>
          <w:rFonts w:hint="eastAsia"/>
          <w:rtl/>
        </w:rPr>
        <w:t>בנשיאת</w:t>
      </w:r>
      <w:r>
        <w:rPr>
          <w:rtl/>
        </w:rPr>
        <w:t xml:space="preserve"> </w:t>
      </w:r>
      <w:r>
        <w:rPr>
          <w:rFonts w:hint="eastAsia"/>
          <w:rtl/>
        </w:rPr>
        <w:t>נשק</w:t>
      </w:r>
      <w:r>
        <w:rPr>
          <w:rtl/>
        </w:rPr>
        <w:t xml:space="preserve"> </w:t>
      </w:r>
      <w:r>
        <w:rPr>
          <w:rFonts w:hint="eastAsia"/>
          <w:rtl/>
        </w:rPr>
        <w:t>ללא</w:t>
      </w:r>
      <w:r>
        <w:rPr>
          <w:rtl/>
        </w:rPr>
        <w:t xml:space="preserve"> </w:t>
      </w:r>
      <w:r>
        <w:rPr>
          <w:rFonts w:hint="eastAsia"/>
          <w:rtl/>
        </w:rPr>
        <w:t>היתר</w:t>
      </w:r>
      <w:r>
        <w:rPr>
          <w:rtl/>
        </w:rPr>
        <w:t xml:space="preserve"> </w:t>
      </w:r>
      <w:r>
        <w:rPr>
          <w:rFonts w:hint="eastAsia"/>
          <w:rtl/>
        </w:rPr>
        <w:t>ועל</w:t>
      </w:r>
      <w:r>
        <w:rPr>
          <w:rtl/>
        </w:rPr>
        <w:t xml:space="preserve"> </w:t>
      </w:r>
      <w:r>
        <w:rPr>
          <w:rFonts w:hint="eastAsia"/>
          <w:rtl/>
        </w:rPr>
        <w:t>התוצאות</w:t>
      </w:r>
      <w:r>
        <w:rPr>
          <w:rtl/>
        </w:rPr>
        <w:t xml:space="preserve"> </w:t>
      </w:r>
      <w:r>
        <w:rPr>
          <w:rFonts w:hint="eastAsia"/>
          <w:rtl/>
        </w:rPr>
        <w:t>הקשות</w:t>
      </w:r>
      <w:r>
        <w:rPr>
          <w:rtl/>
        </w:rPr>
        <w:t xml:space="preserve"> </w:t>
      </w:r>
      <w:r>
        <w:rPr>
          <w:rFonts w:hint="eastAsia"/>
          <w:rtl/>
        </w:rPr>
        <w:t>והרות</w:t>
      </w:r>
      <w:r>
        <w:rPr>
          <w:rtl/>
        </w:rPr>
        <w:t>-</w:t>
      </w:r>
      <w:r>
        <w:rPr>
          <w:rFonts w:hint="eastAsia"/>
          <w:rtl/>
        </w:rPr>
        <w:t>הגורל</w:t>
      </w:r>
      <w:r>
        <w:rPr>
          <w:rtl/>
        </w:rPr>
        <w:t xml:space="preserve"> </w:t>
      </w:r>
      <w:r>
        <w:rPr>
          <w:rFonts w:hint="eastAsia"/>
          <w:rtl/>
        </w:rPr>
        <w:t>שעלולות</w:t>
      </w:r>
      <w:r>
        <w:rPr>
          <w:rtl/>
        </w:rPr>
        <w:t xml:space="preserve"> </w:t>
      </w:r>
      <w:r>
        <w:rPr>
          <w:rFonts w:hint="eastAsia"/>
          <w:rtl/>
        </w:rPr>
        <w:t>להיגרם</w:t>
      </w:r>
      <w:r>
        <w:rPr>
          <w:rtl/>
        </w:rPr>
        <w:t xml:space="preserve"> </w:t>
      </w:r>
      <w:r>
        <w:rPr>
          <w:rFonts w:hint="eastAsia"/>
          <w:rtl/>
        </w:rPr>
        <w:t>מביצוע</w:t>
      </w:r>
      <w:r>
        <w:rPr>
          <w:rtl/>
        </w:rPr>
        <w:t xml:space="preserve"> </w:t>
      </w:r>
      <w:r>
        <w:rPr>
          <w:rFonts w:hint="eastAsia"/>
          <w:rtl/>
        </w:rPr>
        <w:t>עבירות</w:t>
      </w:r>
      <w:r>
        <w:rPr>
          <w:rtl/>
        </w:rPr>
        <w:t xml:space="preserve"> </w:t>
      </w:r>
      <w:r>
        <w:rPr>
          <w:rFonts w:hint="eastAsia"/>
          <w:rtl/>
        </w:rPr>
        <w:t>אלה</w:t>
      </w:r>
      <w:r>
        <w:rPr>
          <w:rtl/>
        </w:rPr>
        <w:t xml:space="preserve">, </w:t>
      </w:r>
      <w:r>
        <w:rPr>
          <w:rFonts w:hint="eastAsia"/>
          <w:rtl/>
        </w:rPr>
        <w:t>שהן</w:t>
      </w:r>
      <w:r>
        <w:rPr>
          <w:rtl/>
        </w:rPr>
        <w:t xml:space="preserve">, </w:t>
      </w:r>
      <w:r>
        <w:rPr>
          <w:rFonts w:hint="eastAsia"/>
          <w:rtl/>
        </w:rPr>
        <w:t>לדאבון</w:t>
      </w:r>
      <w:r>
        <w:rPr>
          <w:rtl/>
        </w:rPr>
        <w:t xml:space="preserve"> </w:t>
      </w:r>
      <w:r>
        <w:rPr>
          <w:rFonts w:hint="eastAsia"/>
          <w:rtl/>
        </w:rPr>
        <w:t>הלב</w:t>
      </w:r>
      <w:r>
        <w:rPr>
          <w:rtl/>
        </w:rPr>
        <w:t xml:space="preserve">, </w:t>
      </w:r>
      <w:r>
        <w:rPr>
          <w:rFonts w:hint="eastAsia"/>
          <w:rtl/>
        </w:rPr>
        <w:t>עבירות</w:t>
      </w:r>
      <w:r>
        <w:rPr>
          <w:rtl/>
        </w:rPr>
        <w:t xml:space="preserve"> </w:t>
      </w:r>
      <w:r>
        <w:rPr>
          <w:rFonts w:hint="eastAsia"/>
          <w:rtl/>
        </w:rPr>
        <w:t>נפוצות</w:t>
      </w:r>
      <w:r>
        <w:rPr>
          <w:rFonts w:hint="cs"/>
          <w:rtl/>
        </w:rPr>
        <w:t>.</w:t>
      </w:r>
    </w:p>
    <w:p w14:paraId="639F05E2" w14:textId="77777777" w:rsidR="00D0309E" w:rsidRDefault="00D0309E" w:rsidP="00D0309E">
      <w:pPr>
        <w:spacing w:line="360" w:lineRule="auto"/>
        <w:jc w:val="both"/>
        <w:rPr>
          <w:rtl/>
        </w:rPr>
      </w:pPr>
    </w:p>
    <w:p w14:paraId="66B1A99B" w14:textId="77777777" w:rsidR="00D0309E" w:rsidRDefault="00D0309E" w:rsidP="00D0309E">
      <w:pPr>
        <w:spacing w:line="360" w:lineRule="auto"/>
        <w:jc w:val="both"/>
        <w:rPr>
          <w:rtl/>
        </w:rPr>
      </w:pPr>
      <w:r>
        <w:rPr>
          <w:rFonts w:hint="cs"/>
          <w:rtl/>
        </w:rPr>
        <w:t>25</w:t>
      </w:r>
      <w:r>
        <w:rPr>
          <w:rtl/>
        </w:rPr>
        <w:t>.</w:t>
      </w:r>
      <w:r>
        <w:rPr>
          <w:rtl/>
        </w:rPr>
        <w:tab/>
      </w:r>
      <w:r>
        <w:rPr>
          <w:rFonts w:hint="eastAsia"/>
          <w:rtl/>
        </w:rPr>
        <w:t>במסגרת</w:t>
      </w:r>
      <w:r>
        <w:rPr>
          <w:rtl/>
        </w:rPr>
        <w:t xml:space="preserve"> </w:t>
      </w:r>
      <w:r>
        <w:rPr>
          <w:rFonts w:hint="eastAsia"/>
          <w:rtl/>
        </w:rPr>
        <w:t>סקירת</w:t>
      </w:r>
      <w:r>
        <w:rPr>
          <w:rtl/>
        </w:rPr>
        <w:t xml:space="preserve"> </w:t>
      </w:r>
      <w:r>
        <w:rPr>
          <w:rFonts w:hint="eastAsia"/>
          <w:rtl/>
        </w:rPr>
        <w:t>הנסיבות</w:t>
      </w:r>
      <w:r>
        <w:rPr>
          <w:rtl/>
        </w:rPr>
        <w:t xml:space="preserve"> </w:t>
      </w:r>
      <w:r>
        <w:rPr>
          <w:rFonts w:hint="eastAsia"/>
          <w:rtl/>
        </w:rPr>
        <w:t>הקשורות</w:t>
      </w:r>
      <w:r>
        <w:rPr>
          <w:rtl/>
        </w:rPr>
        <w:t xml:space="preserve"> </w:t>
      </w:r>
      <w:r>
        <w:rPr>
          <w:rFonts w:hint="eastAsia"/>
          <w:rtl/>
        </w:rPr>
        <w:t>בביצוע</w:t>
      </w:r>
      <w:r>
        <w:rPr>
          <w:rtl/>
        </w:rPr>
        <w:t xml:space="preserve"> </w:t>
      </w:r>
      <w:r>
        <w:rPr>
          <w:rFonts w:hint="eastAsia"/>
          <w:rtl/>
        </w:rPr>
        <w:t>העבירה</w:t>
      </w:r>
      <w:r>
        <w:rPr>
          <w:rtl/>
        </w:rPr>
        <w:t xml:space="preserve">, </w:t>
      </w:r>
      <w:r>
        <w:rPr>
          <w:rFonts w:hint="eastAsia"/>
          <w:rtl/>
        </w:rPr>
        <w:t>כאמור</w:t>
      </w:r>
      <w:r>
        <w:rPr>
          <w:rtl/>
        </w:rPr>
        <w:t xml:space="preserve"> </w:t>
      </w:r>
      <w:hyperlink r:id="rId29" w:history="1">
        <w:r w:rsidR="003A1F14" w:rsidRPr="003A1F14">
          <w:rPr>
            <w:color w:val="0000FF"/>
            <w:u w:val="single"/>
            <w:rtl/>
          </w:rPr>
          <w:t>בסעיף 40ט</w:t>
        </w:r>
      </w:hyperlink>
      <w:r>
        <w:rPr>
          <w:rtl/>
        </w:rPr>
        <w:t xml:space="preserve"> </w:t>
      </w:r>
      <w:r>
        <w:rPr>
          <w:rFonts w:hint="eastAsia"/>
          <w:rtl/>
        </w:rPr>
        <w:t>ל</w:t>
      </w:r>
      <w:hyperlink r:id="rId30" w:history="1">
        <w:r w:rsidR="00F81156" w:rsidRPr="00F81156">
          <w:rPr>
            <w:color w:val="0000FF"/>
            <w:u w:val="single"/>
            <w:rtl/>
          </w:rPr>
          <w:t>חוק העונשין</w:t>
        </w:r>
      </w:hyperlink>
      <w:r>
        <w:rPr>
          <w:rtl/>
        </w:rPr>
        <w:t xml:space="preserve">, </w:t>
      </w:r>
      <w:r>
        <w:rPr>
          <w:rFonts w:hint="eastAsia"/>
          <w:rtl/>
        </w:rPr>
        <w:t>אציין</w:t>
      </w:r>
      <w:r>
        <w:rPr>
          <w:rtl/>
        </w:rPr>
        <w:t xml:space="preserve"> </w:t>
      </w:r>
      <w:r>
        <w:rPr>
          <w:rFonts w:hint="eastAsia"/>
          <w:rtl/>
        </w:rPr>
        <w:t>ראשית</w:t>
      </w:r>
      <w:r>
        <w:rPr>
          <w:rtl/>
        </w:rPr>
        <w:t xml:space="preserve">, </w:t>
      </w:r>
      <w:r>
        <w:rPr>
          <w:rFonts w:hint="eastAsia"/>
          <w:rtl/>
        </w:rPr>
        <w:t>לחובת</w:t>
      </w:r>
      <w:r>
        <w:rPr>
          <w:rtl/>
        </w:rPr>
        <w:t xml:space="preserve"> </w:t>
      </w:r>
      <w:r>
        <w:rPr>
          <w:rFonts w:hint="eastAsia"/>
          <w:rtl/>
        </w:rPr>
        <w:t>הנאשם</w:t>
      </w:r>
      <w:r>
        <w:rPr>
          <w:rtl/>
        </w:rPr>
        <w:t xml:space="preserve">, </w:t>
      </w:r>
      <w:r>
        <w:rPr>
          <w:rFonts w:hint="eastAsia"/>
          <w:rtl/>
        </w:rPr>
        <w:t>את</w:t>
      </w:r>
      <w:r>
        <w:rPr>
          <w:rtl/>
        </w:rPr>
        <w:t xml:space="preserve"> </w:t>
      </w:r>
      <w:r>
        <w:rPr>
          <w:rFonts w:hint="eastAsia"/>
          <w:rtl/>
        </w:rPr>
        <w:t>סוג</w:t>
      </w:r>
      <w:r>
        <w:rPr>
          <w:rtl/>
        </w:rPr>
        <w:t xml:space="preserve"> </w:t>
      </w:r>
      <w:r>
        <w:rPr>
          <w:rFonts w:hint="eastAsia"/>
          <w:rtl/>
        </w:rPr>
        <w:t>הנשק</w:t>
      </w:r>
      <w:r>
        <w:rPr>
          <w:rtl/>
        </w:rPr>
        <w:t xml:space="preserve"> </w:t>
      </w:r>
      <w:r>
        <w:rPr>
          <w:rFonts w:hint="eastAsia"/>
          <w:rtl/>
        </w:rPr>
        <w:t>בו</w:t>
      </w:r>
      <w:r>
        <w:rPr>
          <w:rtl/>
        </w:rPr>
        <w:t xml:space="preserve"> </w:t>
      </w:r>
      <w:r>
        <w:rPr>
          <w:rFonts w:hint="eastAsia"/>
          <w:rtl/>
        </w:rPr>
        <w:t>עסקינן</w:t>
      </w:r>
      <w:r>
        <w:rPr>
          <w:rtl/>
        </w:rPr>
        <w:t xml:space="preserve">. </w:t>
      </w:r>
      <w:r>
        <w:rPr>
          <w:rFonts w:hint="eastAsia"/>
          <w:rtl/>
        </w:rPr>
        <w:t>ודוק</w:t>
      </w:r>
      <w:r>
        <w:rPr>
          <w:rtl/>
        </w:rPr>
        <w:t xml:space="preserve">, </w:t>
      </w:r>
      <w:r>
        <w:rPr>
          <w:rFonts w:hint="eastAsia"/>
          <w:rtl/>
        </w:rPr>
        <w:t>מדובר</w:t>
      </w:r>
      <w:r>
        <w:rPr>
          <w:rtl/>
        </w:rPr>
        <w:t xml:space="preserve"> </w:t>
      </w:r>
      <w:r>
        <w:rPr>
          <w:rFonts w:hint="eastAsia"/>
          <w:rtl/>
        </w:rPr>
        <w:t>בענייננו</w:t>
      </w:r>
      <w:r>
        <w:rPr>
          <w:rtl/>
        </w:rPr>
        <w:t xml:space="preserve"> </w:t>
      </w:r>
      <w:r>
        <w:rPr>
          <w:rFonts w:hint="cs"/>
          <w:rtl/>
        </w:rPr>
        <w:t>באקדח חצי אוטומטי ובו</w:t>
      </w:r>
      <w:r>
        <w:rPr>
          <w:rtl/>
        </w:rPr>
        <w:t xml:space="preserve"> </w:t>
      </w:r>
      <w:r>
        <w:rPr>
          <w:rFonts w:hint="eastAsia"/>
          <w:rtl/>
        </w:rPr>
        <w:t>מחסנית</w:t>
      </w:r>
      <w:r>
        <w:rPr>
          <w:rtl/>
        </w:rPr>
        <w:t xml:space="preserve"> </w:t>
      </w:r>
      <w:r>
        <w:rPr>
          <w:rFonts w:hint="eastAsia"/>
          <w:rtl/>
        </w:rPr>
        <w:t>ובתוכה</w:t>
      </w:r>
      <w:r>
        <w:rPr>
          <w:rtl/>
        </w:rPr>
        <w:t xml:space="preserve"> </w:t>
      </w:r>
      <w:r>
        <w:rPr>
          <w:rFonts w:hint="cs"/>
          <w:rtl/>
        </w:rPr>
        <w:t>10</w:t>
      </w:r>
      <w:r>
        <w:rPr>
          <w:rtl/>
        </w:rPr>
        <w:t xml:space="preserve"> </w:t>
      </w:r>
      <w:r>
        <w:rPr>
          <w:rFonts w:hint="eastAsia"/>
          <w:rtl/>
        </w:rPr>
        <w:t>כדורים</w:t>
      </w:r>
      <w:r>
        <w:rPr>
          <w:rtl/>
        </w:rPr>
        <w:t xml:space="preserve">, </w:t>
      </w:r>
      <w:r>
        <w:rPr>
          <w:rFonts w:hint="eastAsia"/>
          <w:rtl/>
        </w:rPr>
        <w:t>דבר</w:t>
      </w:r>
      <w:r>
        <w:rPr>
          <w:rtl/>
        </w:rPr>
        <w:t xml:space="preserve"> </w:t>
      </w:r>
      <w:r>
        <w:rPr>
          <w:rFonts w:hint="eastAsia"/>
          <w:rtl/>
        </w:rPr>
        <w:t>הממחיש</w:t>
      </w:r>
      <w:r>
        <w:rPr>
          <w:rtl/>
        </w:rPr>
        <w:t xml:space="preserve"> </w:t>
      </w:r>
      <w:r>
        <w:rPr>
          <w:rFonts w:hint="eastAsia"/>
          <w:rtl/>
        </w:rPr>
        <w:t>את</w:t>
      </w:r>
      <w:r>
        <w:rPr>
          <w:rtl/>
        </w:rPr>
        <w:t xml:space="preserve"> </w:t>
      </w:r>
      <w:r>
        <w:rPr>
          <w:rFonts w:hint="eastAsia"/>
          <w:rtl/>
        </w:rPr>
        <w:t>פוטנציאל</w:t>
      </w:r>
      <w:r>
        <w:rPr>
          <w:rtl/>
        </w:rPr>
        <w:t xml:space="preserve"> </w:t>
      </w:r>
      <w:r>
        <w:rPr>
          <w:rFonts w:hint="eastAsia"/>
          <w:rtl/>
        </w:rPr>
        <w:t>המסוכנות</w:t>
      </w:r>
      <w:r>
        <w:rPr>
          <w:rtl/>
        </w:rPr>
        <w:t xml:space="preserve"> </w:t>
      </w:r>
      <w:r>
        <w:rPr>
          <w:rFonts w:hint="eastAsia"/>
          <w:rtl/>
        </w:rPr>
        <w:t>בעבירה</w:t>
      </w:r>
      <w:r>
        <w:rPr>
          <w:rtl/>
        </w:rPr>
        <w:t xml:space="preserve"> </w:t>
      </w:r>
      <w:r>
        <w:rPr>
          <w:rFonts w:hint="eastAsia"/>
          <w:rtl/>
        </w:rPr>
        <w:t>שבפנינו</w:t>
      </w:r>
      <w:r>
        <w:rPr>
          <w:rFonts w:hint="cs"/>
          <w:rtl/>
        </w:rPr>
        <w:t xml:space="preserve">, מה גם שהיא בוצעה במתחם של בית מגורים. עוד אוסיף, לחומרה, את העובדה שעסקינן באקדח שנגנב לפני יותר מעשור מבעליו החוקיים. זאת ועוד, הנאשם נשא את הנשק במקום בו התקהלו אנשים רבים, דבר המוסיף נופך של חומרה להתנהלותו ומלמד בדבר הסכנה לציבור הצפויה מביצוע העבירה. </w:t>
      </w:r>
    </w:p>
    <w:p w14:paraId="48C49ED6" w14:textId="77777777" w:rsidR="00D0309E" w:rsidRDefault="00D0309E" w:rsidP="00D0309E">
      <w:pPr>
        <w:spacing w:line="360" w:lineRule="auto"/>
        <w:jc w:val="both"/>
        <w:rPr>
          <w:rtl/>
        </w:rPr>
      </w:pPr>
    </w:p>
    <w:p w14:paraId="3A0E576D" w14:textId="77777777" w:rsidR="00D0309E" w:rsidRDefault="00D0309E" w:rsidP="00D0309E">
      <w:pPr>
        <w:spacing w:line="360" w:lineRule="auto"/>
        <w:jc w:val="both"/>
        <w:rPr>
          <w:rtl/>
        </w:rPr>
      </w:pPr>
      <w:r>
        <w:rPr>
          <w:rFonts w:hint="cs"/>
          <w:rtl/>
        </w:rPr>
        <w:t xml:space="preserve">26. </w:t>
      </w:r>
      <w:r>
        <w:rPr>
          <w:rFonts w:hint="cs"/>
          <w:rtl/>
        </w:rPr>
        <w:tab/>
        <w:t>אין מקום, כאמור, לאמץ את הסבריו של הנאשם בפני שירות המבחן באשר לאופן השגת הנשק ולמניע  לביצוע העבירה כעובדה מוכחת בתיק זה, שכן עסקינן בעובדות  החורגות ממסכת עובדות כתב האישום המתוקן. עם זאת יצוין, כי אף אם נשא הנאשם את הנשק  כדי להרשים את האחר, הרי שאין עסקינן בנסיבה לקולה. יובהר לעניין זה כי יש לראות בחומרה רבה נשיאה של אקדח ובו תחמושת לצורך התרברבות בפני קהל רב ועל מנת להרשימו, שהרי מעשה זה טומן בחובו מסר שלילי ומסוכנות רבה לציבור.</w:t>
      </w:r>
    </w:p>
    <w:p w14:paraId="533CC8B6" w14:textId="77777777" w:rsidR="00D0309E" w:rsidRDefault="00D0309E" w:rsidP="00D0309E">
      <w:pPr>
        <w:spacing w:line="360" w:lineRule="auto"/>
        <w:jc w:val="both"/>
        <w:rPr>
          <w:rtl/>
        </w:rPr>
      </w:pPr>
    </w:p>
    <w:p w14:paraId="5DECDF55" w14:textId="77777777" w:rsidR="00D0309E" w:rsidRPr="00D0309E" w:rsidRDefault="00D0309E" w:rsidP="00D0309E">
      <w:pPr>
        <w:spacing w:line="360" w:lineRule="auto"/>
        <w:jc w:val="both"/>
        <w:rPr>
          <w:rFonts w:ascii="Calibri" w:hAnsi="Calibri"/>
          <w:rtl/>
        </w:rPr>
      </w:pPr>
      <w:r>
        <w:rPr>
          <w:rFonts w:hint="cs"/>
          <w:rtl/>
        </w:rPr>
        <w:t xml:space="preserve">27. </w:t>
      </w:r>
      <w:r>
        <w:rPr>
          <w:rFonts w:hint="cs"/>
          <w:rtl/>
        </w:rPr>
        <w:tab/>
      </w:r>
      <w:r w:rsidRPr="00D0309E">
        <w:rPr>
          <w:rFonts w:ascii="Calibri" w:hAnsi="Calibri" w:hint="eastAsia"/>
          <w:rtl/>
        </w:rPr>
        <w:t>במסגרת</w:t>
      </w:r>
      <w:r w:rsidRPr="00D0309E">
        <w:rPr>
          <w:rFonts w:ascii="Calibri" w:hAnsi="Calibri"/>
          <w:rtl/>
        </w:rPr>
        <w:t xml:space="preserve"> </w:t>
      </w:r>
      <w:r w:rsidRPr="00D0309E">
        <w:rPr>
          <w:rFonts w:ascii="Calibri" w:hAnsi="Calibri" w:hint="eastAsia"/>
          <w:rtl/>
        </w:rPr>
        <w:t>סקירת</w:t>
      </w:r>
      <w:r w:rsidRPr="00D0309E">
        <w:rPr>
          <w:rFonts w:ascii="Calibri" w:hAnsi="Calibri"/>
          <w:rtl/>
        </w:rPr>
        <w:t xml:space="preserve"> </w:t>
      </w:r>
      <w:r w:rsidRPr="00D0309E">
        <w:rPr>
          <w:rFonts w:ascii="Calibri" w:hAnsi="Calibri" w:hint="eastAsia"/>
          <w:rtl/>
        </w:rPr>
        <w:t>מדיניות</w:t>
      </w:r>
      <w:r w:rsidRPr="00D0309E">
        <w:rPr>
          <w:rFonts w:ascii="Calibri" w:hAnsi="Calibri"/>
          <w:rtl/>
        </w:rPr>
        <w:t xml:space="preserve"> </w:t>
      </w:r>
      <w:r w:rsidRPr="00D0309E">
        <w:rPr>
          <w:rFonts w:ascii="Calibri" w:hAnsi="Calibri" w:hint="eastAsia"/>
          <w:rtl/>
        </w:rPr>
        <w:t>הענישה</w:t>
      </w:r>
      <w:r w:rsidRPr="00D0309E">
        <w:rPr>
          <w:rFonts w:ascii="Calibri" w:hAnsi="Calibri"/>
          <w:rtl/>
        </w:rPr>
        <w:t xml:space="preserve"> </w:t>
      </w:r>
      <w:r w:rsidRPr="00D0309E">
        <w:rPr>
          <w:rFonts w:ascii="Calibri" w:hAnsi="Calibri" w:hint="eastAsia"/>
          <w:rtl/>
        </w:rPr>
        <w:t>הנהוגה</w:t>
      </w:r>
      <w:r w:rsidRPr="00D0309E">
        <w:rPr>
          <w:rFonts w:ascii="Calibri" w:hAnsi="Calibri"/>
          <w:rtl/>
        </w:rPr>
        <w:t xml:space="preserve"> </w:t>
      </w:r>
      <w:r w:rsidRPr="00D0309E">
        <w:rPr>
          <w:rFonts w:ascii="Calibri" w:hAnsi="Calibri" w:hint="eastAsia"/>
          <w:rtl/>
        </w:rPr>
        <w:t>בגין</w:t>
      </w:r>
      <w:r w:rsidRPr="00D0309E">
        <w:rPr>
          <w:rFonts w:ascii="Calibri" w:hAnsi="Calibri"/>
          <w:rtl/>
        </w:rPr>
        <w:t xml:space="preserve"> </w:t>
      </w:r>
      <w:r w:rsidRPr="00D0309E">
        <w:rPr>
          <w:rFonts w:ascii="Calibri" w:hAnsi="Calibri" w:hint="eastAsia"/>
          <w:rtl/>
        </w:rPr>
        <w:t>העבירה</w:t>
      </w:r>
      <w:r w:rsidRPr="00D0309E">
        <w:rPr>
          <w:rFonts w:ascii="Calibri" w:hAnsi="Calibri"/>
          <w:rtl/>
        </w:rPr>
        <w:t xml:space="preserve"> </w:t>
      </w:r>
      <w:r w:rsidRPr="00D0309E">
        <w:rPr>
          <w:rFonts w:ascii="Calibri" w:hAnsi="Calibri" w:hint="eastAsia"/>
          <w:rtl/>
        </w:rPr>
        <w:t>שעניינה</w:t>
      </w:r>
      <w:r w:rsidRPr="00D0309E">
        <w:rPr>
          <w:rFonts w:ascii="Calibri" w:hAnsi="Calibri"/>
          <w:rtl/>
        </w:rPr>
        <w:t xml:space="preserve"> </w:t>
      </w:r>
      <w:r w:rsidRPr="00D0309E">
        <w:rPr>
          <w:rFonts w:ascii="Calibri" w:hAnsi="Calibri" w:hint="eastAsia"/>
          <w:rtl/>
        </w:rPr>
        <w:t>נשיאת</w:t>
      </w:r>
      <w:r w:rsidRPr="00D0309E">
        <w:rPr>
          <w:rFonts w:ascii="Calibri" w:hAnsi="Calibri"/>
          <w:rtl/>
        </w:rPr>
        <w:t xml:space="preserve"> </w:t>
      </w:r>
      <w:r w:rsidRPr="00D0309E">
        <w:rPr>
          <w:rFonts w:ascii="Calibri" w:hAnsi="Calibri" w:hint="eastAsia"/>
          <w:rtl/>
        </w:rPr>
        <w:t>נשק</w:t>
      </w:r>
      <w:r w:rsidRPr="00D0309E">
        <w:rPr>
          <w:rFonts w:ascii="Calibri" w:hAnsi="Calibri" w:hint="cs"/>
          <w:rtl/>
        </w:rPr>
        <w:t>,</w:t>
      </w:r>
      <w:r w:rsidRPr="00D0309E">
        <w:rPr>
          <w:rFonts w:ascii="Calibri" w:hAnsi="Calibri"/>
          <w:rtl/>
        </w:rPr>
        <w:t xml:space="preserve"> </w:t>
      </w:r>
      <w:r w:rsidRPr="00D0309E">
        <w:rPr>
          <w:rFonts w:ascii="Calibri" w:hAnsi="Calibri" w:hint="eastAsia"/>
          <w:rtl/>
        </w:rPr>
        <w:t>תובא</w:t>
      </w:r>
      <w:r w:rsidRPr="00D0309E">
        <w:rPr>
          <w:rFonts w:ascii="Calibri" w:hAnsi="Calibri"/>
          <w:rtl/>
        </w:rPr>
        <w:t xml:space="preserve"> </w:t>
      </w:r>
      <w:r w:rsidRPr="00D0309E">
        <w:rPr>
          <w:rFonts w:ascii="Calibri" w:hAnsi="Calibri" w:hint="eastAsia"/>
          <w:rtl/>
        </w:rPr>
        <w:t>הפסיקה</w:t>
      </w:r>
      <w:r w:rsidRPr="00D0309E">
        <w:rPr>
          <w:rFonts w:ascii="Calibri" w:hAnsi="Calibri"/>
          <w:rtl/>
        </w:rPr>
        <w:t xml:space="preserve"> </w:t>
      </w:r>
      <w:r w:rsidRPr="00D0309E">
        <w:rPr>
          <w:rFonts w:ascii="Calibri" w:hAnsi="Calibri" w:hint="eastAsia"/>
          <w:rtl/>
        </w:rPr>
        <w:t>הבאה</w:t>
      </w:r>
      <w:r w:rsidRPr="00D0309E">
        <w:rPr>
          <w:rFonts w:ascii="Calibri" w:hAnsi="Calibri"/>
          <w:rtl/>
        </w:rPr>
        <w:t>:</w:t>
      </w:r>
    </w:p>
    <w:p w14:paraId="6340AB53" w14:textId="77777777" w:rsidR="00D0309E" w:rsidRPr="00D0309E" w:rsidRDefault="00D0309E" w:rsidP="00D0309E">
      <w:pPr>
        <w:spacing w:line="360" w:lineRule="auto"/>
        <w:ind w:left="1080"/>
        <w:jc w:val="both"/>
        <w:rPr>
          <w:rFonts w:ascii="Calibri" w:hAnsi="Calibri"/>
          <w:rtl/>
        </w:rPr>
      </w:pPr>
    </w:p>
    <w:p w14:paraId="42F97B20" w14:textId="77777777" w:rsidR="00D0309E" w:rsidRPr="00D0309E" w:rsidRDefault="00D0309E" w:rsidP="00D0309E">
      <w:pPr>
        <w:pStyle w:val="ListParagraph"/>
        <w:numPr>
          <w:ilvl w:val="0"/>
          <w:numId w:val="11"/>
        </w:numPr>
        <w:spacing w:line="360" w:lineRule="auto"/>
        <w:rPr>
          <w:rFonts w:ascii="Calibri" w:hAnsi="Calibri"/>
        </w:rPr>
      </w:pPr>
      <w:r w:rsidRPr="00D0309E">
        <w:rPr>
          <w:rFonts w:ascii="Calibri" w:hAnsi="Calibri" w:hint="eastAsia"/>
          <w:rtl/>
        </w:rPr>
        <w:t>ב</w:t>
      </w:r>
      <w:hyperlink r:id="rId31" w:history="1">
        <w:r w:rsidR="00F81156" w:rsidRPr="00F81156">
          <w:rPr>
            <w:rFonts w:ascii="Calibri" w:hAnsi="Calibri" w:hint="eastAsia"/>
            <w:color w:val="0000FF"/>
            <w:u w:val="single"/>
            <w:rtl/>
          </w:rPr>
          <w:t>ת</w:t>
        </w:r>
        <w:r w:rsidR="00F81156" w:rsidRPr="00F81156">
          <w:rPr>
            <w:rFonts w:ascii="Calibri" w:hAnsi="Calibri"/>
            <w:color w:val="0000FF"/>
            <w:u w:val="single"/>
            <w:rtl/>
          </w:rPr>
          <w:t>"</w:t>
        </w:r>
        <w:r w:rsidR="00F81156" w:rsidRPr="00F81156">
          <w:rPr>
            <w:rFonts w:ascii="Calibri" w:hAnsi="Calibri" w:hint="eastAsia"/>
            <w:color w:val="0000FF"/>
            <w:u w:val="single"/>
            <w:rtl/>
          </w:rPr>
          <w:t>פ</w:t>
        </w:r>
        <w:r w:rsidR="00F81156" w:rsidRPr="00F81156">
          <w:rPr>
            <w:rFonts w:ascii="Calibri" w:hAnsi="Calibri"/>
            <w:color w:val="0000FF"/>
            <w:u w:val="single"/>
            <w:rtl/>
          </w:rPr>
          <w:t xml:space="preserve"> (</w:t>
        </w:r>
        <w:r w:rsidR="00F81156" w:rsidRPr="00F81156">
          <w:rPr>
            <w:rFonts w:ascii="Calibri" w:hAnsi="Calibri" w:hint="eastAsia"/>
            <w:color w:val="0000FF"/>
            <w:u w:val="single"/>
            <w:rtl/>
          </w:rPr>
          <w:t>מחוזי</w:t>
        </w:r>
        <w:r w:rsidR="00F81156" w:rsidRPr="00F81156">
          <w:rPr>
            <w:rFonts w:ascii="Calibri" w:hAnsi="Calibri"/>
            <w:color w:val="0000FF"/>
            <w:u w:val="single"/>
            <w:rtl/>
          </w:rPr>
          <w:t xml:space="preserve"> </w:t>
        </w:r>
        <w:r w:rsidR="00F81156" w:rsidRPr="00F81156">
          <w:rPr>
            <w:rFonts w:ascii="Calibri" w:hAnsi="Calibri" w:hint="eastAsia"/>
            <w:color w:val="0000FF"/>
            <w:u w:val="single"/>
            <w:rtl/>
          </w:rPr>
          <w:t>באר</w:t>
        </w:r>
        <w:r w:rsidR="00F81156" w:rsidRPr="00F81156">
          <w:rPr>
            <w:rFonts w:ascii="Calibri" w:hAnsi="Calibri"/>
            <w:color w:val="0000FF"/>
            <w:u w:val="single"/>
            <w:rtl/>
          </w:rPr>
          <w:t xml:space="preserve"> </w:t>
        </w:r>
        <w:r w:rsidR="00F81156" w:rsidRPr="00F81156">
          <w:rPr>
            <w:rFonts w:ascii="Calibri" w:hAnsi="Calibri" w:hint="eastAsia"/>
            <w:color w:val="0000FF"/>
            <w:u w:val="single"/>
            <w:rtl/>
          </w:rPr>
          <w:t>שבע</w:t>
        </w:r>
        <w:r w:rsidR="00F81156" w:rsidRPr="00F81156">
          <w:rPr>
            <w:rFonts w:ascii="Calibri" w:hAnsi="Calibri"/>
            <w:color w:val="0000FF"/>
            <w:u w:val="single"/>
            <w:rtl/>
          </w:rPr>
          <w:t>) 4338-04-13</w:t>
        </w:r>
      </w:hyperlink>
      <w:r w:rsidRPr="00D0309E">
        <w:rPr>
          <w:rFonts w:ascii="Calibri" w:hAnsi="Calibri"/>
          <w:rtl/>
        </w:rPr>
        <w:t xml:space="preserve">  </w:t>
      </w:r>
      <w:r w:rsidRPr="00D0309E">
        <w:rPr>
          <w:rFonts w:ascii="Calibri" w:hAnsi="Calibri" w:cs="Miriam" w:hint="eastAsia"/>
          <w:rtl/>
        </w:rPr>
        <w:t>מדינת</w:t>
      </w:r>
      <w:r w:rsidRPr="00D0309E">
        <w:rPr>
          <w:rFonts w:ascii="Calibri" w:hAnsi="Calibri" w:cs="Miriam"/>
          <w:rtl/>
        </w:rPr>
        <w:t xml:space="preserve"> </w:t>
      </w:r>
      <w:r w:rsidRPr="00D0309E">
        <w:rPr>
          <w:rFonts w:ascii="Calibri" w:hAnsi="Calibri" w:cs="Miriam" w:hint="eastAsia"/>
          <w:rtl/>
        </w:rPr>
        <w:t>ישראל</w:t>
      </w:r>
      <w:r w:rsidRPr="00D0309E">
        <w:rPr>
          <w:rFonts w:ascii="Calibri" w:hAnsi="Calibri" w:cs="Miriam"/>
          <w:rtl/>
        </w:rPr>
        <w:t xml:space="preserve"> </w:t>
      </w:r>
      <w:r w:rsidRPr="00D0309E">
        <w:rPr>
          <w:rFonts w:ascii="Calibri" w:hAnsi="Calibri" w:cs="Miriam" w:hint="eastAsia"/>
          <w:rtl/>
        </w:rPr>
        <w:t>נ</w:t>
      </w:r>
      <w:r w:rsidRPr="00D0309E">
        <w:rPr>
          <w:rFonts w:ascii="Calibri" w:hAnsi="Calibri" w:cs="Miriam"/>
          <w:rtl/>
        </w:rPr>
        <w:t xml:space="preserve">' </w:t>
      </w:r>
      <w:r w:rsidRPr="00D0309E">
        <w:rPr>
          <w:rFonts w:ascii="Calibri" w:hAnsi="Calibri" w:cs="Miriam" w:hint="eastAsia"/>
          <w:rtl/>
        </w:rPr>
        <w:t>אביעוז</w:t>
      </w:r>
      <w:r w:rsidRPr="00D0309E">
        <w:rPr>
          <w:rFonts w:ascii="Calibri" w:hAnsi="Calibri"/>
          <w:rtl/>
        </w:rPr>
        <w:t xml:space="preserve"> ( 11.12.16) </w:t>
      </w:r>
      <w:r w:rsidRPr="00D0309E">
        <w:rPr>
          <w:rFonts w:ascii="Calibri" w:hAnsi="Calibri" w:hint="eastAsia"/>
          <w:rtl/>
        </w:rPr>
        <w:t>הושת</w:t>
      </w:r>
      <w:r w:rsidRPr="00D0309E">
        <w:rPr>
          <w:rFonts w:ascii="Calibri" w:hAnsi="Calibri"/>
          <w:rtl/>
        </w:rPr>
        <w:t xml:space="preserve"> </w:t>
      </w:r>
      <w:r w:rsidRPr="00D0309E">
        <w:rPr>
          <w:rFonts w:ascii="Calibri" w:hAnsi="Calibri" w:hint="eastAsia"/>
          <w:rtl/>
        </w:rPr>
        <w:t>על</w:t>
      </w:r>
      <w:r w:rsidRPr="00D0309E">
        <w:rPr>
          <w:rFonts w:ascii="Calibri" w:hAnsi="Calibri"/>
          <w:rtl/>
        </w:rPr>
        <w:t xml:space="preserve"> </w:t>
      </w:r>
      <w:r w:rsidRPr="00D0309E">
        <w:rPr>
          <w:rFonts w:ascii="Calibri" w:hAnsi="Calibri" w:hint="eastAsia"/>
          <w:rtl/>
        </w:rPr>
        <w:t>נאשם</w:t>
      </w:r>
      <w:r w:rsidRPr="00D0309E">
        <w:rPr>
          <w:rFonts w:ascii="Calibri" w:hAnsi="Calibri"/>
          <w:rtl/>
        </w:rPr>
        <w:t xml:space="preserve"> </w:t>
      </w:r>
      <w:r w:rsidRPr="00D0309E">
        <w:rPr>
          <w:rFonts w:ascii="Calibri" w:hAnsi="Calibri" w:hint="eastAsia"/>
          <w:rtl/>
        </w:rPr>
        <w:t>שהורשע</w:t>
      </w:r>
      <w:r w:rsidRPr="00D0309E">
        <w:rPr>
          <w:rFonts w:ascii="Calibri" w:hAnsi="Calibri"/>
          <w:rtl/>
        </w:rPr>
        <w:t xml:space="preserve">, </w:t>
      </w:r>
      <w:r w:rsidRPr="00D0309E">
        <w:rPr>
          <w:rFonts w:ascii="Calibri" w:hAnsi="Calibri" w:hint="eastAsia"/>
          <w:rtl/>
        </w:rPr>
        <w:t>לאחר</w:t>
      </w:r>
      <w:r w:rsidRPr="00D0309E">
        <w:rPr>
          <w:rFonts w:ascii="Calibri" w:hAnsi="Calibri"/>
          <w:rtl/>
        </w:rPr>
        <w:t xml:space="preserve"> </w:t>
      </w:r>
      <w:r w:rsidRPr="00D0309E">
        <w:rPr>
          <w:rFonts w:ascii="Calibri" w:hAnsi="Calibri" w:hint="eastAsia"/>
          <w:rtl/>
        </w:rPr>
        <w:t>שמיעת</w:t>
      </w:r>
      <w:r w:rsidRPr="00D0309E">
        <w:rPr>
          <w:rFonts w:ascii="Calibri" w:hAnsi="Calibri"/>
          <w:rtl/>
        </w:rPr>
        <w:t xml:space="preserve"> </w:t>
      </w:r>
      <w:r w:rsidRPr="00D0309E">
        <w:rPr>
          <w:rFonts w:ascii="Calibri" w:hAnsi="Calibri" w:hint="eastAsia"/>
          <w:rtl/>
        </w:rPr>
        <w:t>ראיות</w:t>
      </w:r>
      <w:r w:rsidRPr="00D0309E">
        <w:rPr>
          <w:rFonts w:ascii="Calibri" w:hAnsi="Calibri"/>
          <w:rtl/>
        </w:rPr>
        <w:t xml:space="preserve">, </w:t>
      </w:r>
      <w:r w:rsidRPr="00D0309E">
        <w:rPr>
          <w:rFonts w:ascii="Calibri" w:hAnsi="Calibri" w:hint="eastAsia"/>
          <w:rtl/>
        </w:rPr>
        <w:t>בעבירה</w:t>
      </w:r>
      <w:r w:rsidRPr="00D0309E">
        <w:rPr>
          <w:rFonts w:ascii="Calibri" w:hAnsi="Calibri"/>
          <w:rtl/>
        </w:rPr>
        <w:t xml:space="preserve"> </w:t>
      </w:r>
      <w:r w:rsidRPr="00D0309E">
        <w:rPr>
          <w:rFonts w:ascii="Calibri" w:hAnsi="Calibri" w:hint="eastAsia"/>
          <w:rtl/>
        </w:rPr>
        <w:t>של</w:t>
      </w:r>
      <w:r w:rsidRPr="00D0309E">
        <w:rPr>
          <w:rFonts w:ascii="Calibri" w:hAnsi="Calibri"/>
          <w:rtl/>
        </w:rPr>
        <w:t xml:space="preserve"> </w:t>
      </w:r>
      <w:r w:rsidRPr="00D0309E">
        <w:rPr>
          <w:rFonts w:ascii="Calibri" w:hAnsi="Calibri" w:hint="eastAsia"/>
          <w:rtl/>
        </w:rPr>
        <w:t>תגרה</w:t>
      </w:r>
      <w:r w:rsidRPr="00D0309E">
        <w:rPr>
          <w:rFonts w:ascii="Calibri" w:hAnsi="Calibri"/>
          <w:rtl/>
        </w:rPr>
        <w:t xml:space="preserve"> </w:t>
      </w:r>
      <w:r w:rsidRPr="00D0309E">
        <w:rPr>
          <w:rFonts w:ascii="Calibri" w:hAnsi="Calibri" w:hint="eastAsia"/>
          <w:rtl/>
        </w:rPr>
        <w:t>ובעבירות</w:t>
      </w:r>
      <w:r w:rsidRPr="00D0309E">
        <w:rPr>
          <w:rFonts w:ascii="Calibri" w:hAnsi="Calibri"/>
          <w:rtl/>
        </w:rPr>
        <w:t xml:space="preserve"> </w:t>
      </w:r>
      <w:r w:rsidRPr="00D0309E">
        <w:rPr>
          <w:rFonts w:ascii="Calibri" w:hAnsi="Calibri" w:hint="eastAsia"/>
          <w:rtl/>
        </w:rPr>
        <w:t>ש</w:t>
      </w:r>
      <w:r w:rsidRPr="00D0309E">
        <w:rPr>
          <w:rFonts w:ascii="Calibri" w:hAnsi="Calibri" w:hint="cs"/>
          <w:rtl/>
        </w:rPr>
        <w:t>עניינן</w:t>
      </w:r>
      <w:r w:rsidRPr="00D0309E">
        <w:rPr>
          <w:rFonts w:ascii="Calibri" w:hAnsi="Calibri"/>
          <w:rtl/>
        </w:rPr>
        <w:t xml:space="preserve"> </w:t>
      </w:r>
      <w:r w:rsidRPr="00D0309E">
        <w:rPr>
          <w:rFonts w:ascii="Calibri" w:hAnsi="Calibri" w:hint="eastAsia"/>
          <w:rtl/>
        </w:rPr>
        <w:t>נשיאת</w:t>
      </w:r>
      <w:r w:rsidRPr="00D0309E">
        <w:rPr>
          <w:rFonts w:ascii="Calibri" w:hAnsi="Calibri"/>
          <w:rtl/>
        </w:rPr>
        <w:t xml:space="preserve"> </w:t>
      </w:r>
      <w:r w:rsidRPr="00D0309E">
        <w:rPr>
          <w:rFonts w:ascii="Calibri" w:hAnsi="Calibri" w:hint="eastAsia"/>
          <w:rtl/>
        </w:rPr>
        <w:t>והובלת</w:t>
      </w:r>
      <w:r w:rsidRPr="00D0309E">
        <w:rPr>
          <w:rFonts w:ascii="Calibri" w:hAnsi="Calibri"/>
          <w:rtl/>
        </w:rPr>
        <w:t xml:space="preserve"> </w:t>
      </w:r>
      <w:r w:rsidRPr="00D0309E">
        <w:rPr>
          <w:rFonts w:ascii="Calibri" w:hAnsi="Calibri" w:hint="eastAsia"/>
          <w:rtl/>
        </w:rPr>
        <w:t>נשק</w:t>
      </w:r>
      <w:r w:rsidRPr="00D0309E">
        <w:rPr>
          <w:rFonts w:ascii="Calibri" w:hAnsi="Calibri"/>
          <w:rtl/>
        </w:rPr>
        <w:t xml:space="preserve"> - </w:t>
      </w:r>
      <w:r w:rsidRPr="00D0309E">
        <w:rPr>
          <w:rFonts w:ascii="Calibri" w:hAnsi="Calibri" w:hint="eastAsia"/>
          <w:rtl/>
        </w:rPr>
        <w:t>עונש</w:t>
      </w:r>
      <w:r w:rsidRPr="00D0309E">
        <w:rPr>
          <w:rFonts w:ascii="Calibri" w:hAnsi="Calibri"/>
          <w:rtl/>
        </w:rPr>
        <w:t xml:space="preserve"> </w:t>
      </w:r>
      <w:r w:rsidRPr="00D0309E">
        <w:rPr>
          <w:rFonts w:ascii="Calibri" w:hAnsi="Calibri" w:hint="eastAsia"/>
          <w:rtl/>
        </w:rPr>
        <w:t>של</w:t>
      </w:r>
      <w:r w:rsidRPr="00D0309E">
        <w:rPr>
          <w:rFonts w:ascii="Calibri" w:hAnsi="Calibri"/>
          <w:rtl/>
        </w:rPr>
        <w:t xml:space="preserve"> 14 </w:t>
      </w:r>
      <w:r w:rsidRPr="00D0309E">
        <w:rPr>
          <w:rFonts w:ascii="Calibri" w:hAnsi="Calibri" w:hint="eastAsia"/>
          <w:rtl/>
        </w:rPr>
        <w:t>חודשי</w:t>
      </w:r>
      <w:r w:rsidRPr="00D0309E">
        <w:rPr>
          <w:rFonts w:ascii="Calibri" w:hAnsi="Calibri"/>
          <w:rtl/>
        </w:rPr>
        <w:t xml:space="preserve"> </w:t>
      </w:r>
      <w:r w:rsidRPr="00D0309E">
        <w:rPr>
          <w:rFonts w:ascii="Calibri" w:hAnsi="Calibri" w:hint="eastAsia"/>
          <w:rtl/>
        </w:rPr>
        <w:t>מאסר</w:t>
      </w:r>
      <w:r w:rsidRPr="00D0309E">
        <w:rPr>
          <w:rFonts w:ascii="Calibri" w:hAnsi="Calibri"/>
          <w:rtl/>
        </w:rPr>
        <w:t xml:space="preserve"> </w:t>
      </w:r>
      <w:r w:rsidRPr="00D0309E">
        <w:rPr>
          <w:rFonts w:ascii="Calibri" w:hAnsi="Calibri" w:hint="eastAsia"/>
          <w:rtl/>
        </w:rPr>
        <w:t>בפועל</w:t>
      </w:r>
      <w:r w:rsidRPr="00D0309E">
        <w:rPr>
          <w:rFonts w:ascii="Calibri" w:hAnsi="Calibri"/>
          <w:rtl/>
        </w:rPr>
        <w:t xml:space="preserve">, </w:t>
      </w:r>
      <w:r w:rsidRPr="00D0309E">
        <w:rPr>
          <w:rFonts w:ascii="Calibri" w:hAnsi="Calibri" w:hint="eastAsia"/>
          <w:rtl/>
        </w:rPr>
        <w:t>בצירוף</w:t>
      </w:r>
      <w:r w:rsidRPr="00D0309E">
        <w:rPr>
          <w:rFonts w:ascii="Calibri" w:hAnsi="Calibri"/>
          <w:rtl/>
        </w:rPr>
        <w:t xml:space="preserve"> </w:t>
      </w:r>
      <w:r w:rsidRPr="00D0309E">
        <w:rPr>
          <w:rFonts w:ascii="Calibri" w:hAnsi="Calibri" w:hint="eastAsia"/>
          <w:rtl/>
        </w:rPr>
        <w:t>ענישה</w:t>
      </w:r>
      <w:r w:rsidRPr="00D0309E">
        <w:rPr>
          <w:rFonts w:ascii="Calibri" w:hAnsi="Calibri"/>
          <w:rtl/>
        </w:rPr>
        <w:t xml:space="preserve"> </w:t>
      </w:r>
      <w:r w:rsidRPr="00D0309E">
        <w:rPr>
          <w:rFonts w:ascii="Calibri" w:hAnsi="Calibri" w:hint="eastAsia"/>
          <w:rtl/>
        </w:rPr>
        <w:t>נלווית</w:t>
      </w:r>
      <w:r w:rsidRPr="00D0309E">
        <w:rPr>
          <w:rFonts w:ascii="Calibri" w:hAnsi="Calibri"/>
          <w:rtl/>
        </w:rPr>
        <w:t xml:space="preserve">. </w:t>
      </w:r>
      <w:r w:rsidRPr="00D0309E">
        <w:rPr>
          <w:rFonts w:ascii="Calibri" w:hAnsi="Calibri" w:hint="eastAsia"/>
          <w:rtl/>
        </w:rPr>
        <w:t>במקרה</w:t>
      </w:r>
      <w:r w:rsidRPr="00D0309E">
        <w:rPr>
          <w:rFonts w:ascii="Calibri" w:hAnsi="Calibri"/>
          <w:rtl/>
        </w:rPr>
        <w:t xml:space="preserve"> </w:t>
      </w:r>
      <w:r w:rsidRPr="00D0309E">
        <w:rPr>
          <w:rFonts w:ascii="Calibri" w:hAnsi="Calibri" w:hint="eastAsia"/>
          <w:rtl/>
        </w:rPr>
        <w:t>הנ</w:t>
      </w:r>
      <w:r w:rsidRPr="00D0309E">
        <w:rPr>
          <w:rFonts w:ascii="Calibri" w:hAnsi="Calibri"/>
          <w:rtl/>
        </w:rPr>
        <w:t>"</w:t>
      </w:r>
      <w:r w:rsidRPr="00D0309E">
        <w:rPr>
          <w:rFonts w:ascii="Calibri" w:hAnsi="Calibri" w:hint="eastAsia"/>
          <w:rtl/>
        </w:rPr>
        <w:t>ל</w:t>
      </w:r>
      <w:r w:rsidRPr="00D0309E">
        <w:rPr>
          <w:rFonts w:ascii="Calibri" w:hAnsi="Calibri"/>
          <w:rtl/>
        </w:rPr>
        <w:t xml:space="preserve"> </w:t>
      </w:r>
      <w:r w:rsidRPr="00D0309E">
        <w:rPr>
          <w:rFonts w:ascii="Calibri" w:hAnsi="Calibri" w:hint="eastAsia"/>
          <w:rtl/>
        </w:rPr>
        <w:t>דובר</w:t>
      </w:r>
      <w:r w:rsidRPr="00D0309E">
        <w:rPr>
          <w:rFonts w:ascii="Calibri" w:hAnsi="Calibri"/>
          <w:rtl/>
        </w:rPr>
        <w:t xml:space="preserve"> </w:t>
      </w:r>
      <w:r w:rsidRPr="00D0309E">
        <w:rPr>
          <w:rFonts w:ascii="Calibri" w:hAnsi="Calibri" w:hint="eastAsia"/>
          <w:rtl/>
        </w:rPr>
        <w:t>בנאשם</w:t>
      </w:r>
      <w:r w:rsidRPr="00D0309E">
        <w:rPr>
          <w:rFonts w:ascii="Calibri" w:hAnsi="Calibri"/>
          <w:rtl/>
        </w:rPr>
        <w:t xml:space="preserve"> </w:t>
      </w:r>
      <w:r w:rsidRPr="00D0309E">
        <w:rPr>
          <w:rFonts w:ascii="Calibri" w:hAnsi="Calibri" w:hint="eastAsia"/>
          <w:rtl/>
        </w:rPr>
        <w:t>שנשא</w:t>
      </w:r>
      <w:r w:rsidRPr="00D0309E">
        <w:rPr>
          <w:rFonts w:ascii="Calibri" w:hAnsi="Calibri"/>
          <w:rtl/>
        </w:rPr>
        <w:t xml:space="preserve"> </w:t>
      </w:r>
      <w:r w:rsidRPr="00D0309E">
        <w:rPr>
          <w:rFonts w:ascii="Calibri" w:hAnsi="Calibri" w:hint="eastAsia"/>
          <w:rtl/>
        </w:rPr>
        <w:t>במכנסיו</w:t>
      </w:r>
      <w:r w:rsidRPr="00D0309E">
        <w:rPr>
          <w:rFonts w:ascii="Calibri" w:hAnsi="Calibri"/>
          <w:rtl/>
        </w:rPr>
        <w:t xml:space="preserve"> </w:t>
      </w:r>
      <w:r w:rsidRPr="00D0309E">
        <w:rPr>
          <w:rFonts w:ascii="Calibri" w:hAnsi="Calibri" w:hint="eastAsia"/>
          <w:rtl/>
        </w:rPr>
        <w:t>מאחור</w:t>
      </w:r>
      <w:r w:rsidRPr="00D0309E">
        <w:rPr>
          <w:rFonts w:ascii="Calibri" w:hAnsi="Calibri"/>
          <w:rtl/>
        </w:rPr>
        <w:t xml:space="preserve"> </w:t>
      </w:r>
      <w:r w:rsidRPr="00D0309E">
        <w:rPr>
          <w:rFonts w:ascii="Calibri" w:hAnsi="Calibri" w:hint="eastAsia"/>
          <w:rtl/>
        </w:rPr>
        <w:t>אקדח</w:t>
      </w:r>
      <w:r w:rsidRPr="00D0309E">
        <w:rPr>
          <w:rFonts w:ascii="Calibri" w:hAnsi="Calibri"/>
          <w:rtl/>
        </w:rPr>
        <w:t xml:space="preserve"> </w:t>
      </w:r>
      <w:r w:rsidRPr="00D0309E">
        <w:rPr>
          <w:rFonts w:ascii="Calibri" w:hAnsi="Calibri" w:hint="eastAsia"/>
          <w:rtl/>
        </w:rPr>
        <w:t>מסוג</w:t>
      </w:r>
      <w:r w:rsidRPr="00D0309E">
        <w:rPr>
          <w:rFonts w:ascii="Calibri" w:hAnsi="Calibri"/>
          <w:rtl/>
        </w:rPr>
        <w:t xml:space="preserve"> </w:t>
      </w:r>
      <w:r w:rsidRPr="00D0309E">
        <w:rPr>
          <w:rFonts w:ascii="Calibri" w:hAnsi="Calibri" w:hint="eastAsia"/>
          <w:rtl/>
        </w:rPr>
        <w:t>ברטה</w:t>
      </w:r>
      <w:r w:rsidRPr="00D0309E">
        <w:rPr>
          <w:rFonts w:ascii="Calibri" w:hAnsi="Calibri"/>
          <w:rtl/>
        </w:rPr>
        <w:t xml:space="preserve">, </w:t>
      </w:r>
      <w:r w:rsidRPr="00D0309E">
        <w:rPr>
          <w:rFonts w:ascii="Calibri" w:hAnsi="Calibri" w:hint="eastAsia"/>
          <w:rtl/>
        </w:rPr>
        <w:t>טעון</w:t>
      </w:r>
      <w:r w:rsidRPr="00D0309E">
        <w:rPr>
          <w:rFonts w:ascii="Calibri" w:hAnsi="Calibri"/>
          <w:rtl/>
        </w:rPr>
        <w:t xml:space="preserve"> </w:t>
      </w:r>
      <w:r w:rsidRPr="00D0309E">
        <w:rPr>
          <w:rFonts w:ascii="Calibri" w:hAnsi="Calibri" w:hint="eastAsia"/>
          <w:rtl/>
        </w:rPr>
        <w:t>במחסנית</w:t>
      </w:r>
      <w:r w:rsidRPr="00D0309E">
        <w:rPr>
          <w:rFonts w:ascii="Calibri" w:hAnsi="Calibri"/>
          <w:rtl/>
        </w:rPr>
        <w:t xml:space="preserve"> </w:t>
      </w:r>
      <w:r w:rsidRPr="00D0309E">
        <w:rPr>
          <w:rFonts w:ascii="Calibri" w:hAnsi="Calibri" w:hint="eastAsia"/>
          <w:rtl/>
        </w:rPr>
        <w:t>מלאה</w:t>
      </w:r>
      <w:r w:rsidRPr="00D0309E">
        <w:rPr>
          <w:rFonts w:ascii="Calibri" w:hAnsi="Calibri"/>
          <w:rtl/>
        </w:rPr>
        <w:t xml:space="preserve"> </w:t>
      </w:r>
      <w:r w:rsidRPr="00D0309E">
        <w:rPr>
          <w:rFonts w:ascii="Calibri" w:hAnsi="Calibri" w:hint="eastAsia"/>
          <w:rtl/>
        </w:rPr>
        <w:t>בכדורים</w:t>
      </w:r>
      <w:r w:rsidRPr="00D0309E">
        <w:rPr>
          <w:rFonts w:ascii="Calibri" w:hAnsi="Calibri"/>
          <w:rtl/>
        </w:rPr>
        <w:t xml:space="preserve"> </w:t>
      </w:r>
      <w:r w:rsidRPr="00D0309E">
        <w:rPr>
          <w:rFonts w:ascii="Calibri" w:hAnsi="Calibri" w:hint="eastAsia"/>
          <w:rtl/>
        </w:rPr>
        <w:t>ודרוך</w:t>
      </w:r>
      <w:r w:rsidRPr="00D0309E">
        <w:rPr>
          <w:rFonts w:ascii="Calibri" w:hAnsi="Calibri"/>
          <w:rtl/>
        </w:rPr>
        <w:t xml:space="preserve"> </w:t>
      </w:r>
      <w:r w:rsidRPr="00D0309E">
        <w:rPr>
          <w:rFonts w:ascii="Calibri" w:hAnsi="Calibri" w:hint="eastAsia"/>
          <w:rtl/>
        </w:rPr>
        <w:t>בכדור</w:t>
      </w:r>
      <w:r w:rsidRPr="00D0309E">
        <w:rPr>
          <w:rFonts w:ascii="Calibri" w:hAnsi="Calibri"/>
          <w:rtl/>
        </w:rPr>
        <w:t xml:space="preserve"> </w:t>
      </w:r>
      <w:r w:rsidRPr="00D0309E">
        <w:rPr>
          <w:rFonts w:ascii="Calibri" w:hAnsi="Calibri" w:hint="eastAsia"/>
          <w:rtl/>
        </w:rPr>
        <w:t>בבית</w:t>
      </w:r>
      <w:r w:rsidRPr="00D0309E">
        <w:rPr>
          <w:rFonts w:ascii="Calibri" w:hAnsi="Calibri"/>
          <w:rtl/>
        </w:rPr>
        <w:t xml:space="preserve"> </w:t>
      </w:r>
      <w:r w:rsidRPr="00D0309E">
        <w:rPr>
          <w:rFonts w:ascii="Calibri" w:hAnsi="Calibri" w:hint="eastAsia"/>
          <w:rtl/>
        </w:rPr>
        <w:t>הבליעה</w:t>
      </w:r>
      <w:r w:rsidRPr="00D0309E">
        <w:rPr>
          <w:rFonts w:ascii="Calibri" w:hAnsi="Calibri" w:hint="cs"/>
          <w:rtl/>
        </w:rPr>
        <w:t>,</w:t>
      </w:r>
      <w:r w:rsidRPr="00D0309E">
        <w:rPr>
          <w:rFonts w:ascii="Calibri" w:hAnsi="Calibri"/>
          <w:rtl/>
        </w:rPr>
        <w:t xml:space="preserve"> </w:t>
      </w:r>
      <w:r w:rsidRPr="00D0309E">
        <w:rPr>
          <w:rFonts w:ascii="Calibri" w:hAnsi="Calibri" w:hint="eastAsia"/>
          <w:rtl/>
        </w:rPr>
        <w:t>ובכיס</w:t>
      </w:r>
      <w:r w:rsidRPr="00D0309E">
        <w:rPr>
          <w:rFonts w:ascii="Calibri" w:hAnsi="Calibri"/>
          <w:rtl/>
        </w:rPr>
        <w:t xml:space="preserve"> </w:t>
      </w:r>
      <w:r w:rsidRPr="00D0309E">
        <w:rPr>
          <w:rFonts w:ascii="Calibri" w:hAnsi="Calibri" w:hint="eastAsia"/>
          <w:rtl/>
        </w:rPr>
        <w:t>מכנסיו</w:t>
      </w:r>
      <w:r w:rsidRPr="00D0309E">
        <w:rPr>
          <w:rFonts w:ascii="Calibri" w:hAnsi="Calibri"/>
          <w:rtl/>
        </w:rPr>
        <w:t xml:space="preserve"> </w:t>
      </w:r>
      <w:r w:rsidRPr="00D0309E">
        <w:rPr>
          <w:rFonts w:ascii="Calibri" w:hAnsi="Calibri" w:hint="eastAsia"/>
          <w:rtl/>
        </w:rPr>
        <w:t>של</w:t>
      </w:r>
      <w:r w:rsidRPr="00D0309E">
        <w:rPr>
          <w:rFonts w:ascii="Calibri" w:hAnsi="Calibri"/>
          <w:rtl/>
        </w:rPr>
        <w:t xml:space="preserve"> </w:t>
      </w:r>
      <w:r w:rsidRPr="00D0309E">
        <w:rPr>
          <w:rFonts w:ascii="Calibri" w:hAnsi="Calibri" w:hint="eastAsia"/>
          <w:rtl/>
        </w:rPr>
        <w:t>אותו</w:t>
      </w:r>
      <w:r w:rsidRPr="00D0309E">
        <w:rPr>
          <w:rFonts w:ascii="Calibri" w:hAnsi="Calibri"/>
          <w:rtl/>
        </w:rPr>
        <w:t xml:space="preserve"> </w:t>
      </w:r>
      <w:r w:rsidRPr="00D0309E">
        <w:rPr>
          <w:rFonts w:ascii="Calibri" w:hAnsi="Calibri" w:hint="eastAsia"/>
          <w:rtl/>
        </w:rPr>
        <w:t>נאשם</w:t>
      </w:r>
      <w:r w:rsidRPr="00D0309E">
        <w:rPr>
          <w:rFonts w:ascii="Calibri" w:hAnsi="Calibri"/>
          <w:rtl/>
        </w:rPr>
        <w:t xml:space="preserve"> </w:t>
      </w:r>
      <w:r w:rsidRPr="00D0309E">
        <w:rPr>
          <w:rFonts w:ascii="Calibri" w:hAnsi="Calibri" w:hint="eastAsia"/>
          <w:rtl/>
        </w:rPr>
        <w:t>נמצאה</w:t>
      </w:r>
      <w:r w:rsidRPr="00D0309E">
        <w:rPr>
          <w:rFonts w:ascii="Calibri" w:hAnsi="Calibri"/>
          <w:rtl/>
        </w:rPr>
        <w:t xml:space="preserve"> </w:t>
      </w:r>
      <w:r w:rsidRPr="00D0309E">
        <w:rPr>
          <w:rFonts w:ascii="Calibri" w:hAnsi="Calibri" w:hint="eastAsia"/>
          <w:rtl/>
        </w:rPr>
        <w:t>מחסנית</w:t>
      </w:r>
      <w:r w:rsidRPr="00D0309E">
        <w:rPr>
          <w:rFonts w:ascii="Calibri" w:hAnsi="Calibri"/>
          <w:rtl/>
        </w:rPr>
        <w:t xml:space="preserve"> </w:t>
      </w:r>
      <w:r w:rsidRPr="00D0309E">
        <w:rPr>
          <w:rFonts w:ascii="Calibri" w:hAnsi="Calibri" w:hint="eastAsia"/>
          <w:rtl/>
        </w:rPr>
        <w:t>נוספת</w:t>
      </w:r>
      <w:r w:rsidRPr="00D0309E">
        <w:rPr>
          <w:rFonts w:ascii="Calibri" w:hAnsi="Calibri"/>
          <w:rtl/>
        </w:rPr>
        <w:t xml:space="preserve">, </w:t>
      </w:r>
      <w:r w:rsidRPr="00D0309E">
        <w:rPr>
          <w:rFonts w:ascii="Calibri" w:hAnsi="Calibri" w:hint="eastAsia"/>
          <w:rtl/>
        </w:rPr>
        <w:t>מלאה</w:t>
      </w:r>
      <w:r w:rsidRPr="00D0309E">
        <w:rPr>
          <w:rFonts w:ascii="Calibri" w:hAnsi="Calibri"/>
          <w:rtl/>
        </w:rPr>
        <w:t xml:space="preserve"> </w:t>
      </w:r>
      <w:r w:rsidRPr="00D0309E">
        <w:rPr>
          <w:rFonts w:ascii="Calibri" w:hAnsi="Calibri" w:hint="eastAsia"/>
          <w:rtl/>
        </w:rPr>
        <w:t>בכדורים</w:t>
      </w:r>
      <w:r w:rsidRPr="00D0309E">
        <w:rPr>
          <w:rFonts w:ascii="Calibri" w:hAnsi="Calibri"/>
          <w:rtl/>
        </w:rPr>
        <w:t>.</w:t>
      </w:r>
    </w:p>
    <w:p w14:paraId="77F54AA5" w14:textId="77777777" w:rsidR="00D0309E" w:rsidRPr="00D0309E" w:rsidRDefault="00D0309E" w:rsidP="00D0309E">
      <w:pPr>
        <w:spacing w:after="160" w:line="360" w:lineRule="auto"/>
        <w:ind w:left="720"/>
        <w:jc w:val="both"/>
        <w:rPr>
          <w:rFonts w:ascii="Calibri" w:hAnsi="Calibri"/>
          <w:rtl/>
        </w:rPr>
      </w:pPr>
    </w:p>
    <w:p w14:paraId="183D9BD9" w14:textId="77777777" w:rsidR="00D0309E" w:rsidRPr="00D0309E" w:rsidRDefault="00D0309E" w:rsidP="00D0309E">
      <w:pPr>
        <w:pStyle w:val="ListParagraph"/>
        <w:numPr>
          <w:ilvl w:val="0"/>
          <w:numId w:val="9"/>
        </w:numPr>
        <w:spacing w:after="160" w:line="360" w:lineRule="auto"/>
        <w:jc w:val="both"/>
        <w:rPr>
          <w:rFonts w:ascii="Calibri" w:hAnsi="Calibri"/>
          <w:rtl/>
        </w:rPr>
      </w:pPr>
      <w:r w:rsidRPr="00D0309E">
        <w:rPr>
          <w:rFonts w:ascii="Calibri" w:hAnsi="Calibri" w:hint="eastAsia"/>
          <w:rtl/>
        </w:rPr>
        <w:t>ב</w:t>
      </w:r>
      <w:hyperlink r:id="rId32" w:history="1">
        <w:r w:rsidR="00F81156" w:rsidRPr="00F81156">
          <w:rPr>
            <w:rFonts w:ascii="Calibri" w:hAnsi="Calibri" w:hint="eastAsia"/>
            <w:color w:val="0000FF"/>
            <w:u w:val="single"/>
            <w:rtl/>
          </w:rPr>
          <w:t>ת</w:t>
        </w:r>
        <w:r w:rsidR="00F81156" w:rsidRPr="00F81156">
          <w:rPr>
            <w:rFonts w:ascii="Calibri" w:hAnsi="Calibri"/>
            <w:color w:val="0000FF"/>
            <w:u w:val="single"/>
            <w:rtl/>
          </w:rPr>
          <w:t>"</w:t>
        </w:r>
        <w:r w:rsidR="00F81156" w:rsidRPr="00F81156">
          <w:rPr>
            <w:rFonts w:ascii="Calibri" w:hAnsi="Calibri" w:hint="eastAsia"/>
            <w:color w:val="0000FF"/>
            <w:u w:val="single"/>
            <w:rtl/>
          </w:rPr>
          <w:t>פ</w:t>
        </w:r>
        <w:r w:rsidR="00F81156" w:rsidRPr="00F81156">
          <w:rPr>
            <w:rFonts w:ascii="Calibri" w:hAnsi="Calibri"/>
            <w:color w:val="0000FF"/>
            <w:u w:val="single"/>
            <w:rtl/>
          </w:rPr>
          <w:t xml:space="preserve"> (</w:t>
        </w:r>
        <w:r w:rsidR="00F81156" w:rsidRPr="00F81156">
          <w:rPr>
            <w:rFonts w:ascii="Calibri" w:hAnsi="Calibri" w:hint="eastAsia"/>
            <w:color w:val="0000FF"/>
            <w:u w:val="single"/>
            <w:rtl/>
          </w:rPr>
          <w:t>מחוזי</w:t>
        </w:r>
        <w:r w:rsidR="00F81156" w:rsidRPr="00F81156">
          <w:rPr>
            <w:rFonts w:ascii="Calibri" w:hAnsi="Calibri"/>
            <w:color w:val="0000FF"/>
            <w:u w:val="single"/>
            <w:rtl/>
          </w:rPr>
          <w:t xml:space="preserve"> </w:t>
        </w:r>
        <w:r w:rsidR="00F81156" w:rsidRPr="00F81156">
          <w:rPr>
            <w:rFonts w:ascii="Calibri" w:hAnsi="Calibri" w:hint="eastAsia"/>
            <w:color w:val="0000FF"/>
            <w:u w:val="single"/>
            <w:rtl/>
          </w:rPr>
          <w:t>חיפה</w:t>
        </w:r>
        <w:r w:rsidR="00F81156" w:rsidRPr="00F81156">
          <w:rPr>
            <w:rFonts w:ascii="Calibri" w:hAnsi="Calibri"/>
            <w:color w:val="0000FF"/>
            <w:u w:val="single"/>
            <w:rtl/>
          </w:rPr>
          <w:t>) 31862-05-13</w:t>
        </w:r>
      </w:hyperlink>
      <w:r w:rsidRPr="00D0309E">
        <w:rPr>
          <w:rFonts w:ascii="Calibri" w:hAnsi="Calibri"/>
          <w:rtl/>
        </w:rPr>
        <w:t xml:space="preserve">  </w:t>
      </w:r>
      <w:r w:rsidRPr="00D0309E">
        <w:rPr>
          <w:rFonts w:ascii="Calibri" w:hAnsi="Calibri" w:cs="Miriam" w:hint="eastAsia"/>
          <w:rtl/>
        </w:rPr>
        <w:t>מ</w:t>
      </w:r>
      <w:r w:rsidRPr="00D0309E">
        <w:rPr>
          <w:rFonts w:ascii="Calibri" w:hAnsi="Calibri" w:cs="Miriam"/>
          <w:rtl/>
        </w:rPr>
        <w:t>"</w:t>
      </w:r>
      <w:r w:rsidRPr="00D0309E">
        <w:rPr>
          <w:rFonts w:ascii="Calibri" w:hAnsi="Calibri" w:cs="Miriam" w:hint="eastAsia"/>
          <w:rtl/>
        </w:rPr>
        <w:t>י</w:t>
      </w:r>
      <w:r w:rsidRPr="00D0309E">
        <w:rPr>
          <w:rFonts w:ascii="Calibri" w:hAnsi="Calibri" w:cs="Miriam"/>
          <w:rtl/>
        </w:rPr>
        <w:t xml:space="preserve"> </w:t>
      </w:r>
      <w:r w:rsidRPr="00D0309E">
        <w:rPr>
          <w:rFonts w:ascii="Calibri" w:hAnsi="Calibri" w:cs="Miriam" w:hint="eastAsia"/>
          <w:rtl/>
        </w:rPr>
        <w:t>נ</w:t>
      </w:r>
      <w:r w:rsidRPr="00D0309E">
        <w:rPr>
          <w:rFonts w:ascii="Calibri" w:hAnsi="Calibri" w:cs="Miriam"/>
          <w:rtl/>
        </w:rPr>
        <w:t xml:space="preserve">' </w:t>
      </w:r>
      <w:r w:rsidRPr="00D0309E">
        <w:rPr>
          <w:rFonts w:ascii="Calibri" w:hAnsi="Calibri" w:cs="Miriam" w:hint="eastAsia"/>
          <w:rtl/>
        </w:rPr>
        <w:t>מוחמד</w:t>
      </w:r>
      <w:r w:rsidRPr="00D0309E">
        <w:rPr>
          <w:rFonts w:ascii="Calibri" w:hAnsi="Calibri" w:cs="Miriam"/>
          <w:rtl/>
        </w:rPr>
        <w:t xml:space="preserve"> </w:t>
      </w:r>
      <w:r w:rsidRPr="00D0309E">
        <w:rPr>
          <w:rFonts w:ascii="Calibri" w:hAnsi="Calibri" w:cs="Miriam" w:hint="eastAsia"/>
          <w:rtl/>
        </w:rPr>
        <w:t>מחאמיד</w:t>
      </w:r>
      <w:r w:rsidRPr="00D0309E">
        <w:rPr>
          <w:rFonts w:ascii="Calibri" w:hAnsi="Calibri"/>
          <w:rtl/>
        </w:rPr>
        <w:t xml:space="preserve"> (1.10.13) </w:t>
      </w:r>
      <w:r w:rsidRPr="00D0309E">
        <w:rPr>
          <w:rFonts w:ascii="Calibri" w:hAnsi="Calibri" w:hint="eastAsia"/>
          <w:rtl/>
        </w:rPr>
        <w:t>הוטל</w:t>
      </w:r>
      <w:r w:rsidRPr="00D0309E">
        <w:rPr>
          <w:rFonts w:ascii="Calibri" w:hAnsi="Calibri"/>
          <w:rtl/>
        </w:rPr>
        <w:t xml:space="preserve"> </w:t>
      </w:r>
      <w:r w:rsidRPr="00D0309E">
        <w:rPr>
          <w:rFonts w:ascii="Calibri" w:hAnsi="Calibri" w:hint="eastAsia"/>
          <w:rtl/>
        </w:rPr>
        <w:t>על</w:t>
      </w:r>
      <w:r w:rsidRPr="00D0309E">
        <w:rPr>
          <w:rFonts w:ascii="Calibri" w:hAnsi="Calibri"/>
          <w:rtl/>
        </w:rPr>
        <w:t xml:space="preserve"> </w:t>
      </w:r>
      <w:r w:rsidRPr="00D0309E">
        <w:rPr>
          <w:rFonts w:ascii="Calibri" w:hAnsi="Calibri" w:hint="eastAsia"/>
          <w:rtl/>
        </w:rPr>
        <w:t>נאשם</w:t>
      </w:r>
      <w:r w:rsidRPr="00D0309E">
        <w:rPr>
          <w:rFonts w:ascii="Calibri" w:hAnsi="Calibri"/>
          <w:rtl/>
        </w:rPr>
        <w:t xml:space="preserve"> </w:t>
      </w:r>
      <w:r w:rsidRPr="00D0309E">
        <w:rPr>
          <w:rFonts w:ascii="Calibri" w:hAnsi="Calibri" w:hint="eastAsia"/>
          <w:rtl/>
        </w:rPr>
        <w:t>צעיר</w:t>
      </w:r>
      <w:r w:rsidRPr="00D0309E">
        <w:rPr>
          <w:rFonts w:ascii="Calibri" w:hAnsi="Calibri"/>
          <w:rtl/>
        </w:rPr>
        <w:t xml:space="preserve">, </w:t>
      </w:r>
      <w:r w:rsidRPr="00D0309E">
        <w:rPr>
          <w:rFonts w:ascii="Calibri" w:hAnsi="Calibri" w:hint="eastAsia"/>
          <w:rtl/>
        </w:rPr>
        <w:t>בן</w:t>
      </w:r>
      <w:r w:rsidRPr="00D0309E">
        <w:rPr>
          <w:rFonts w:ascii="Calibri" w:hAnsi="Calibri"/>
          <w:rtl/>
        </w:rPr>
        <w:t xml:space="preserve"> </w:t>
      </w:r>
      <w:r w:rsidRPr="00D0309E">
        <w:rPr>
          <w:rFonts w:ascii="Calibri" w:hAnsi="Calibri" w:hint="eastAsia"/>
          <w:rtl/>
        </w:rPr>
        <w:t>פחות</w:t>
      </w:r>
      <w:r w:rsidRPr="00D0309E">
        <w:rPr>
          <w:rFonts w:ascii="Calibri" w:hAnsi="Calibri"/>
          <w:rtl/>
        </w:rPr>
        <w:t xml:space="preserve"> </w:t>
      </w:r>
      <w:r w:rsidRPr="00D0309E">
        <w:rPr>
          <w:rFonts w:ascii="Calibri" w:hAnsi="Calibri" w:hint="eastAsia"/>
          <w:rtl/>
        </w:rPr>
        <w:t>מ</w:t>
      </w:r>
      <w:r w:rsidRPr="00D0309E">
        <w:rPr>
          <w:rFonts w:ascii="Calibri" w:hAnsi="Calibri"/>
          <w:rtl/>
        </w:rPr>
        <w:t xml:space="preserve">-21, </w:t>
      </w:r>
      <w:r w:rsidRPr="00D0309E">
        <w:rPr>
          <w:rFonts w:ascii="Calibri" w:hAnsi="Calibri" w:hint="eastAsia"/>
          <w:rtl/>
        </w:rPr>
        <w:t>עונש</w:t>
      </w:r>
      <w:r w:rsidRPr="00D0309E">
        <w:rPr>
          <w:rFonts w:ascii="Calibri" w:hAnsi="Calibri"/>
          <w:rtl/>
        </w:rPr>
        <w:t xml:space="preserve"> </w:t>
      </w:r>
      <w:r w:rsidRPr="00D0309E">
        <w:rPr>
          <w:rFonts w:ascii="Calibri" w:hAnsi="Calibri" w:hint="eastAsia"/>
          <w:rtl/>
        </w:rPr>
        <w:t>של</w:t>
      </w:r>
      <w:r w:rsidRPr="00D0309E">
        <w:rPr>
          <w:rFonts w:ascii="Calibri" w:hAnsi="Calibri"/>
          <w:rtl/>
        </w:rPr>
        <w:t xml:space="preserve"> 21 </w:t>
      </w:r>
      <w:r w:rsidRPr="00D0309E">
        <w:rPr>
          <w:rFonts w:ascii="Calibri" w:hAnsi="Calibri" w:hint="eastAsia"/>
          <w:rtl/>
        </w:rPr>
        <w:t>חודשי</w:t>
      </w:r>
      <w:r w:rsidRPr="00D0309E">
        <w:rPr>
          <w:rFonts w:ascii="Calibri" w:hAnsi="Calibri"/>
          <w:rtl/>
        </w:rPr>
        <w:t xml:space="preserve"> </w:t>
      </w:r>
      <w:r w:rsidRPr="00D0309E">
        <w:rPr>
          <w:rFonts w:ascii="Calibri" w:hAnsi="Calibri" w:hint="eastAsia"/>
          <w:rtl/>
        </w:rPr>
        <w:t>מאסר</w:t>
      </w:r>
      <w:r w:rsidRPr="00D0309E">
        <w:rPr>
          <w:rFonts w:ascii="Calibri" w:hAnsi="Calibri"/>
          <w:rtl/>
        </w:rPr>
        <w:t xml:space="preserve"> </w:t>
      </w:r>
      <w:r w:rsidRPr="00D0309E">
        <w:rPr>
          <w:rFonts w:ascii="Calibri" w:hAnsi="Calibri" w:hint="eastAsia"/>
          <w:rtl/>
        </w:rPr>
        <w:t>בפועל</w:t>
      </w:r>
      <w:r w:rsidRPr="00D0309E">
        <w:rPr>
          <w:rFonts w:ascii="Calibri" w:hAnsi="Calibri"/>
          <w:rtl/>
        </w:rPr>
        <w:t xml:space="preserve"> </w:t>
      </w:r>
      <w:r w:rsidRPr="00D0309E">
        <w:rPr>
          <w:rFonts w:ascii="Calibri" w:hAnsi="Calibri" w:hint="eastAsia"/>
          <w:rtl/>
        </w:rPr>
        <w:t>בגין</w:t>
      </w:r>
      <w:r w:rsidRPr="00D0309E">
        <w:rPr>
          <w:rFonts w:ascii="Calibri" w:hAnsi="Calibri"/>
          <w:rtl/>
        </w:rPr>
        <w:t xml:space="preserve"> </w:t>
      </w:r>
      <w:r w:rsidRPr="00D0309E">
        <w:rPr>
          <w:rFonts w:ascii="Calibri" w:hAnsi="Calibri" w:hint="eastAsia"/>
          <w:rtl/>
        </w:rPr>
        <w:t>עבירה</w:t>
      </w:r>
      <w:r w:rsidRPr="00D0309E">
        <w:rPr>
          <w:rFonts w:ascii="Calibri" w:hAnsi="Calibri"/>
          <w:rtl/>
        </w:rPr>
        <w:t xml:space="preserve"> </w:t>
      </w:r>
      <w:r w:rsidRPr="00D0309E">
        <w:rPr>
          <w:rFonts w:ascii="Calibri" w:hAnsi="Calibri" w:hint="eastAsia"/>
          <w:rtl/>
        </w:rPr>
        <w:t>של</w:t>
      </w:r>
      <w:r w:rsidRPr="00D0309E">
        <w:rPr>
          <w:rFonts w:ascii="Calibri" w:hAnsi="Calibri"/>
          <w:rtl/>
        </w:rPr>
        <w:t xml:space="preserve"> </w:t>
      </w:r>
      <w:r w:rsidRPr="00D0309E">
        <w:rPr>
          <w:rFonts w:ascii="Calibri" w:hAnsi="Calibri" w:hint="eastAsia"/>
          <w:rtl/>
        </w:rPr>
        <w:t>נשיאת</w:t>
      </w:r>
      <w:r w:rsidRPr="00D0309E">
        <w:rPr>
          <w:rFonts w:ascii="Calibri" w:hAnsi="Calibri"/>
          <w:rtl/>
        </w:rPr>
        <w:t xml:space="preserve"> </w:t>
      </w:r>
      <w:r w:rsidRPr="00D0309E">
        <w:rPr>
          <w:rFonts w:ascii="Calibri" w:hAnsi="Calibri" w:hint="eastAsia"/>
          <w:rtl/>
        </w:rPr>
        <w:t>נשק</w:t>
      </w:r>
      <w:r w:rsidRPr="00D0309E">
        <w:rPr>
          <w:rFonts w:ascii="Calibri" w:hAnsi="Calibri"/>
          <w:rtl/>
        </w:rPr>
        <w:t xml:space="preserve"> </w:t>
      </w:r>
      <w:r w:rsidRPr="00D0309E">
        <w:rPr>
          <w:rFonts w:ascii="Calibri" w:hAnsi="Calibri" w:hint="eastAsia"/>
          <w:rtl/>
        </w:rPr>
        <w:t>שלא</w:t>
      </w:r>
      <w:r w:rsidRPr="00D0309E">
        <w:rPr>
          <w:rFonts w:ascii="Calibri" w:hAnsi="Calibri"/>
          <w:rtl/>
        </w:rPr>
        <w:t xml:space="preserve"> </w:t>
      </w:r>
      <w:r w:rsidRPr="00D0309E">
        <w:rPr>
          <w:rFonts w:ascii="Calibri" w:hAnsi="Calibri" w:hint="eastAsia"/>
          <w:rtl/>
        </w:rPr>
        <w:t>כדין</w:t>
      </w:r>
      <w:r w:rsidRPr="00D0309E">
        <w:rPr>
          <w:rFonts w:ascii="Calibri" w:hAnsi="Calibri"/>
          <w:rtl/>
        </w:rPr>
        <w:t xml:space="preserve"> (</w:t>
      </w:r>
      <w:r w:rsidRPr="00D0309E">
        <w:rPr>
          <w:rFonts w:ascii="Calibri" w:hAnsi="Calibri" w:hint="eastAsia"/>
          <w:rtl/>
        </w:rPr>
        <w:t>אקדח</w:t>
      </w:r>
      <w:r w:rsidRPr="00D0309E">
        <w:rPr>
          <w:rFonts w:ascii="Calibri" w:hAnsi="Calibri"/>
          <w:rtl/>
        </w:rPr>
        <w:t xml:space="preserve">) </w:t>
      </w:r>
      <w:r w:rsidRPr="00D0309E">
        <w:rPr>
          <w:rFonts w:ascii="Calibri" w:hAnsi="Calibri" w:hint="cs"/>
          <w:rtl/>
        </w:rPr>
        <w:t>ל</w:t>
      </w:r>
      <w:r w:rsidRPr="00D0309E">
        <w:rPr>
          <w:rFonts w:ascii="Calibri" w:hAnsi="Calibri" w:hint="eastAsia"/>
          <w:rtl/>
        </w:rPr>
        <w:t>צד</w:t>
      </w:r>
      <w:r w:rsidRPr="00D0309E">
        <w:rPr>
          <w:rFonts w:ascii="Calibri" w:hAnsi="Calibri"/>
          <w:rtl/>
        </w:rPr>
        <w:t xml:space="preserve"> </w:t>
      </w:r>
      <w:r w:rsidRPr="00D0309E">
        <w:rPr>
          <w:rFonts w:ascii="Calibri" w:hAnsi="Calibri" w:hint="eastAsia"/>
          <w:rtl/>
        </w:rPr>
        <w:t>עבירה</w:t>
      </w:r>
      <w:r w:rsidRPr="00D0309E">
        <w:rPr>
          <w:rFonts w:ascii="Calibri" w:hAnsi="Calibri"/>
          <w:rtl/>
        </w:rPr>
        <w:t xml:space="preserve"> </w:t>
      </w:r>
      <w:r w:rsidRPr="00D0309E">
        <w:rPr>
          <w:rFonts w:ascii="Calibri" w:hAnsi="Calibri" w:hint="eastAsia"/>
          <w:rtl/>
        </w:rPr>
        <w:t>של</w:t>
      </w:r>
      <w:r w:rsidRPr="00D0309E">
        <w:rPr>
          <w:rFonts w:ascii="Calibri" w:hAnsi="Calibri"/>
          <w:rtl/>
        </w:rPr>
        <w:t xml:space="preserve"> </w:t>
      </w:r>
      <w:r w:rsidRPr="00D0309E">
        <w:rPr>
          <w:rFonts w:ascii="Calibri" w:hAnsi="Calibri" w:hint="eastAsia"/>
          <w:rtl/>
        </w:rPr>
        <w:t>הפרעה</w:t>
      </w:r>
      <w:r w:rsidRPr="00D0309E">
        <w:rPr>
          <w:rFonts w:ascii="Calibri" w:hAnsi="Calibri"/>
          <w:rtl/>
        </w:rPr>
        <w:t xml:space="preserve"> </w:t>
      </w:r>
      <w:r w:rsidRPr="00D0309E">
        <w:rPr>
          <w:rFonts w:ascii="Calibri" w:hAnsi="Calibri" w:hint="eastAsia"/>
          <w:rtl/>
        </w:rPr>
        <w:t>לשוטר</w:t>
      </w:r>
      <w:r w:rsidRPr="00D0309E">
        <w:rPr>
          <w:rFonts w:ascii="Calibri" w:hAnsi="Calibri"/>
          <w:rtl/>
        </w:rPr>
        <w:t xml:space="preserve"> </w:t>
      </w:r>
      <w:r w:rsidRPr="00D0309E">
        <w:rPr>
          <w:rFonts w:ascii="Calibri" w:hAnsi="Calibri" w:hint="eastAsia"/>
          <w:rtl/>
        </w:rPr>
        <w:t>בשעת</w:t>
      </w:r>
      <w:r w:rsidRPr="00D0309E">
        <w:rPr>
          <w:rFonts w:ascii="Calibri" w:hAnsi="Calibri"/>
          <w:rtl/>
        </w:rPr>
        <w:t xml:space="preserve"> </w:t>
      </w:r>
      <w:r w:rsidRPr="00D0309E">
        <w:rPr>
          <w:rFonts w:ascii="Calibri" w:hAnsi="Calibri" w:hint="eastAsia"/>
          <w:rtl/>
        </w:rPr>
        <w:t>מילוי</w:t>
      </w:r>
      <w:r w:rsidRPr="00D0309E">
        <w:rPr>
          <w:rFonts w:ascii="Calibri" w:hAnsi="Calibri"/>
          <w:rtl/>
        </w:rPr>
        <w:t xml:space="preserve"> </w:t>
      </w:r>
      <w:r w:rsidRPr="00D0309E">
        <w:rPr>
          <w:rFonts w:ascii="Calibri" w:hAnsi="Calibri" w:hint="eastAsia"/>
          <w:rtl/>
        </w:rPr>
        <w:t>תפקידו</w:t>
      </w:r>
      <w:r w:rsidRPr="00D0309E">
        <w:rPr>
          <w:rFonts w:ascii="Calibri" w:hAnsi="Calibri"/>
          <w:rtl/>
        </w:rPr>
        <w:t xml:space="preserve"> </w:t>
      </w:r>
      <w:r w:rsidRPr="00D0309E">
        <w:rPr>
          <w:rFonts w:ascii="Calibri" w:hAnsi="Calibri" w:hint="eastAsia"/>
          <w:rtl/>
        </w:rPr>
        <w:t>כדין</w:t>
      </w:r>
      <w:r w:rsidRPr="00D0309E">
        <w:rPr>
          <w:rFonts w:ascii="Calibri" w:hAnsi="Calibri"/>
          <w:rtl/>
        </w:rPr>
        <w:t xml:space="preserve">.   </w:t>
      </w:r>
    </w:p>
    <w:p w14:paraId="0E9089B5" w14:textId="77777777" w:rsidR="00D0309E" w:rsidRPr="00D0309E" w:rsidRDefault="00D0309E" w:rsidP="00D0309E">
      <w:pPr>
        <w:pStyle w:val="ListParagraph"/>
        <w:spacing w:after="160" w:line="360" w:lineRule="auto"/>
        <w:jc w:val="both"/>
        <w:rPr>
          <w:rFonts w:ascii="Calibri" w:hAnsi="Calibri"/>
        </w:rPr>
      </w:pPr>
    </w:p>
    <w:p w14:paraId="59FFAF3B" w14:textId="77777777" w:rsidR="00D0309E" w:rsidRDefault="00D0309E" w:rsidP="00D0309E">
      <w:pPr>
        <w:pStyle w:val="ListParagraph"/>
        <w:numPr>
          <w:ilvl w:val="0"/>
          <w:numId w:val="6"/>
        </w:numPr>
        <w:spacing w:after="160" w:line="360" w:lineRule="auto"/>
        <w:jc w:val="both"/>
      </w:pPr>
      <w:r w:rsidRPr="00D0309E">
        <w:rPr>
          <w:rFonts w:ascii="Calibri" w:hAnsi="Calibri" w:hint="cs"/>
          <w:rtl/>
        </w:rPr>
        <w:t>ב</w:t>
      </w:r>
      <w:hyperlink r:id="rId33" w:history="1">
        <w:r w:rsidR="00F81156" w:rsidRPr="00F81156">
          <w:rPr>
            <w:rFonts w:ascii="Calibri" w:hAnsi="Calibri" w:hint="eastAsia"/>
            <w:color w:val="0000FF"/>
            <w:u w:val="single"/>
            <w:rtl/>
          </w:rPr>
          <w:t>ת</w:t>
        </w:r>
        <w:r w:rsidR="00F81156" w:rsidRPr="00F81156">
          <w:rPr>
            <w:rFonts w:ascii="Calibri" w:hAnsi="Calibri"/>
            <w:color w:val="0000FF"/>
            <w:u w:val="single"/>
            <w:rtl/>
          </w:rPr>
          <w:t>"</w:t>
        </w:r>
        <w:r w:rsidR="00F81156" w:rsidRPr="00F81156">
          <w:rPr>
            <w:rFonts w:ascii="Calibri" w:hAnsi="Calibri" w:hint="eastAsia"/>
            <w:color w:val="0000FF"/>
            <w:u w:val="single"/>
            <w:rtl/>
          </w:rPr>
          <w:t>פ</w:t>
        </w:r>
        <w:r w:rsidR="00F81156" w:rsidRPr="00F81156">
          <w:rPr>
            <w:rFonts w:ascii="Calibri" w:hAnsi="Calibri"/>
            <w:color w:val="0000FF"/>
            <w:u w:val="single"/>
            <w:rtl/>
          </w:rPr>
          <w:t xml:space="preserve"> (</w:t>
        </w:r>
        <w:r w:rsidR="00F81156" w:rsidRPr="00F81156">
          <w:rPr>
            <w:rFonts w:ascii="Calibri" w:hAnsi="Calibri" w:hint="eastAsia"/>
            <w:color w:val="0000FF"/>
            <w:u w:val="single"/>
            <w:rtl/>
          </w:rPr>
          <w:t>מחוזי</w:t>
        </w:r>
        <w:r w:rsidR="00F81156" w:rsidRPr="00F81156">
          <w:rPr>
            <w:rFonts w:ascii="Calibri" w:hAnsi="Calibri"/>
            <w:color w:val="0000FF"/>
            <w:u w:val="single"/>
            <w:rtl/>
          </w:rPr>
          <w:t xml:space="preserve"> </w:t>
        </w:r>
        <w:r w:rsidR="00F81156" w:rsidRPr="00F81156">
          <w:rPr>
            <w:rFonts w:ascii="Calibri" w:hAnsi="Calibri" w:hint="eastAsia"/>
            <w:color w:val="0000FF"/>
            <w:u w:val="single"/>
            <w:rtl/>
          </w:rPr>
          <w:t>חיפה</w:t>
        </w:r>
        <w:r w:rsidR="00F81156" w:rsidRPr="00F81156">
          <w:rPr>
            <w:rFonts w:ascii="Calibri" w:hAnsi="Calibri"/>
            <w:color w:val="0000FF"/>
            <w:u w:val="single"/>
            <w:rtl/>
          </w:rPr>
          <w:t>) 58812-10-17</w:t>
        </w:r>
      </w:hyperlink>
      <w:r w:rsidRPr="00D0309E">
        <w:rPr>
          <w:rFonts w:ascii="Calibri" w:hAnsi="Calibri" w:hint="cs"/>
          <w:rtl/>
        </w:rPr>
        <w:t xml:space="preserve"> </w:t>
      </w:r>
      <w:r w:rsidRPr="00D0309E">
        <w:rPr>
          <w:rFonts w:ascii="Calibri" w:hAnsi="Calibri" w:cs="Miriam" w:hint="cs"/>
          <w:rtl/>
        </w:rPr>
        <w:t>מ"י נ' חטיב</w:t>
      </w:r>
      <w:r w:rsidRPr="00D0309E">
        <w:rPr>
          <w:rFonts w:ascii="Calibri" w:hAnsi="Calibri" w:hint="cs"/>
          <w:rtl/>
        </w:rPr>
        <w:t xml:space="preserve"> (29/4/18) (להלן: </w:t>
      </w:r>
      <w:r w:rsidRPr="00D0309E">
        <w:rPr>
          <w:rFonts w:ascii="Calibri" w:hAnsi="Calibri" w:cs="Miriam" w:hint="cs"/>
          <w:rtl/>
        </w:rPr>
        <w:t>עניין חטיב</w:t>
      </w:r>
      <w:r w:rsidRPr="00D0309E">
        <w:rPr>
          <w:rFonts w:ascii="Calibri" w:hAnsi="Calibri" w:hint="cs"/>
          <w:rtl/>
        </w:rPr>
        <w:t>) הושת על נאשם שהורשע, מכוח הודאתו, בעבירה דומה שעניינה נשיאת אקדח טעון בכדורים, לצד עבירות שעניינן החזקת סם מסוכן מסוג חשיש לצריכה עצמית, עונש של 15 חודשי מאסר לצד ענישה נלווית, וזאת על אף היותו בחור צעיר שמעולם לא ריצה קודם לכן עונש של מאסר מאחורי סורג ובריח. ערעור שהוגש לבית המשפט העליון על חומרת העונש נדחה, כפי שיובהר בסעיף 26 להלן.</w:t>
      </w:r>
      <w:r>
        <w:rPr>
          <w:rtl/>
        </w:rPr>
        <w:t xml:space="preserve"> </w:t>
      </w:r>
    </w:p>
    <w:p w14:paraId="40F25967" w14:textId="77777777" w:rsidR="00D0309E" w:rsidRDefault="00D0309E" w:rsidP="00D0309E">
      <w:pPr>
        <w:pStyle w:val="ListParagraph"/>
        <w:spacing w:after="160" w:line="360" w:lineRule="auto"/>
        <w:ind w:left="1440"/>
        <w:jc w:val="both"/>
        <w:rPr>
          <w:rtl/>
        </w:rPr>
      </w:pPr>
    </w:p>
    <w:p w14:paraId="2C5C9EA2" w14:textId="77777777" w:rsidR="00D0309E" w:rsidRDefault="00D0309E" w:rsidP="00D0309E">
      <w:pPr>
        <w:spacing w:line="360" w:lineRule="auto"/>
        <w:jc w:val="both"/>
        <w:rPr>
          <w:rtl/>
        </w:rPr>
      </w:pPr>
      <w:r>
        <w:rPr>
          <w:rFonts w:hint="cs"/>
          <w:rtl/>
        </w:rPr>
        <w:t xml:space="preserve">28. </w:t>
      </w:r>
      <w:r>
        <w:rPr>
          <w:rFonts w:hint="cs"/>
          <w:rtl/>
        </w:rPr>
        <w:tab/>
        <w:t xml:space="preserve">לאחר ששקלתי את הערך החברתי שנפגע כתוצאה מביצוע העבירה, את נסיבות ביצוע העבירה ואת מדיניות הענישה הנהוגה וכן בחנתי את פסיקתו של כל אחד מהצדדים, הגעתי לכלל מסקנה כי מתחם העונש ההולם בתיק זה, נע בין עונש של 12 חודשי מאסר בפועל לבין עונש של 36 חודשי מאסר בפועל. כאן אציין כי בית המשפט העליון ציין אך לאחרונה בעניין חטיב הנ"ל, כי יש מקום להשית ענישה של ממש על מי שהורשע בביצוע עבירה של נשיאת  נשק, אף אם עברו נקי (ראו: </w:t>
      </w:r>
      <w:hyperlink r:id="rId34" w:history="1">
        <w:r w:rsidR="00F81156" w:rsidRPr="00F81156">
          <w:rPr>
            <w:color w:val="0000FF"/>
            <w:u w:val="single"/>
            <w:rtl/>
          </w:rPr>
          <w:t>ע"פ 4215/18</w:t>
        </w:r>
      </w:hyperlink>
      <w:r>
        <w:rPr>
          <w:rFonts w:hint="cs"/>
          <w:rtl/>
        </w:rPr>
        <w:t xml:space="preserve"> </w:t>
      </w:r>
      <w:r w:rsidRPr="00395014">
        <w:rPr>
          <w:rFonts w:cs="Miriam" w:hint="cs"/>
          <w:rtl/>
        </w:rPr>
        <w:t>חטיב נ' מדינת ישראל</w:t>
      </w:r>
      <w:r>
        <w:rPr>
          <w:rFonts w:hint="cs"/>
          <w:rtl/>
        </w:rPr>
        <w:t xml:space="preserve"> (8/7/2018), במסגרתו נדחה הערעור על גזר הדין). </w:t>
      </w:r>
    </w:p>
    <w:p w14:paraId="783E7B00" w14:textId="77777777" w:rsidR="00D0309E" w:rsidRDefault="00D0309E" w:rsidP="00D0309E">
      <w:pPr>
        <w:spacing w:line="360" w:lineRule="auto"/>
        <w:jc w:val="both"/>
        <w:rPr>
          <w:rtl/>
        </w:rPr>
      </w:pPr>
    </w:p>
    <w:p w14:paraId="10019A27" w14:textId="77777777" w:rsidR="00D0309E" w:rsidRDefault="00D0309E" w:rsidP="00D0309E">
      <w:pPr>
        <w:spacing w:line="360" w:lineRule="auto"/>
        <w:jc w:val="both"/>
        <w:rPr>
          <w:rtl/>
        </w:rPr>
      </w:pPr>
      <w:r>
        <w:rPr>
          <w:rFonts w:hint="cs"/>
          <w:rtl/>
        </w:rPr>
        <w:t xml:space="preserve">29. </w:t>
      </w:r>
      <w:r>
        <w:rPr>
          <w:rFonts w:hint="cs"/>
          <w:rtl/>
        </w:rPr>
        <w:tab/>
        <w:t xml:space="preserve">נוכח חומרת נסיבות ביצוע העבירה בתיק זה, המאופיינות במסוכנות פוטנציאלית רבה לציבור על רקע התנהלותו הנ"ל של הנאשם, הרי שאין מקום להימנע מהשתת עונש של מאסר בפועל של ממש עליו, מה גם שהוא טרם החל בהליך טיפולי והוא נוטה, כאמור, להסתיר ולטשטש את מניעי ביצוע העבירה ומתקשה בבחינת מניעיו הפנימיים. במקרה דנן אין מקום, לפיכך, לסטות ממתחם העונש ההולם לקולה מטעמים של שיקום, תוך שחשוב להדגיש כי בענייננו גובר האינטרס הציבורי </w:t>
      </w:r>
      <w:r w:rsidRPr="00A82AD7">
        <w:rPr>
          <w:rtl/>
        </w:rPr>
        <w:t>על נסיבותיו האישיות של ה</w:t>
      </w:r>
      <w:r>
        <w:rPr>
          <w:rFonts w:hint="cs"/>
          <w:rtl/>
        </w:rPr>
        <w:t xml:space="preserve">נאשם </w:t>
      </w:r>
      <w:r w:rsidRPr="00A82AD7">
        <w:rPr>
          <w:rtl/>
        </w:rPr>
        <w:t>ודורש</w:t>
      </w:r>
      <w:r>
        <w:rPr>
          <w:rFonts w:hint="cs"/>
          <w:rtl/>
        </w:rPr>
        <w:t xml:space="preserve">, כאמור, </w:t>
      </w:r>
      <w:r w:rsidRPr="00A82AD7">
        <w:rPr>
          <w:rtl/>
        </w:rPr>
        <w:t>הטלת עונש של מאסר בפועל</w:t>
      </w:r>
      <w:r>
        <w:rPr>
          <w:rFonts w:hint="cs"/>
          <w:rtl/>
        </w:rPr>
        <w:t xml:space="preserve"> של ממש עליו.</w:t>
      </w:r>
      <w:r w:rsidRPr="00A82AD7">
        <w:rPr>
          <w:rtl/>
        </w:rPr>
        <w:t xml:space="preserve"> </w:t>
      </w:r>
    </w:p>
    <w:p w14:paraId="2883740E" w14:textId="77777777" w:rsidR="00D0309E" w:rsidRDefault="00D0309E" w:rsidP="00D0309E">
      <w:pPr>
        <w:spacing w:line="360" w:lineRule="auto"/>
        <w:jc w:val="both"/>
        <w:rPr>
          <w:rtl/>
        </w:rPr>
      </w:pPr>
    </w:p>
    <w:p w14:paraId="5608052A" w14:textId="77777777" w:rsidR="00D0309E" w:rsidRPr="003B6C11" w:rsidRDefault="00D0309E" w:rsidP="00D0309E">
      <w:pPr>
        <w:spacing w:line="360" w:lineRule="auto"/>
        <w:jc w:val="both"/>
        <w:rPr>
          <w:color w:val="1F497D"/>
          <w:sz w:val="32"/>
          <w:szCs w:val="32"/>
          <w:rtl/>
        </w:rPr>
      </w:pPr>
      <w:r>
        <w:rPr>
          <w:rFonts w:hint="cs"/>
          <w:rtl/>
        </w:rPr>
        <w:t>30.</w:t>
      </w:r>
      <w:r>
        <w:rPr>
          <w:rFonts w:hint="cs"/>
          <w:rtl/>
        </w:rPr>
        <w:tab/>
      </w:r>
      <w:r w:rsidRPr="00A82AD7">
        <w:rPr>
          <w:rtl/>
        </w:rPr>
        <w:t>תסקיר שרות המבחן מהווה המלצה בלבד בפני בית המשפט הגוזר דינו של נאשם, כפי שעולה מהדברים הבאים שנאמרו ב</w:t>
      </w:r>
      <w:hyperlink r:id="rId35" w:history="1">
        <w:r w:rsidR="00F81156" w:rsidRPr="00F81156">
          <w:rPr>
            <w:color w:val="0000FF"/>
            <w:u w:val="single"/>
            <w:rtl/>
          </w:rPr>
          <w:t>רע"פ 5023/18</w:t>
        </w:r>
      </w:hyperlink>
      <w:r w:rsidRPr="00A82AD7">
        <w:rPr>
          <w:rtl/>
        </w:rPr>
        <w:t xml:space="preserve"> </w:t>
      </w:r>
      <w:r w:rsidRPr="00A82AD7">
        <w:rPr>
          <w:rFonts w:cs="Miriam"/>
          <w:rtl/>
        </w:rPr>
        <w:t>בדיר נ' מדינת ישראל</w:t>
      </w:r>
      <w:r w:rsidRPr="00A82AD7">
        <w:rPr>
          <w:rtl/>
        </w:rPr>
        <w:t xml:space="preserve"> (28.6.2018): " </w:t>
      </w:r>
      <w:r w:rsidRPr="00A82AD7">
        <w:rPr>
          <w:rFonts w:cs="Miriam"/>
          <w:rtl/>
        </w:rPr>
        <w:t>יש אמנם לייחס חשיבות רבה לתסקיר שירות המבחן, אשר מספק תמונה עשירה ומקצועית ביחס להיבטים שעליהם הוא מופקד. ואולם, אין לראות בהמלצתו של שירות המבחן הכרעה שיפוטית. הכרעה זו מסורה אך ורק בידיו של בית המ</w:t>
      </w:r>
      <w:r>
        <w:rPr>
          <w:rFonts w:cs="Miriam"/>
          <w:rtl/>
        </w:rPr>
        <w:t>שפט, אשר בסמכותו לשקול את מכלול</w:t>
      </w:r>
      <w:r>
        <w:rPr>
          <w:rFonts w:cs="Miriam" w:hint="cs"/>
          <w:rtl/>
        </w:rPr>
        <w:t xml:space="preserve"> השיקולים ה</w:t>
      </w:r>
      <w:r w:rsidRPr="00A82AD7">
        <w:rPr>
          <w:rFonts w:cs="Miriam"/>
          <w:rtl/>
        </w:rPr>
        <w:t>רלוונטיים באשר לעונש שיש להטיל על נאשם</w:t>
      </w:r>
      <w:r>
        <w:rPr>
          <w:rFonts w:cs="Miriam" w:hint="cs"/>
          <w:rtl/>
        </w:rPr>
        <w:t xml:space="preserve">". </w:t>
      </w:r>
      <w:r w:rsidRPr="003B6C11">
        <w:rPr>
          <w:rFonts w:hint="cs"/>
          <w:rtl/>
        </w:rPr>
        <w:t xml:space="preserve">במקרה שבפנינו שקלול מכלול השיקולים הרלוונטיים הוביל אותי, כאמור, לידי המסקנה שאין מקום לאמץ את המלצת שרות המבחן ולהימנע מהטלת עונש של מאסר בפועל על הנאשם </w:t>
      </w:r>
      <w:r>
        <w:rPr>
          <w:rFonts w:hint="cs"/>
          <w:rtl/>
        </w:rPr>
        <w:t xml:space="preserve">במסגרת </w:t>
      </w:r>
      <w:r w:rsidRPr="003B6C11">
        <w:rPr>
          <w:rFonts w:hint="cs"/>
          <w:rtl/>
        </w:rPr>
        <w:t xml:space="preserve">מתחם העונש ההולם שקבעתי לעיל. </w:t>
      </w:r>
    </w:p>
    <w:p w14:paraId="0CBB126C" w14:textId="77777777" w:rsidR="00D0309E" w:rsidRPr="00A82AD7" w:rsidRDefault="00D0309E" w:rsidP="00D0309E">
      <w:pPr>
        <w:overflowPunct w:val="0"/>
        <w:autoSpaceDE w:val="0"/>
        <w:autoSpaceDN w:val="0"/>
        <w:adjustRightInd w:val="0"/>
        <w:spacing w:line="360" w:lineRule="auto"/>
        <w:ind w:left="1440"/>
        <w:jc w:val="both"/>
        <w:textAlignment w:val="baseline"/>
        <w:rPr>
          <w:rFonts w:cs="Times New Roman"/>
          <w:color w:val="1F497D"/>
          <w:sz w:val="32"/>
          <w:szCs w:val="32"/>
          <w:rtl/>
        </w:rPr>
      </w:pPr>
    </w:p>
    <w:p w14:paraId="7FBE7DDD" w14:textId="77777777" w:rsidR="00D0309E" w:rsidRDefault="00D0309E" w:rsidP="00D0309E">
      <w:pPr>
        <w:spacing w:line="360" w:lineRule="auto"/>
        <w:jc w:val="both"/>
        <w:rPr>
          <w:rtl/>
        </w:rPr>
      </w:pPr>
      <w:r>
        <w:rPr>
          <w:rFonts w:hint="cs"/>
          <w:rtl/>
        </w:rPr>
        <w:t xml:space="preserve">31. </w:t>
      </w:r>
      <w:r>
        <w:rPr>
          <w:rFonts w:hint="cs"/>
          <w:rtl/>
        </w:rPr>
        <w:tab/>
        <w:t>עם זאת, ובהינתן  מכלול הנסיבות שאינן קשורות בביצוע העבירה ושיפורטו להלן,  לא יוחמר דינו של הנאשם בתיק זה ויושת עליו עונש של מאסר בפועל ברף הנמוך של מתחם העונש ההולם הנ"ל. ודוק, עברו של הנאשם, שהינו בחור בן 33, נקי ללא רבב. הנאשם הודה בהזדמנות הראשונה כבר בחקירתו במשטרה והביע חרטה על מעשיו. לכך יש להוסיף, לקולה, את נסיבותיו האישיות של הנאשם, המצטיירות ממקרא תסקיר שרות המבחן ומטיעוני הסנגור לעונש, לרבות את מצבו הרפואי והעובדה שהוא צפוי לעבור ניתוח אורתופדי בגבו. כן יש לזקוף לטובת הנאשם את תפקודו הנורמטיבי לאורך השנים ואת הערכת שרות המבחן כי רמת הסיכון לביצוע עבירות על ידו בעתיד היא נמוכה וברמת מסוכנות נמוכה. עוד אציין, לטובת הנאשם, את היותו נתון במעצר באיזוק אלקטרוני במשך תקופה ממושכת, מאז חודש פברואר, כמו גם את השפעת מעצרו של הנאשם על פרנסת משפחתו והשפעתו הצפויה של המאסר במישור זה.</w:t>
      </w:r>
    </w:p>
    <w:p w14:paraId="49EF962C" w14:textId="77777777" w:rsidR="00D0309E" w:rsidRDefault="00D0309E" w:rsidP="00D0309E">
      <w:pPr>
        <w:spacing w:line="360" w:lineRule="auto"/>
        <w:jc w:val="both"/>
        <w:rPr>
          <w:rtl/>
        </w:rPr>
      </w:pPr>
    </w:p>
    <w:p w14:paraId="0760FED0" w14:textId="77777777" w:rsidR="00D0309E" w:rsidRDefault="00D0309E" w:rsidP="00D0309E">
      <w:pPr>
        <w:spacing w:line="360" w:lineRule="auto"/>
        <w:jc w:val="both"/>
        <w:rPr>
          <w:rtl/>
        </w:rPr>
      </w:pPr>
      <w:r>
        <w:rPr>
          <w:rFonts w:hint="cs"/>
          <w:rtl/>
        </w:rPr>
        <w:t xml:space="preserve">32. </w:t>
      </w:r>
      <w:r>
        <w:rPr>
          <w:rtl/>
        </w:rPr>
        <w:tab/>
      </w:r>
      <w:r>
        <w:rPr>
          <w:rFonts w:hint="cs"/>
          <w:rtl/>
        </w:rPr>
        <w:t>בסיכומו של דבר, אני דנה את הנאשם, כדלקמן:</w:t>
      </w:r>
    </w:p>
    <w:p w14:paraId="2F1C2976" w14:textId="77777777" w:rsidR="00D0309E" w:rsidRDefault="00D0309E" w:rsidP="00D0309E">
      <w:pPr>
        <w:spacing w:line="360" w:lineRule="auto"/>
        <w:jc w:val="both"/>
        <w:rPr>
          <w:rtl/>
        </w:rPr>
      </w:pPr>
    </w:p>
    <w:p w14:paraId="666F5AAC" w14:textId="77777777" w:rsidR="00D0309E" w:rsidRDefault="00D0309E" w:rsidP="00D0309E">
      <w:pPr>
        <w:pStyle w:val="ListParagraph"/>
        <w:numPr>
          <w:ilvl w:val="0"/>
          <w:numId w:val="6"/>
        </w:numPr>
        <w:spacing w:line="360" w:lineRule="auto"/>
        <w:jc w:val="both"/>
      </w:pPr>
      <w:r>
        <w:rPr>
          <w:rFonts w:hint="cs"/>
          <w:rtl/>
        </w:rPr>
        <w:t xml:space="preserve">למאסר בפועל לתקופה של  12 חודשים, בניכוי ימי מעצרו (מיום 22/1/2018 עד ליום 27/2/2018).  </w:t>
      </w:r>
    </w:p>
    <w:p w14:paraId="58F66B46" w14:textId="77777777" w:rsidR="00D0309E" w:rsidRDefault="00D0309E" w:rsidP="00D0309E">
      <w:pPr>
        <w:pStyle w:val="ListParagraph"/>
        <w:spacing w:line="360" w:lineRule="auto"/>
        <w:ind w:left="1440"/>
        <w:jc w:val="both"/>
      </w:pPr>
    </w:p>
    <w:p w14:paraId="007E40C3" w14:textId="77777777" w:rsidR="00D0309E" w:rsidRDefault="00D0309E" w:rsidP="00D0309E">
      <w:pPr>
        <w:pStyle w:val="ListParagraph"/>
        <w:numPr>
          <w:ilvl w:val="0"/>
          <w:numId w:val="6"/>
        </w:numPr>
        <w:spacing w:line="360" w:lineRule="auto"/>
        <w:jc w:val="both"/>
      </w:pPr>
      <w:r>
        <w:rPr>
          <w:rFonts w:hint="cs"/>
          <w:rtl/>
        </w:rPr>
        <w:t xml:space="preserve">למאסר על תנאי לתקופה של 12 חודשים למשך  3 שנים, והתנאי הוא לבל יעבור הנאשם עבירה מסוג פשע לפי </w:t>
      </w:r>
      <w:hyperlink r:id="rId36" w:history="1">
        <w:r w:rsidR="003A1F14" w:rsidRPr="003A1F14">
          <w:rPr>
            <w:color w:val="0000FF"/>
            <w:u w:val="single"/>
            <w:rtl/>
          </w:rPr>
          <w:t>סעיף  144</w:t>
        </w:r>
      </w:hyperlink>
      <w:r>
        <w:rPr>
          <w:rFonts w:hint="cs"/>
          <w:rtl/>
        </w:rPr>
        <w:t xml:space="preserve"> ל</w:t>
      </w:r>
      <w:hyperlink r:id="rId37" w:history="1">
        <w:r w:rsidR="00F81156" w:rsidRPr="00F81156">
          <w:rPr>
            <w:color w:val="0000FF"/>
            <w:u w:val="single"/>
            <w:rtl/>
          </w:rPr>
          <w:t>חוק העונשין</w:t>
        </w:r>
      </w:hyperlink>
      <w:r>
        <w:rPr>
          <w:rFonts w:hint="cs"/>
          <w:rtl/>
        </w:rPr>
        <w:t xml:space="preserve">, התשל"ז-1977. </w:t>
      </w:r>
    </w:p>
    <w:p w14:paraId="068734A3" w14:textId="77777777" w:rsidR="00D0309E" w:rsidRDefault="00D0309E" w:rsidP="00D0309E">
      <w:pPr>
        <w:pStyle w:val="ListParagraph"/>
        <w:rPr>
          <w:rtl/>
        </w:rPr>
      </w:pPr>
    </w:p>
    <w:p w14:paraId="0BFB02BF" w14:textId="77777777" w:rsidR="00D0309E" w:rsidRDefault="00D0309E" w:rsidP="00D0309E">
      <w:pPr>
        <w:pStyle w:val="ListParagraph"/>
        <w:numPr>
          <w:ilvl w:val="0"/>
          <w:numId w:val="6"/>
        </w:numPr>
        <w:spacing w:line="360" w:lineRule="auto"/>
        <w:jc w:val="both"/>
      </w:pPr>
      <w:r>
        <w:rPr>
          <w:rFonts w:hint="cs"/>
          <w:rtl/>
        </w:rPr>
        <w:t xml:space="preserve">למאסר על תנאי לתקופה של 6 חודשים למשך  3 שנים, והתנאי הוא לבל יעבור הנאשם עבירה מסוג עוון לפי </w:t>
      </w:r>
      <w:hyperlink r:id="rId38" w:history="1">
        <w:r w:rsidR="003A1F14" w:rsidRPr="003A1F14">
          <w:rPr>
            <w:color w:val="0000FF"/>
            <w:u w:val="single"/>
            <w:rtl/>
          </w:rPr>
          <w:t>סעיף  144</w:t>
        </w:r>
      </w:hyperlink>
      <w:r>
        <w:rPr>
          <w:rFonts w:hint="cs"/>
          <w:rtl/>
        </w:rPr>
        <w:t xml:space="preserve"> ל</w:t>
      </w:r>
      <w:hyperlink r:id="rId39" w:history="1">
        <w:r w:rsidR="00F81156" w:rsidRPr="00F81156">
          <w:rPr>
            <w:color w:val="0000FF"/>
            <w:u w:val="single"/>
            <w:rtl/>
          </w:rPr>
          <w:t>חוק העונשין</w:t>
        </w:r>
      </w:hyperlink>
      <w:r>
        <w:rPr>
          <w:rFonts w:hint="cs"/>
          <w:rtl/>
        </w:rPr>
        <w:t xml:space="preserve">, התשל"ז-1977. </w:t>
      </w:r>
    </w:p>
    <w:p w14:paraId="37A51AD5" w14:textId="77777777" w:rsidR="00D0309E" w:rsidRPr="00D25B21" w:rsidRDefault="00D0309E" w:rsidP="00D0309E">
      <w:pPr>
        <w:spacing w:line="360" w:lineRule="auto"/>
        <w:jc w:val="both"/>
        <w:rPr>
          <w:rtl/>
        </w:rPr>
      </w:pPr>
    </w:p>
    <w:p w14:paraId="540335D9" w14:textId="77777777" w:rsidR="00D0309E" w:rsidRDefault="00D0309E" w:rsidP="00D0309E">
      <w:pPr>
        <w:spacing w:line="360" w:lineRule="auto"/>
        <w:jc w:val="both"/>
        <w:rPr>
          <w:rtl/>
        </w:rPr>
      </w:pPr>
      <w:r>
        <w:rPr>
          <w:rFonts w:hint="cs"/>
          <w:rtl/>
        </w:rPr>
        <w:t xml:space="preserve">כאן יצוין, כי נוכח שליחת הנאשם למאסר בפועל, כאמור לעיל, ובהתחשב במצבה הכלכלי של משפחתו, החלטתי שלא להשית עליו  קנס כספי. </w:t>
      </w:r>
    </w:p>
    <w:p w14:paraId="1A35BB66" w14:textId="77777777" w:rsidR="00D0309E" w:rsidRDefault="00D0309E" w:rsidP="00D0309E">
      <w:pPr>
        <w:spacing w:line="360" w:lineRule="auto"/>
        <w:jc w:val="both"/>
        <w:rPr>
          <w:rtl/>
        </w:rPr>
      </w:pPr>
    </w:p>
    <w:p w14:paraId="1A62EB4F" w14:textId="77777777" w:rsidR="00D0309E" w:rsidRDefault="00D0309E" w:rsidP="00D0309E">
      <w:pPr>
        <w:spacing w:line="360" w:lineRule="auto"/>
        <w:jc w:val="both"/>
        <w:rPr>
          <w:rtl/>
        </w:rPr>
      </w:pPr>
      <w:r>
        <w:rPr>
          <w:rFonts w:hint="cs"/>
          <w:rtl/>
        </w:rPr>
        <w:t xml:space="preserve">המזכירות תמציא גזר הדין לשירות המבחן.  </w:t>
      </w:r>
    </w:p>
    <w:p w14:paraId="5FE9F277" w14:textId="77777777" w:rsidR="00D0309E" w:rsidRDefault="00D0309E" w:rsidP="00D0309E">
      <w:pPr>
        <w:spacing w:line="360" w:lineRule="auto"/>
        <w:jc w:val="both"/>
        <w:rPr>
          <w:rtl/>
        </w:rPr>
      </w:pPr>
    </w:p>
    <w:p w14:paraId="2D07A4FC" w14:textId="77777777" w:rsidR="00D0309E" w:rsidRDefault="00D0309E" w:rsidP="00D0309E">
      <w:pPr>
        <w:spacing w:line="360" w:lineRule="auto"/>
        <w:jc w:val="both"/>
        <w:rPr>
          <w:rtl/>
        </w:rPr>
      </w:pPr>
    </w:p>
    <w:p w14:paraId="195124A7" w14:textId="77777777" w:rsidR="00D0309E" w:rsidRDefault="00D0309E" w:rsidP="00D0309E">
      <w:pPr>
        <w:spacing w:line="360" w:lineRule="auto"/>
        <w:jc w:val="both"/>
        <w:rPr>
          <w:rtl/>
        </w:rPr>
      </w:pPr>
    </w:p>
    <w:p w14:paraId="58F7CA9F" w14:textId="77777777" w:rsidR="00D0309E" w:rsidRDefault="00D0309E" w:rsidP="00D0309E">
      <w:pPr>
        <w:spacing w:line="360" w:lineRule="auto"/>
        <w:jc w:val="both"/>
        <w:rPr>
          <w:rtl/>
        </w:rPr>
      </w:pPr>
    </w:p>
    <w:p w14:paraId="35251931" w14:textId="77777777" w:rsidR="00D0309E" w:rsidRDefault="00D0309E" w:rsidP="00D0309E">
      <w:pPr>
        <w:spacing w:line="360" w:lineRule="auto"/>
        <w:jc w:val="both"/>
        <w:rPr>
          <w:rtl/>
        </w:rPr>
      </w:pPr>
    </w:p>
    <w:p w14:paraId="6B444810" w14:textId="77777777" w:rsidR="00D0309E" w:rsidRDefault="00D0309E" w:rsidP="00D0309E">
      <w:pPr>
        <w:spacing w:line="360" w:lineRule="auto"/>
        <w:jc w:val="both"/>
        <w:rPr>
          <w:rtl/>
        </w:rPr>
      </w:pPr>
      <w:r>
        <w:rPr>
          <w:rFonts w:hint="cs"/>
          <w:rtl/>
        </w:rPr>
        <w:t xml:space="preserve">זכות ערעור לבית המשפט העליון תוך  45 יום מהיום.  </w:t>
      </w:r>
    </w:p>
    <w:p w14:paraId="358D70CB" w14:textId="77777777" w:rsidR="00D0309E" w:rsidRDefault="00D0309E" w:rsidP="00D0309E">
      <w:pPr>
        <w:spacing w:line="360" w:lineRule="auto"/>
        <w:jc w:val="both"/>
        <w:rPr>
          <w:rtl/>
        </w:rPr>
      </w:pPr>
    </w:p>
    <w:p w14:paraId="0E2CF3A4" w14:textId="77777777" w:rsidR="00D0309E" w:rsidRDefault="00F81156" w:rsidP="00D0309E">
      <w:pPr>
        <w:spacing w:line="360" w:lineRule="auto"/>
        <w:jc w:val="both"/>
        <w:rPr>
          <w:rFonts w:ascii="Arial" w:hAnsi="Arial" w:hint="cs"/>
        </w:rPr>
      </w:pPr>
      <w:r w:rsidRPr="00F81156">
        <w:rPr>
          <w:rFonts w:ascii="Arial" w:hAnsi="Arial"/>
          <w:color w:val="FFFFFF"/>
          <w:sz w:val="2"/>
          <w:szCs w:val="2"/>
          <w:rtl/>
        </w:rPr>
        <w:t>5129371</w:t>
      </w:r>
      <w:r>
        <w:rPr>
          <w:rFonts w:ascii="Arial" w:hAnsi="Arial"/>
          <w:rtl/>
        </w:rPr>
        <w:t xml:space="preserve">ניתן היום,  ט"ו חשוון תשע"ט, 24 אוקטובר 2018, במעמד ב"כ המאשימה עו"ד פסקל, ב"כ הנאשם </w:t>
      </w:r>
      <w:r w:rsidR="00D0309E">
        <w:rPr>
          <w:rFonts w:ascii="Arial" w:hAnsi="Arial" w:hint="cs"/>
          <w:rtl/>
        </w:rPr>
        <w:t xml:space="preserve">עו"ד עומר סנעאללה והנאשם בעצמו. </w:t>
      </w:r>
      <w:r w:rsidR="00405283">
        <w:rPr>
          <w:rFonts w:ascii="Arial" w:hAnsi="Arial" w:hint="cs"/>
          <w:rtl/>
        </w:rPr>
        <w:t xml:space="preserve">    </w:t>
      </w:r>
    </w:p>
    <w:p w14:paraId="6D8B9086" w14:textId="77777777" w:rsidR="00D0309E" w:rsidRPr="00F81156" w:rsidRDefault="00F81156" w:rsidP="00D0309E">
      <w:pPr>
        <w:jc w:val="both"/>
        <w:rPr>
          <w:rFonts w:cs="FrankRuehl"/>
          <w:color w:val="FFFFFF"/>
          <w:sz w:val="2"/>
          <w:szCs w:val="2"/>
          <w:rtl/>
        </w:rPr>
      </w:pPr>
      <w:r w:rsidRPr="00F81156">
        <w:rPr>
          <w:rFonts w:cs="FrankRuehl"/>
          <w:color w:val="FFFFFF"/>
          <w:sz w:val="2"/>
          <w:szCs w:val="2"/>
          <w:rtl/>
        </w:rPr>
        <w:t>54678313</w:t>
      </w:r>
    </w:p>
    <w:p w14:paraId="1E345C7E" w14:textId="77777777" w:rsidR="00D0309E" w:rsidRDefault="00D0309E" w:rsidP="00D0309E">
      <w:pPr>
        <w:jc w:val="both"/>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59CD1255" w14:textId="77777777" w:rsidR="00D0309E" w:rsidRDefault="00D0309E" w:rsidP="00D0309E">
      <w:pPr>
        <w:jc w:val="both"/>
        <w:rPr>
          <w:rFonts w:ascii="Arial" w:hAnsi="Arial" w:cs="FrankRuehl"/>
          <w:sz w:val="28"/>
          <w:szCs w:val="28"/>
          <w:rtl/>
        </w:rPr>
      </w:pPr>
    </w:p>
    <w:p w14:paraId="2B452870" w14:textId="77777777" w:rsidR="00D0309E" w:rsidRDefault="00D0309E" w:rsidP="00D0309E">
      <w:pPr>
        <w:jc w:val="both"/>
        <w:rPr>
          <w:rFonts w:cs="FrankRuehl"/>
          <w:sz w:val="28"/>
          <w:szCs w:val="28"/>
          <w:rtl/>
        </w:rPr>
      </w:pPr>
    </w:p>
    <w:p w14:paraId="172D1733" w14:textId="77777777" w:rsidR="00D0309E" w:rsidRPr="003A1F14" w:rsidRDefault="003A1F14" w:rsidP="00D0309E">
      <w:pPr>
        <w:pStyle w:val="a3"/>
        <w:jc w:val="both"/>
        <w:rPr>
          <w:color w:val="FFFFFF"/>
          <w:sz w:val="2"/>
          <w:szCs w:val="2"/>
          <w:rtl/>
        </w:rPr>
      </w:pPr>
      <w:r w:rsidRPr="003A1F14">
        <w:rPr>
          <w:color w:val="FFFFFF"/>
          <w:sz w:val="2"/>
          <w:szCs w:val="2"/>
          <w:rtl/>
        </w:rPr>
        <w:t>5129371</w:t>
      </w:r>
    </w:p>
    <w:p w14:paraId="37DFB015" w14:textId="77777777" w:rsidR="000D24FA" w:rsidRPr="003A1F14" w:rsidRDefault="003A1F14" w:rsidP="00F81156">
      <w:pPr>
        <w:keepNext/>
        <w:rPr>
          <w:rFonts w:ascii="David" w:hAnsi="David"/>
          <w:color w:val="FFFFFF"/>
          <w:sz w:val="2"/>
          <w:szCs w:val="2"/>
          <w:rtl/>
        </w:rPr>
      </w:pPr>
      <w:r w:rsidRPr="003A1F14">
        <w:rPr>
          <w:rFonts w:ascii="David" w:hAnsi="David"/>
          <w:color w:val="FFFFFF"/>
          <w:sz w:val="2"/>
          <w:szCs w:val="2"/>
          <w:rtl/>
        </w:rPr>
        <w:t>54678313</w:t>
      </w:r>
    </w:p>
    <w:p w14:paraId="1B72E415" w14:textId="77777777" w:rsidR="00F81156" w:rsidRPr="00F81156" w:rsidRDefault="00F81156" w:rsidP="00F81156">
      <w:pPr>
        <w:keepNext/>
        <w:rPr>
          <w:rFonts w:ascii="David" w:hAnsi="David"/>
          <w:color w:val="000000"/>
          <w:sz w:val="22"/>
          <w:szCs w:val="22"/>
          <w:rtl/>
        </w:rPr>
      </w:pPr>
      <w:r w:rsidRPr="00F81156">
        <w:rPr>
          <w:rFonts w:ascii="David" w:hAnsi="David"/>
          <w:color w:val="000000"/>
          <w:sz w:val="22"/>
          <w:szCs w:val="22"/>
          <w:rtl/>
        </w:rPr>
        <w:t>רונית בש 54678313</w:t>
      </w:r>
    </w:p>
    <w:p w14:paraId="21A4B3ED" w14:textId="77777777" w:rsidR="00F81156" w:rsidRDefault="00F81156" w:rsidP="00F81156">
      <w:r w:rsidRPr="00F81156">
        <w:rPr>
          <w:color w:val="000000"/>
          <w:rtl/>
        </w:rPr>
        <w:t>נוסח מסמך זה כפוף לשינויי ניסוח ועריכה</w:t>
      </w:r>
    </w:p>
    <w:p w14:paraId="46974AB6" w14:textId="77777777" w:rsidR="00F81156" w:rsidRDefault="00F81156" w:rsidP="00F81156">
      <w:pPr>
        <w:rPr>
          <w:rtl/>
        </w:rPr>
      </w:pPr>
    </w:p>
    <w:p w14:paraId="351A0A20" w14:textId="77777777" w:rsidR="00F81156" w:rsidRDefault="00F81156" w:rsidP="00F81156">
      <w:pPr>
        <w:jc w:val="center"/>
        <w:rPr>
          <w:color w:val="0000FF"/>
          <w:u w:val="single"/>
        </w:rPr>
      </w:pPr>
      <w:hyperlink r:id="rId40" w:history="1">
        <w:r>
          <w:rPr>
            <w:color w:val="0000FF"/>
            <w:u w:val="single"/>
            <w:rtl/>
          </w:rPr>
          <w:t>בעניין עריכה ושינויים במסמכי פסיקה, חקיקה ועוד באתר נבו – הקש כאן</w:t>
        </w:r>
      </w:hyperlink>
    </w:p>
    <w:p w14:paraId="43033794" w14:textId="77777777" w:rsidR="003A1F14" w:rsidRPr="003A1F14" w:rsidRDefault="003A1F14" w:rsidP="003A1F14">
      <w:pPr>
        <w:keepNext/>
        <w:rPr>
          <w:rFonts w:ascii="David" w:hAnsi="David"/>
          <w:color w:val="000000"/>
          <w:sz w:val="22"/>
          <w:szCs w:val="22"/>
          <w:rtl/>
        </w:rPr>
      </w:pPr>
    </w:p>
    <w:p w14:paraId="6D780D51" w14:textId="77777777" w:rsidR="00F81156" w:rsidRPr="00F81156" w:rsidRDefault="00F81156" w:rsidP="003A1F14">
      <w:pPr>
        <w:rPr>
          <w:color w:val="0000FF"/>
          <w:u w:val="single"/>
        </w:rPr>
      </w:pPr>
    </w:p>
    <w:sectPr w:rsidR="00F81156" w:rsidRPr="00F81156" w:rsidSect="003A1F14">
      <w:headerReference w:type="even" r:id="rId41"/>
      <w:headerReference w:type="default" r:id="rId42"/>
      <w:footerReference w:type="even" r:id="rId43"/>
      <w:footerReference w:type="default" r:id="rId4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6B46B7" w14:textId="77777777" w:rsidR="002A7495" w:rsidRDefault="002A7495" w:rsidP="007E4F80">
      <w:r>
        <w:separator/>
      </w:r>
    </w:p>
  </w:endnote>
  <w:endnote w:type="continuationSeparator" w:id="0">
    <w:p w14:paraId="4FE55D18" w14:textId="77777777" w:rsidR="002A7495" w:rsidRDefault="002A7495" w:rsidP="007E4F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W1)">
    <w:altName w:val="Times New Roman"/>
    <w:charset w:val="00"/>
    <w:family w:val="roman"/>
    <w:pitch w:val="variable"/>
    <w:sig w:usb0="20007A87" w:usb1="80000000" w:usb2="00000008"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339CF" w14:textId="77777777" w:rsidR="003A1F14" w:rsidRDefault="003A1F14" w:rsidP="003A1F1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36D765E" w14:textId="77777777" w:rsidR="00B75423" w:rsidRPr="003A1F14" w:rsidRDefault="003A1F14" w:rsidP="003A1F14">
    <w:pPr>
      <w:pStyle w:val="a5"/>
      <w:pBdr>
        <w:top w:val="single" w:sz="4" w:space="1" w:color="auto"/>
        <w:between w:val="single" w:sz="4" w:space="0" w:color="auto"/>
      </w:pBdr>
      <w:spacing w:after="60"/>
      <w:jc w:val="center"/>
      <w:rPr>
        <w:rFonts w:ascii="FrankRuehl" w:hAnsi="FrankRuehl" w:cs="FrankRuehl"/>
        <w:color w:val="000000"/>
      </w:rPr>
    </w:pPr>
    <w:r w:rsidRPr="003A1F1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7.9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35E06" w14:textId="77777777" w:rsidR="003A1F14" w:rsidRDefault="003A1F14" w:rsidP="003A1F1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E3CC1">
      <w:rPr>
        <w:rFonts w:ascii="FrankRuehl" w:hAnsi="FrankRuehl" w:cs="FrankRuehl"/>
        <w:noProof/>
        <w:rtl/>
      </w:rPr>
      <w:t>1</w:t>
    </w:r>
    <w:r>
      <w:rPr>
        <w:rFonts w:ascii="FrankRuehl" w:hAnsi="FrankRuehl" w:cs="FrankRuehl"/>
        <w:rtl/>
      </w:rPr>
      <w:fldChar w:fldCharType="end"/>
    </w:r>
  </w:p>
  <w:p w14:paraId="752ADF7F" w14:textId="77777777" w:rsidR="00B75423" w:rsidRPr="003A1F14" w:rsidRDefault="003A1F14" w:rsidP="003A1F14">
    <w:pPr>
      <w:pStyle w:val="a5"/>
      <w:pBdr>
        <w:top w:val="single" w:sz="4" w:space="1" w:color="auto"/>
        <w:between w:val="single" w:sz="4" w:space="0" w:color="auto"/>
      </w:pBdr>
      <w:spacing w:after="60"/>
      <w:jc w:val="center"/>
      <w:rPr>
        <w:rFonts w:ascii="FrankRuehl" w:hAnsi="FrankRuehl" w:cs="FrankRuehl"/>
        <w:color w:val="000000"/>
      </w:rPr>
    </w:pPr>
    <w:r w:rsidRPr="003A1F14">
      <w:rPr>
        <w:rFonts w:ascii="FrankRuehl" w:hAnsi="FrankRuehl" w:cs="FrankRuehl"/>
        <w:color w:val="000000"/>
      </w:rPr>
      <w:pict w14:anchorId="56EA3F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7.9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F52E03" w14:textId="77777777" w:rsidR="002A7495" w:rsidRDefault="002A7495" w:rsidP="007E4F80">
      <w:r>
        <w:separator/>
      </w:r>
    </w:p>
  </w:footnote>
  <w:footnote w:type="continuationSeparator" w:id="0">
    <w:p w14:paraId="135983E7" w14:textId="77777777" w:rsidR="002A7495" w:rsidRDefault="002A7495" w:rsidP="007E4F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7FE66" w14:textId="77777777" w:rsidR="00F81156" w:rsidRPr="003A1F14" w:rsidRDefault="003A1F14" w:rsidP="003A1F1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630-02-18</w:t>
    </w:r>
    <w:r>
      <w:rPr>
        <w:rFonts w:ascii="David" w:hAnsi="David"/>
        <w:color w:val="000000"/>
        <w:sz w:val="22"/>
        <w:szCs w:val="22"/>
        <w:rtl/>
      </w:rPr>
      <w:tab/>
      <w:t xml:space="preserve"> מדינת ישראל נ' סעיד סעיד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9E4A7" w14:textId="77777777" w:rsidR="00F81156" w:rsidRPr="003A1F14" w:rsidRDefault="003A1F14" w:rsidP="003A1F1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630-02-18</w:t>
    </w:r>
    <w:r>
      <w:rPr>
        <w:rFonts w:ascii="David" w:hAnsi="David"/>
        <w:color w:val="000000"/>
        <w:sz w:val="22"/>
        <w:szCs w:val="22"/>
        <w:rtl/>
      </w:rPr>
      <w:tab/>
      <w:t xml:space="preserve"> מדינת ישראל נ' סעיד סעיד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F1599"/>
    <w:multiLevelType w:val="hybridMultilevel"/>
    <w:tmpl w:val="8B687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4994001"/>
    <w:multiLevelType w:val="hybridMultilevel"/>
    <w:tmpl w:val="5984A1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943233F"/>
    <w:multiLevelType w:val="hybridMultilevel"/>
    <w:tmpl w:val="9D7C1C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9A149E5"/>
    <w:multiLevelType w:val="hybridMultilevel"/>
    <w:tmpl w:val="31BC7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157C6A"/>
    <w:multiLevelType w:val="hybridMultilevel"/>
    <w:tmpl w:val="8138AD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9285FDC"/>
    <w:multiLevelType w:val="hybridMultilevel"/>
    <w:tmpl w:val="AB30C3C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A3619E2"/>
    <w:multiLevelType w:val="hybridMultilevel"/>
    <w:tmpl w:val="6298C1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ED1247D"/>
    <w:multiLevelType w:val="hybridMultilevel"/>
    <w:tmpl w:val="F1B422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64F03CF"/>
    <w:multiLevelType w:val="hybridMultilevel"/>
    <w:tmpl w:val="9BA6B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3166223">
    <w:abstractNumId w:val="7"/>
  </w:num>
  <w:num w:numId="2" w16cid:durableId="1157458867">
    <w:abstractNumId w:val="1"/>
  </w:num>
  <w:num w:numId="3" w16cid:durableId="2144886699">
    <w:abstractNumId w:val="4"/>
  </w:num>
  <w:num w:numId="4" w16cid:durableId="1723208404">
    <w:abstractNumId w:val="0"/>
  </w:num>
  <w:num w:numId="5" w16cid:durableId="358622658">
    <w:abstractNumId w:val="8"/>
  </w:num>
  <w:num w:numId="6" w16cid:durableId="798765899">
    <w:abstractNumId w:val="5"/>
  </w:num>
  <w:num w:numId="7" w16cid:durableId="217130128">
    <w:abstractNumId w:val="10"/>
  </w:num>
  <w:num w:numId="8" w16cid:durableId="1380782465">
    <w:abstractNumId w:val="6"/>
  </w:num>
  <w:num w:numId="9" w16cid:durableId="713848116">
    <w:abstractNumId w:val="9"/>
  </w:num>
  <w:num w:numId="10" w16cid:durableId="751588246">
    <w:abstractNumId w:val="3"/>
  </w:num>
  <w:num w:numId="11" w16cid:durableId="14855816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0309E"/>
    <w:rsid w:val="000D24FA"/>
    <w:rsid w:val="002A7495"/>
    <w:rsid w:val="00321D19"/>
    <w:rsid w:val="003A1F14"/>
    <w:rsid w:val="00405283"/>
    <w:rsid w:val="0044208B"/>
    <w:rsid w:val="00652FFB"/>
    <w:rsid w:val="00765965"/>
    <w:rsid w:val="007E4F80"/>
    <w:rsid w:val="00990B3D"/>
    <w:rsid w:val="00B75423"/>
    <w:rsid w:val="00B92A01"/>
    <w:rsid w:val="00BB0C62"/>
    <w:rsid w:val="00BE3CC1"/>
    <w:rsid w:val="00D0309E"/>
    <w:rsid w:val="00F81156"/>
    <w:rsid w:val="00FE5CB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5BF026F9"/>
  <w15:chartTrackingRefBased/>
  <w15:docId w15:val="{F155BDCD-F3CA-4377-802F-32087561F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0309E"/>
    <w:pPr>
      <w:bidi/>
    </w:pPr>
    <w:rPr>
      <w:rFonts w:ascii="Times New Roman" w:eastAsia="Times New Roman" w:hAnsi="Times New Roman" w:cs="David"/>
      <w:sz w:val="24"/>
      <w:szCs w:val="24"/>
    </w:rPr>
  </w:style>
  <w:style w:type="paragraph" w:styleId="1">
    <w:name w:val="heading 1"/>
    <w:basedOn w:val="a"/>
    <w:next w:val="a"/>
    <w:link w:val="10"/>
    <w:qFormat/>
    <w:rsid w:val="00D0309E"/>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D0309E"/>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D0309E"/>
    <w:rPr>
      <w:rFonts w:ascii="Arial" w:eastAsia="Times New Roman" w:hAnsi="Arial" w:cs="Arial"/>
      <w:b/>
      <w:bCs/>
      <w:kern w:val="32"/>
      <w:sz w:val="32"/>
      <w:szCs w:val="32"/>
    </w:rPr>
  </w:style>
  <w:style w:type="character" w:customStyle="1" w:styleId="40">
    <w:name w:val="כותרת 4 תו"/>
    <w:link w:val="4"/>
    <w:rsid w:val="00D0309E"/>
    <w:rPr>
      <w:rFonts w:ascii="Times New Roman" w:eastAsia="Times New Roman" w:hAnsi="Times New Roman" w:cs="Narkisim"/>
      <w:b/>
      <w:bCs/>
      <w:sz w:val="24"/>
      <w:szCs w:val="24"/>
    </w:rPr>
  </w:style>
  <w:style w:type="paragraph" w:styleId="a3">
    <w:name w:val="header"/>
    <w:basedOn w:val="a"/>
    <w:link w:val="a4"/>
    <w:rsid w:val="00D0309E"/>
    <w:pPr>
      <w:tabs>
        <w:tab w:val="center" w:pos="4153"/>
        <w:tab w:val="right" w:pos="8306"/>
      </w:tabs>
    </w:pPr>
  </w:style>
  <w:style w:type="character" w:customStyle="1" w:styleId="a4">
    <w:name w:val="כותרת עליונה תו"/>
    <w:link w:val="a3"/>
    <w:rsid w:val="00D0309E"/>
    <w:rPr>
      <w:rFonts w:ascii="Times New Roman" w:eastAsia="Times New Roman" w:hAnsi="Times New Roman" w:cs="David"/>
      <w:sz w:val="24"/>
      <w:szCs w:val="24"/>
    </w:rPr>
  </w:style>
  <w:style w:type="paragraph" w:styleId="a5">
    <w:name w:val="footer"/>
    <w:basedOn w:val="a"/>
    <w:link w:val="a6"/>
    <w:rsid w:val="00D0309E"/>
    <w:pPr>
      <w:tabs>
        <w:tab w:val="center" w:pos="4153"/>
        <w:tab w:val="right" w:pos="8306"/>
      </w:tabs>
    </w:pPr>
  </w:style>
  <w:style w:type="character" w:customStyle="1" w:styleId="a6">
    <w:name w:val="כותרת תחתונה תו"/>
    <w:link w:val="a5"/>
    <w:rsid w:val="00D0309E"/>
    <w:rPr>
      <w:rFonts w:ascii="Times New Roman" w:eastAsia="Times New Roman" w:hAnsi="Times New Roman" w:cs="David"/>
      <w:sz w:val="24"/>
      <w:szCs w:val="24"/>
    </w:rPr>
  </w:style>
  <w:style w:type="character" w:styleId="a7">
    <w:name w:val="annotation reference"/>
    <w:rsid w:val="00D0309E"/>
    <w:rPr>
      <w:sz w:val="16"/>
      <w:szCs w:val="16"/>
    </w:rPr>
  </w:style>
  <w:style w:type="paragraph" w:styleId="a8">
    <w:name w:val="annotation text"/>
    <w:basedOn w:val="a"/>
    <w:link w:val="a9"/>
    <w:rsid w:val="00D0309E"/>
    <w:rPr>
      <w:rFonts w:cs="Times New Roman"/>
      <w:lang w:eastAsia="he-IL"/>
    </w:rPr>
  </w:style>
  <w:style w:type="character" w:customStyle="1" w:styleId="a9">
    <w:name w:val="טקסט הערה תו"/>
    <w:link w:val="a8"/>
    <w:rsid w:val="00D0309E"/>
    <w:rPr>
      <w:rFonts w:ascii="Times New Roman" w:eastAsia="Times New Roman" w:hAnsi="Times New Roman" w:cs="Times New Roman"/>
      <w:sz w:val="24"/>
      <w:szCs w:val="24"/>
      <w:lang w:eastAsia="he-IL"/>
    </w:rPr>
  </w:style>
  <w:style w:type="paragraph" w:styleId="aa">
    <w:name w:val="Balloon Text"/>
    <w:basedOn w:val="a"/>
    <w:link w:val="ab"/>
    <w:rsid w:val="00D0309E"/>
    <w:rPr>
      <w:rFonts w:ascii="Tahoma" w:hAnsi="Tahoma" w:cs="Tahoma"/>
      <w:sz w:val="16"/>
      <w:szCs w:val="16"/>
    </w:rPr>
  </w:style>
  <w:style w:type="character" w:customStyle="1" w:styleId="ab">
    <w:name w:val="טקסט בלונים תו"/>
    <w:link w:val="aa"/>
    <w:rsid w:val="00D0309E"/>
    <w:rPr>
      <w:rFonts w:ascii="Tahoma" w:eastAsia="Times New Roman" w:hAnsi="Tahoma" w:cs="Tahoma"/>
      <w:sz w:val="16"/>
      <w:szCs w:val="16"/>
    </w:rPr>
  </w:style>
  <w:style w:type="table" w:styleId="ac">
    <w:name w:val="Table Grid"/>
    <w:basedOn w:val="a1"/>
    <w:rsid w:val="00D0309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D0309E"/>
  </w:style>
  <w:style w:type="paragraph" w:customStyle="1" w:styleId="ListParagraph">
    <w:name w:val="List Paragraph"/>
    <w:basedOn w:val="a"/>
    <w:qFormat/>
    <w:rsid w:val="00D0309E"/>
    <w:pPr>
      <w:ind w:left="720"/>
      <w:contextualSpacing/>
    </w:pPr>
  </w:style>
  <w:style w:type="character" w:styleId="Hyperlink">
    <w:name w:val="Hyperlink"/>
    <w:rsid w:val="00F811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law/70301/144.b" TargetMode="External"/><Relationship Id="rId26" Type="http://schemas.openxmlformats.org/officeDocument/2006/relationships/hyperlink" Target="http://www.nevo.co.il/law/70301/40i" TargetMode="External"/><Relationship Id="rId39" Type="http://schemas.openxmlformats.org/officeDocument/2006/relationships/hyperlink" Target="http://www.nevo.co.il/law/70301" TargetMode="External"/><Relationship Id="rId21" Type="http://schemas.openxmlformats.org/officeDocument/2006/relationships/hyperlink" Target="http://www.nevo.co.il/law/70301" TargetMode="External"/><Relationship Id="rId34" Type="http://schemas.openxmlformats.org/officeDocument/2006/relationships/hyperlink" Target="http://www.nevo.co.il/case/24263578" TargetMode="External"/><Relationship Id="rId42" Type="http://schemas.openxmlformats.org/officeDocument/2006/relationships/header" Target="head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40i" TargetMode="External"/><Relationship Id="rId29" Type="http://schemas.openxmlformats.org/officeDocument/2006/relationships/hyperlink" Target="http://www.nevo.co.il/law/70301/40i"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 TargetMode="External"/><Relationship Id="rId24" Type="http://schemas.openxmlformats.org/officeDocument/2006/relationships/hyperlink" Target="http://www.nevo.co.il/law/70301/40c" TargetMode="External"/><Relationship Id="rId32" Type="http://schemas.openxmlformats.org/officeDocument/2006/relationships/hyperlink" Target="http://www.nevo.co.il/case/7840699" TargetMode="External"/><Relationship Id="rId37" Type="http://schemas.openxmlformats.org/officeDocument/2006/relationships/hyperlink" Target="http://www.nevo.co.il/law/70301" TargetMode="External"/><Relationship Id="rId40" Type="http://schemas.openxmlformats.org/officeDocument/2006/relationships/hyperlink" Target="http://www.nevo.co.il/advertisements/nevo-100.doc"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70301/40c" TargetMode="External"/><Relationship Id="rId23" Type="http://schemas.openxmlformats.org/officeDocument/2006/relationships/hyperlink" Target="http://www.nevo.co.il/case/6243627" TargetMode="External"/><Relationship Id="rId28" Type="http://schemas.openxmlformats.org/officeDocument/2006/relationships/hyperlink" Target="http://www.nevo.co.il/case/5601503" TargetMode="External"/><Relationship Id="rId36" Type="http://schemas.openxmlformats.org/officeDocument/2006/relationships/hyperlink" Target="http://www.nevo.co.il/law/70301/144" TargetMode="External"/><Relationship Id="rId10" Type="http://schemas.openxmlformats.org/officeDocument/2006/relationships/hyperlink" Target="http://www.nevo.co.il/law/70301/40i" TargetMode="External"/><Relationship Id="rId19" Type="http://schemas.openxmlformats.org/officeDocument/2006/relationships/hyperlink" Target="http://www.nevo.co.il/law/70301/144.b" TargetMode="External"/><Relationship Id="rId31" Type="http://schemas.openxmlformats.org/officeDocument/2006/relationships/hyperlink" Target="http://www.nevo.co.il/case/6864329" TargetMode="External"/><Relationship Id="rId44"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40c" TargetMode="External"/><Relationship Id="rId14" Type="http://schemas.openxmlformats.org/officeDocument/2006/relationships/hyperlink" Target="http://www.nevo.co.il/law/70301/40b" TargetMode="External"/><Relationship Id="rId22" Type="http://schemas.openxmlformats.org/officeDocument/2006/relationships/hyperlink" Target="http://www.nevo.co.il/law/70301/40b" TargetMode="External"/><Relationship Id="rId27" Type="http://schemas.openxmlformats.org/officeDocument/2006/relationships/hyperlink" Target="http://www.nevo.co.il/law/70301" TargetMode="External"/><Relationship Id="rId30" Type="http://schemas.openxmlformats.org/officeDocument/2006/relationships/hyperlink" Target="http://www.nevo.co.il/law/70301" TargetMode="External"/><Relationship Id="rId35" Type="http://schemas.openxmlformats.org/officeDocument/2006/relationships/hyperlink" Target="http://www.nevo.co.il/case/24345650" TargetMode="External"/><Relationship Id="rId43" Type="http://schemas.openxmlformats.org/officeDocument/2006/relationships/footer" Target="footer1.xml"/><Relationship Id="rId8" Type="http://schemas.openxmlformats.org/officeDocument/2006/relationships/hyperlink" Target="http://www.nevo.co.il/law/70301/40b" TargetMode="External"/><Relationship Id="rId3" Type="http://schemas.openxmlformats.org/officeDocument/2006/relationships/settings" Target="settings.xml"/><Relationship Id="rId12" Type="http://schemas.openxmlformats.org/officeDocument/2006/relationships/hyperlink" Target="http://www.nevo.co.il/law/70301/144.b" TargetMode="External"/><Relationship Id="rId17" Type="http://schemas.openxmlformats.org/officeDocument/2006/relationships/hyperlink" Target="http://www.nevo.co.il/law/70301/144" TargetMode="External"/><Relationship Id="rId25" Type="http://schemas.openxmlformats.org/officeDocument/2006/relationships/hyperlink" Target="http://www.nevo.co.il/law/70301" TargetMode="External"/><Relationship Id="rId33" Type="http://schemas.openxmlformats.org/officeDocument/2006/relationships/hyperlink" Target="http://www.nevo.co.il/case/23174952" TargetMode="External"/><Relationship Id="rId38" Type="http://schemas.openxmlformats.org/officeDocument/2006/relationships/hyperlink" Target="http://www.nevo.co.il/law/70301/144" TargetMode="External"/><Relationship Id="rId46" Type="http://schemas.openxmlformats.org/officeDocument/2006/relationships/theme" Target="theme/theme1.xml"/><Relationship Id="rId20" Type="http://schemas.openxmlformats.org/officeDocument/2006/relationships/hyperlink" Target="http://www.nevo.co.il/law/70301" TargetMode="External"/><Relationship Id="rId41"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2835</Words>
  <Characters>14176</Characters>
  <Application>Microsoft Office Word</Application>
  <DocSecurity>0</DocSecurity>
  <Lines>118</Lines>
  <Paragraphs>33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16978</CharactersWithSpaces>
  <SharedDoc>false</SharedDoc>
  <HLinks>
    <vt:vector size="204" baseType="variant">
      <vt:variant>
        <vt:i4>393283</vt:i4>
      </vt:variant>
      <vt:variant>
        <vt:i4>99</vt:i4>
      </vt:variant>
      <vt:variant>
        <vt:i4>0</vt:i4>
      </vt:variant>
      <vt:variant>
        <vt:i4>5</vt:i4>
      </vt:variant>
      <vt:variant>
        <vt:lpwstr>http://www.nevo.co.il/advertisements/nevo-100.doc</vt:lpwstr>
      </vt:variant>
      <vt:variant>
        <vt:lpwstr/>
      </vt:variant>
      <vt:variant>
        <vt:i4>7995492</vt:i4>
      </vt:variant>
      <vt:variant>
        <vt:i4>96</vt:i4>
      </vt:variant>
      <vt:variant>
        <vt:i4>0</vt:i4>
      </vt:variant>
      <vt:variant>
        <vt:i4>5</vt:i4>
      </vt:variant>
      <vt:variant>
        <vt:lpwstr>http://www.nevo.co.il/law/70301</vt:lpwstr>
      </vt:variant>
      <vt:variant>
        <vt:lpwstr/>
      </vt:variant>
      <vt:variant>
        <vt:i4>6357092</vt:i4>
      </vt:variant>
      <vt:variant>
        <vt:i4>93</vt:i4>
      </vt:variant>
      <vt:variant>
        <vt:i4>0</vt:i4>
      </vt:variant>
      <vt:variant>
        <vt:i4>5</vt:i4>
      </vt:variant>
      <vt:variant>
        <vt:lpwstr>http://www.nevo.co.il/law/70301/144</vt:lpwstr>
      </vt:variant>
      <vt:variant>
        <vt:lpwstr/>
      </vt:variant>
      <vt:variant>
        <vt:i4>7995492</vt:i4>
      </vt:variant>
      <vt:variant>
        <vt:i4>90</vt:i4>
      </vt:variant>
      <vt:variant>
        <vt:i4>0</vt:i4>
      </vt:variant>
      <vt:variant>
        <vt:i4>5</vt:i4>
      </vt:variant>
      <vt:variant>
        <vt:lpwstr>http://www.nevo.co.il/law/70301</vt:lpwstr>
      </vt:variant>
      <vt:variant>
        <vt:lpwstr/>
      </vt:variant>
      <vt:variant>
        <vt:i4>6357092</vt:i4>
      </vt:variant>
      <vt:variant>
        <vt:i4>87</vt:i4>
      </vt:variant>
      <vt:variant>
        <vt:i4>0</vt:i4>
      </vt:variant>
      <vt:variant>
        <vt:i4>5</vt:i4>
      </vt:variant>
      <vt:variant>
        <vt:lpwstr>http://www.nevo.co.il/law/70301/144</vt:lpwstr>
      </vt:variant>
      <vt:variant>
        <vt:lpwstr/>
      </vt:variant>
      <vt:variant>
        <vt:i4>3211378</vt:i4>
      </vt:variant>
      <vt:variant>
        <vt:i4>84</vt:i4>
      </vt:variant>
      <vt:variant>
        <vt:i4>0</vt:i4>
      </vt:variant>
      <vt:variant>
        <vt:i4>5</vt:i4>
      </vt:variant>
      <vt:variant>
        <vt:lpwstr>http://www.nevo.co.il/case/24345650</vt:lpwstr>
      </vt:variant>
      <vt:variant>
        <vt:lpwstr/>
      </vt:variant>
      <vt:variant>
        <vt:i4>3407987</vt:i4>
      </vt:variant>
      <vt:variant>
        <vt:i4>81</vt:i4>
      </vt:variant>
      <vt:variant>
        <vt:i4>0</vt:i4>
      </vt:variant>
      <vt:variant>
        <vt:i4>5</vt:i4>
      </vt:variant>
      <vt:variant>
        <vt:lpwstr>http://www.nevo.co.il/case/24263578</vt:lpwstr>
      </vt:variant>
      <vt:variant>
        <vt:lpwstr/>
      </vt:variant>
      <vt:variant>
        <vt:i4>3276921</vt:i4>
      </vt:variant>
      <vt:variant>
        <vt:i4>78</vt:i4>
      </vt:variant>
      <vt:variant>
        <vt:i4>0</vt:i4>
      </vt:variant>
      <vt:variant>
        <vt:i4>5</vt:i4>
      </vt:variant>
      <vt:variant>
        <vt:lpwstr>http://www.nevo.co.il/case/23174952</vt:lpwstr>
      </vt:variant>
      <vt:variant>
        <vt:lpwstr/>
      </vt:variant>
      <vt:variant>
        <vt:i4>3932277</vt:i4>
      </vt:variant>
      <vt:variant>
        <vt:i4>75</vt:i4>
      </vt:variant>
      <vt:variant>
        <vt:i4>0</vt:i4>
      </vt:variant>
      <vt:variant>
        <vt:i4>5</vt:i4>
      </vt:variant>
      <vt:variant>
        <vt:lpwstr>http://www.nevo.co.il/case/7840699</vt:lpwstr>
      </vt:variant>
      <vt:variant>
        <vt:lpwstr/>
      </vt:variant>
      <vt:variant>
        <vt:i4>3801210</vt:i4>
      </vt:variant>
      <vt:variant>
        <vt:i4>72</vt:i4>
      </vt:variant>
      <vt:variant>
        <vt:i4>0</vt:i4>
      </vt:variant>
      <vt:variant>
        <vt:i4>5</vt:i4>
      </vt:variant>
      <vt:variant>
        <vt:lpwstr>http://www.nevo.co.il/case/6864329</vt:lpwstr>
      </vt:variant>
      <vt:variant>
        <vt:lpwstr/>
      </vt:variant>
      <vt:variant>
        <vt:i4>7995492</vt:i4>
      </vt:variant>
      <vt:variant>
        <vt:i4>69</vt:i4>
      </vt:variant>
      <vt:variant>
        <vt:i4>0</vt:i4>
      </vt:variant>
      <vt:variant>
        <vt:i4>5</vt:i4>
      </vt:variant>
      <vt:variant>
        <vt:lpwstr>http://www.nevo.co.il/law/70301</vt:lpwstr>
      </vt:variant>
      <vt:variant>
        <vt:lpwstr/>
      </vt:variant>
      <vt:variant>
        <vt:i4>6619233</vt:i4>
      </vt:variant>
      <vt:variant>
        <vt:i4>66</vt:i4>
      </vt:variant>
      <vt:variant>
        <vt:i4>0</vt:i4>
      </vt:variant>
      <vt:variant>
        <vt:i4>5</vt:i4>
      </vt:variant>
      <vt:variant>
        <vt:lpwstr>http://www.nevo.co.il/law/70301/40i</vt:lpwstr>
      </vt:variant>
      <vt:variant>
        <vt:lpwstr/>
      </vt:variant>
      <vt:variant>
        <vt:i4>3342451</vt:i4>
      </vt:variant>
      <vt:variant>
        <vt:i4>63</vt:i4>
      </vt:variant>
      <vt:variant>
        <vt:i4>0</vt:i4>
      </vt:variant>
      <vt:variant>
        <vt:i4>5</vt:i4>
      </vt:variant>
      <vt:variant>
        <vt:lpwstr>http://www.nevo.co.il/case/5601503</vt:lpwstr>
      </vt:variant>
      <vt:variant>
        <vt:lpwstr/>
      </vt:variant>
      <vt:variant>
        <vt:i4>7995492</vt:i4>
      </vt:variant>
      <vt:variant>
        <vt:i4>60</vt:i4>
      </vt:variant>
      <vt:variant>
        <vt:i4>0</vt:i4>
      </vt:variant>
      <vt:variant>
        <vt:i4>5</vt:i4>
      </vt:variant>
      <vt:variant>
        <vt:lpwstr>http://www.nevo.co.il/law/70301</vt:lpwstr>
      </vt:variant>
      <vt:variant>
        <vt:lpwstr/>
      </vt:variant>
      <vt:variant>
        <vt:i4>6619233</vt:i4>
      </vt:variant>
      <vt:variant>
        <vt:i4>57</vt:i4>
      </vt:variant>
      <vt:variant>
        <vt:i4>0</vt:i4>
      </vt:variant>
      <vt:variant>
        <vt:i4>5</vt:i4>
      </vt:variant>
      <vt:variant>
        <vt:lpwstr>http://www.nevo.co.il/law/70301/40i</vt:lpwstr>
      </vt:variant>
      <vt:variant>
        <vt:lpwstr/>
      </vt:variant>
      <vt:variant>
        <vt:i4>7995492</vt:i4>
      </vt:variant>
      <vt:variant>
        <vt:i4>54</vt:i4>
      </vt:variant>
      <vt:variant>
        <vt:i4>0</vt:i4>
      </vt:variant>
      <vt:variant>
        <vt:i4>5</vt:i4>
      </vt:variant>
      <vt:variant>
        <vt:lpwstr>http://www.nevo.co.il/law/70301</vt:lpwstr>
      </vt:variant>
      <vt:variant>
        <vt:lpwstr/>
      </vt:variant>
      <vt:variant>
        <vt:i4>6619233</vt:i4>
      </vt:variant>
      <vt:variant>
        <vt:i4>51</vt:i4>
      </vt:variant>
      <vt:variant>
        <vt:i4>0</vt:i4>
      </vt:variant>
      <vt:variant>
        <vt:i4>5</vt:i4>
      </vt:variant>
      <vt:variant>
        <vt:lpwstr>http://www.nevo.co.il/law/70301/40c</vt:lpwstr>
      </vt:variant>
      <vt:variant>
        <vt:lpwstr/>
      </vt:variant>
      <vt:variant>
        <vt:i4>3342455</vt:i4>
      </vt:variant>
      <vt:variant>
        <vt:i4>48</vt:i4>
      </vt:variant>
      <vt:variant>
        <vt:i4>0</vt:i4>
      </vt:variant>
      <vt:variant>
        <vt:i4>5</vt:i4>
      </vt:variant>
      <vt:variant>
        <vt:lpwstr>http://www.nevo.co.il/case/6243627</vt:lpwstr>
      </vt:variant>
      <vt:variant>
        <vt:lpwstr/>
      </vt:variant>
      <vt:variant>
        <vt:i4>6619233</vt:i4>
      </vt:variant>
      <vt:variant>
        <vt:i4>45</vt:i4>
      </vt:variant>
      <vt:variant>
        <vt:i4>0</vt:i4>
      </vt:variant>
      <vt:variant>
        <vt:i4>5</vt:i4>
      </vt:variant>
      <vt:variant>
        <vt:lpwstr>http://www.nevo.co.il/law/70301/40b</vt:lpwstr>
      </vt:variant>
      <vt:variant>
        <vt:lpwstr/>
      </vt:variant>
      <vt:variant>
        <vt:i4>7995492</vt:i4>
      </vt:variant>
      <vt:variant>
        <vt:i4>42</vt:i4>
      </vt:variant>
      <vt:variant>
        <vt:i4>0</vt:i4>
      </vt:variant>
      <vt:variant>
        <vt:i4>5</vt:i4>
      </vt:variant>
      <vt:variant>
        <vt:lpwstr>http://www.nevo.co.il/law/70301</vt:lpwstr>
      </vt:variant>
      <vt:variant>
        <vt:lpwstr/>
      </vt:variant>
      <vt:variant>
        <vt:i4>7995492</vt:i4>
      </vt:variant>
      <vt:variant>
        <vt:i4>39</vt:i4>
      </vt:variant>
      <vt:variant>
        <vt:i4>0</vt:i4>
      </vt:variant>
      <vt:variant>
        <vt:i4>5</vt:i4>
      </vt:variant>
      <vt:variant>
        <vt:lpwstr>http://www.nevo.co.il/law/70301</vt:lpwstr>
      </vt:variant>
      <vt:variant>
        <vt:lpwstr/>
      </vt:variant>
      <vt:variant>
        <vt:i4>5177424</vt:i4>
      </vt:variant>
      <vt:variant>
        <vt:i4>36</vt:i4>
      </vt:variant>
      <vt:variant>
        <vt:i4>0</vt:i4>
      </vt:variant>
      <vt:variant>
        <vt:i4>5</vt:i4>
      </vt:variant>
      <vt:variant>
        <vt:lpwstr>http://www.nevo.co.il/law/70301/144.b</vt:lpwstr>
      </vt:variant>
      <vt:variant>
        <vt:lpwstr/>
      </vt:variant>
      <vt:variant>
        <vt:i4>5177424</vt:i4>
      </vt:variant>
      <vt:variant>
        <vt:i4>33</vt:i4>
      </vt:variant>
      <vt:variant>
        <vt:i4>0</vt:i4>
      </vt:variant>
      <vt:variant>
        <vt:i4>5</vt:i4>
      </vt:variant>
      <vt:variant>
        <vt:lpwstr>http://www.nevo.co.il/law/70301/144.b</vt:lpwstr>
      </vt:variant>
      <vt:variant>
        <vt:lpwstr/>
      </vt:variant>
      <vt:variant>
        <vt:i4>6357092</vt:i4>
      </vt:variant>
      <vt:variant>
        <vt:i4>30</vt:i4>
      </vt:variant>
      <vt:variant>
        <vt:i4>0</vt:i4>
      </vt:variant>
      <vt:variant>
        <vt:i4>5</vt:i4>
      </vt:variant>
      <vt:variant>
        <vt:lpwstr>http://www.nevo.co.il/law/70301/144</vt:lpwstr>
      </vt:variant>
      <vt:variant>
        <vt:lpwstr/>
      </vt:variant>
      <vt:variant>
        <vt:i4>6619233</vt:i4>
      </vt:variant>
      <vt:variant>
        <vt:i4>27</vt:i4>
      </vt:variant>
      <vt:variant>
        <vt:i4>0</vt:i4>
      </vt:variant>
      <vt:variant>
        <vt:i4>5</vt:i4>
      </vt:variant>
      <vt:variant>
        <vt:lpwstr>http://www.nevo.co.il/law/70301/40i</vt:lpwstr>
      </vt:variant>
      <vt:variant>
        <vt:lpwstr/>
      </vt:variant>
      <vt:variant>
        <vt:i4>6619233</vt:i4>
      </vt:variant>
      <vt:variant>
        <vt:i4>24</vt:i4>
      </vt:variant>
      <vt:variant>
        <vt:i4>0</vt:i4>
      </vt:variant>
      <vt:variant>
        <vt:i4>5</vt:i4>
      </vt:variant>
      <vt:variant>
        <vt:lpwstr>http://www.nevo.co.il/law/70301/40c</vt:lpwstr>
      </vt:variant>
      <vt:variant>
        <vt:lpwstr/>
      </vt:variant>
      <vt:variant>
        <vt:i4>6619233</vt:i4>
      </vt:variant>
      <vt:variant>
        <vt:i4>21</vt:i4>
      </vt:variant>
      <vt:variant>
        <vt:i4>0</vt:i4>
      </vt:variant>
      <vt:variant>
        <vt:i4>5</vt:i4>
      </vt:variant>
      <vt:variant>
        <vt:lpwstr>http://www.nevo.co.il/law/70301/40b</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5177424</vt:i4>
      </vt:variant>
      <vt:variant>
        <vt:i4>15</vt:i4>
      </vt:variant>
      <vt:variant>
        <vt:i4>0</vt:i4>
      </vt:variant>
      <vt:variant>
        <vt:i4>5</vt:i4>
      </vt:variant>
      <vt:variant>
        <vt:lpwstr>http://www.nevo.co.il/law/70301/144.b</vt:lpwstr>
      </vt:variant>
      <vt:variant>
        <vt:lpwstr/>
      </vt:variant>
      <vt:variant>
        <vt:i4>6357092</vt:i4>
      </vt:variant>
      <vt:variant>
        <vt:i4>12</vt:i4>
      </vt:variant>
      <vt:variant>
        <vt:i4>0</vt:i4>
      </vt:variant>
      <vt:variant>
        <vt:i4>5</vt:i4>
      </vt:variant>
      <vt:variant>
        <vt:lpwstr>http://www.nevo.co.il/law/70301/144</vt:lpwstr>
      </vt:variant>
      <vt:variant>
        <vt:lpwstr/>
      </vt:variant>
      <vt:variant>
        <vt:i4>6619233</vt:i4>
      </vt:variant>
      <vt:variant>
        <vt:i4>9</vt:i4>
      </vt:variant>
      <vt:variant>
        <vt:i4>0</vt:i4>
      </vt:variant>
      <vt:variant>
        <vt:i4>5</vt:i4>
      </vt:variant>
      <vt:variant>
        <vt:lpwstr>http://www.nevo.co.il/law/70301/40i</vt:lpwstr>
      </vt:variant>
      <vt:variant>
        <vt:lpwstr/>
      </vt:variant>
      <vt:variant>
        <vt:i4>6619233</vt:i4>
      </vt:variant>
      <vt:variant>
        <vt:i4>6</vt:i4>
      </vt:variant>
      <vt:variant>
        <vt:i4>0</vt:i4>
      </vt:variant>
      <vt:variant>
        <vt:i4>5</vt:i4>
      </vt:variant>
      <vt:variant>
        <vt:lpwstr>http://www.nevo.co.il/law/70301/40c</vt:lpwstr>
      </vt:variant>
      <vt:variant>
        <vt:lpwstr/>
      </vt:variant>
      <vt:variant>
        <vt:i4>6619233</vt:i4>
      </vt:variant>
      <vt:variant>
        <vt:i4>3</vt:i4>
      </vt:variant>
      <vt:variant>
        <vt:i4>0</vt:i4>
      </vt:variant>
      <vt:variant>
        <vt:i4>5</vt:i4>
      </vt:variant>
      <vt:variant>
        <vt:lpwstr>http://www.nevo.co.il/law/70301/40b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2023-12-07T11:47:00Z</dcterms:created>
  <dcterms:modified xsi:type="dcterms:W3CDTF">2023-12-07T11:47:00Z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630</vt:lpwstr>
  </property>
  <property fmtid="{D5CDD505-2E9C-101B-9397-08002B2CF9AE}" pid="6" name="NEWPARTB">
    <vt:lpwstr>02</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סעיד סעיד</vt:lpwstr>
  </property>
  <property fmtid="{D5CDD505-2E9C-101B-9397-08002B2CF9AE}" pid="10" name="JUDGE">
    <vt:lpwstr>רונית בש</vt:lpwstr>
  </property>
  <property fmtid="{D5CDD505-2E9C-101B-9397-08002B2CF9AE}" pid="11" name="CITY">
    <vt:lpwstr>חי'</vt:lpwstr>
  </property>
  <property fmtid="{D5CDD505-2E9C-101B-9397-08002B2CF9AE}" pid="12" name="DATE">
    <vt:lpwstr>20181024</vt:lpwstr>
  </property>
  <property fmtid="{D5CDD505-2E9C-101B-9397-08002B2CF9AE}" pid="13" name="TYPE_N_DATE">
    <vt:lpwstr>39020181024</vt:lpwstr>
  </property>
  <property fmtid="{D5CDD505-2E9C-101B-9397-08002B2CF9AE}" pid="14" name="WORDNUMPAGES">
    <vt:lpwstr>9</vt:lpwstr>
  </property>
  <property fmtid="{D5CDD505-2E9C-101B-9397-08002B2CF9AE}" pid="15" name="TYPE_ABS_DATE">
    <vt:lpwstr>390020181024</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6243627;5601503;6864329;7840699;23174952;24263578;24345650</vt:lpwstr>
  </property>
  <property fmtid="{D5CDD505-2E9C-101B-9397-08002B2CF9AE}" pid="36" name="LAWLISTTMP1">
    <vt:lpwstr>70301/040b;040c;040i:2;144:2;144.b</vt:lpwstr>
  </property>
</Properties>
</file>