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C513ED" w:rsidRPr="00C513ED" w14:paraId="52A489B8" w14:textId="77777777" w:rsidTr="007F4FE8">
        <w:trPr>
          <w:trHeight w:hRule="exact" w:val="418"/>
          <w:jc w:val="center"/>
        </w:trPr>
        <w:tc>
          <w:tcPr>
            <w:tcW w:w="8721" w:type="dxa"/>
            <w:gridSpan w:val="2"/>
          </w:tcPr>
          <w:p w14:paraId="2A53244E" w14:textId="77777777" w:rsidR="00C513ED" w:rsidRPr="00C513ED" w:rsidRDefault="00C513ED" w:rsidP="008F21EA">
            <w:pPr>
              <w:pStyle w:val="a5"/>
              <w:jc w:val="center"/>
              <w:rPr>
                <w:rFonts w:ascii="Tahoma" w:hAnsi="Tahoma" w:cs="Tahoma"/>
                <w:color w:val="000080"/>
                <w:rtl/>
              </w:rPr>
            </w:pPr>
            <w:bookmarkStart w:id="0" w:name="LastJudge"/>
            <w:r w:rsidRPr="00C513ED">
              <w:rPr>
                <w:rFonts w:ascii="Tahoma" w:hAnsi="Tahoma" w:cs="Tahoma"/>
                <w:b/>
                <w:bCs/>
                <w:color w:val="000080"/>
                <w:rtl/>
              </w:rPr>
              <w:t>בית המשפט המחוזי מרכז-לוד</w:t>
            </w:r>
          </w:p>
        </w:tc>
      </w:tr>
      <w:tr w:rsidR="00C513ED" w:rsidRPr="00C513ED" w14:paraId="56F7E0B3" w14:textId="77777777" w:rsidTr="007F4FE8">
        <w:trPr>
          <w:trHeight w:val="337"/>
          <w:jc w:val="center"/>
        </w:trPr>
        <w:tc>
          <w:tcPr>
            <w:tcW w:w="5058" w:type="dxa"/>
          </w:tcPr>
          <w:p w14:paraId="0D443954" w14:textId="77777777" w:rsidR="00C513ED" w:rsidRPr="00C513ED" w:rsidRDefault="00C513ED" w:rsidP="008F21EA">
            <w:pPr>
              <w:rPr>
                <w:rFonts w:cs="FrankRuehl"/>
                <w:sz w:val="28"/>
                <w:szCs w:val="28"/>
                <w:rtl/>
              </w:rPr>
            </w:pPr>
            <w:r w:rsidRPr="00C513ED">
              <w:rPr>
                <w:rFonts w:cs="FrankRuehl"/>
                <w:sz w:val="28"/>
                <w:szCs w:val="28"/>
                <w:rtl/>
              </w:rPr>
              <w:t>ת"פ</w:t>
            </w:r>
            <w:r w:rsidRPr="00C513ED">
              <w:rPr>
                <w:rFonts w:cs="FrankRuehl" w:hint="cs"/>
                <w:sz w:val="28"/>
                <w:szCs w:val="28"/>
                <w:rtl/>
              </w:rPr>
              <w:t xml:space="preserve"> </w:t>
            </w:r>
            <w:r w:rsidRPr="00C513ED">
              <w:rPr>
                <w:rFonts w:cs="FrankRuehl"/>
                <w:sz w:val="28"/>
                <w:szCs w:val="28"/>
                <w:rtl/>
              </w:rPr>
              <w:t>1203-08-19</w:t>
            </w:r>
            <w:r w:rsidRPr="00C513ED">
              <w:rPr>
                <w:rFonts w:cs="FrankRuehl" w:hint="cs"/>
                <w:sz w:val="28"/>
                <w:szCs w:val="28"/>
                <w:rtl/>
              </w:rPr>
              <w:t xml:space="preserve"> </w:t>
            </w:r>
            <w:r w:rsidRPr="00C513ED">
              <w:rPr>
                <w:rFonts w:cs="FrankRuehl"/>
                <w:sz w:val="28"/>
                <w:szCs w:val="28"/>
                <w:rtl/>
              </w:rPr>
              <w:t>מדינת ישראל נ' אבו סבלאן(עציר) ואח'</w:t>
            </w:r>
          </w:p>
          <w:p w14:paraId="0D580B0F" w14:textId="77777777" w:rsidR="00C513ED" w:rsidRPr="00C513ED" w:rsidRDefault="00C513ED" w:rsidP="008F21EA">
            <w:pPr>
              <w:pStyle w:val="a5"/>
              <w:rPr>
                <w:rFonts w:cs="FrankRuehl"/>
                <w:sz w:val="28"/>
                <w:szCs w:val="28"/>
                <w:rtl/>
              </w:rPr>
            </w:pPr>
          </w:p>
        </w:tc>
        <w:tc>
          <w:tcPr>
            <w:tcW w:w="3663" w:type="dxa"/>
          </w:tcPr>
          <w:p w14:paraId="05ACF321" w14:textId="77777777" w:rsidR="00C513ED" w:rsidRPr="00C513ED" w:rsidRDefault="00C513ED" w:rsidP="008F21EA">
            <w:pPr>
              <w:pStyle w:val="a5"/>
              <w:jc w:val="right"/>
              <w:rPr>
                <w:rFonts w:cs="FrankRuehl"/>
                <w:sz w:val="28"/>
                <w:szCs w:val="28"/>
                <w:rtl/>
              </w:rPr>
            </w:pPr>
          </w:p>
        </w:tc>
      </w:tr>
    </w:tbl>
    <w:p w14:paraId="7E741734" w14:textId="77777777" w:rsidR="00C513ED" w:rsidRPr="00C513ED" w:rsidRDefault="00C513ED" w:rsidP="00C513ED">
      <w:pPr>
        <w:pStyle w:val="a5"/>
        <w:rPr>
          <w:rtl/>
        </w:rPr>
      </w:pPr>
      <w:r w:rsidRPr="00C513ED">
        <w:rPr>
          <w:rFonts w:hint="cs"/>
          <w:rtl/>
        </w:rPr>
        <w:t xml:space="preserve"> </w:t>
      </w:r>
    </w:p>
    <w:p w14:paraId="46AB2079" w14:textId="77777777" w:rsidR="00507694" w:rsidRPr="00C513ED" w:rsidRDefault="0050769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07694" w:rsidRPr="00C513ED" w14:paraId="40223F3E" w14:textId="77777777" w:rsidTr="00380588">
        <w:trPr>
          <w:trHeight w:val="295"/>
          <w:jc w:val="center"/>
        </w:trPr>
        <w:tc>
          <w:tcPr>
            <w:tcW w:w="923" w:type="dxa"/>
            <w:tcBorders>
              <w:top w:val="nil"/>
              <w:left w:val="nil"/>
              <w:bottom w:val="nil"/>
              <w:right w:val="nil"/>
            </w:tcBorders>
            <w:shd w:val="clear" w:color="auto" w:fill="auto"/>
          </w:tcPr>
          <w:p w14:paraId="2E09A217" w14:textId="77777777" w:rsidR="00507694" w:rsidRPr="00C513ED" w:rsidRDefault="00684E84" w:rsidP="00380588">
            <w:pPr>
              <w:jc w:val="both"/>
              <w:rPr>
                <w:rFonts w:ascii="Arial" w:hAnsi="Arial" w:cs="FrankRuehl"/>
                <w:sz w:val="28"/>
                <w:szCs w:val="28"/>
              </w:rPr>
            </w:pPr>
            <w:r w:rsidRPr="00C513ED">
              <w:rPr>
                <w:rFonts w:ascii="Arial" w:hAnsi="Arial" w:cs="FrankRuehl" w:hint="cs"/>
                <w:sz w:val="28"/>
                <w:szCs w:val="28"/>
                <w:rtl/>
              </w:rPr>
              <w:t>ב</w:t>
            </w:r>
            <w:r w:rsidRPr="00C513E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29C27EB" w14:textId="77777777" w:rsidR="00507694" w:rsidRPr="00C513ED" w:rsidRDefault="006C2095">
            <w:pPr>
              <w:rPr>
                <w:rFonts w:ascii="Arial" w:hAnsi="Arial"/>
                <w:b/>
                <w:bCs/>
                <w:rtl/>
              </w:rPr>
            </w:pPr>
            <w:r w:rsidRPr="00C513ED">
              <w:rPr>
                <w:rFonts w:ascii="Arial" w:hAnsi="Arial" w:hint="cs"/>
                <w:b/>
                <w:bCs/>
                <w:rtl/>
              </w:rPr>
              <w:t>כבוד</w:t>
            </w:r>
            <w:r w:rsidR="00684E84" w:rsidRPr="00C513ED">
              <w:rPr>
                <w:rFonts w:ascii="Arial" w:hAnsi="Arial" w:hint="cs"/>
                <w:b/>
                <w:bCs/>
                <w:rtl/>
              </w:rPr>
              <w:t xml:space="preserve"> ה</w:t>
            </w:r>
            <w:r w:rsidRPr="00C513ED">
              <w:rPr>
                <w:rFonts w:ascii="Arial" w:hAnsi="Arial"/>
                <w:b/>
                <w:bCs/>
                <w:rtl/>
              </w:rPr>
              <w:t>שופט</w:t>
            </w:r>
            <w:r w:rsidR="00684E84" w:rsidRPr="00C513ED">
              <w:rPr>
                <w:rFonts w:ascii="Arial" w:hAnsi="Arial" w:hint="cs"/>
                <w:b/>
                <w:bCs/>
                <w:rtl/>
              </w:rPr>
              <w:t xml:space="preserve">  </w:t>
            </w:r>
            <w:r w:rsidRPr="00C513ED">
              <w:rPr>
                <w:rFonts w:ascii="Arial" w:hAnsi="Arial"/>
                <w:b/>
                <w:bCs/>
                <w:rtl/>
              </w:rPr>
              <w:t>עמי קובו</w:t>
            </w:r>
          </w:p>
          <w:p w14:paraId="7BB43ADC" w14:textId="77777777" w:rsidR="00507694" w:rsidRPr="00C513ED" w:rsidRDefault="00507694">
            <w:pPr>
              <w:rPr>
                <w:rtl/>
              </w:rPr>
            </w:pPr>
          </w:p>
          <w:p w14:paraId="4C42F79E" w14:textId="77777777" w:rsidR="00507694" w:rsidRPr="00C513ED" w:rsidRDefault="00507694" w:rsidP="00380588">
            <w:pPr>
              <w:jc w:val="both"/>
              <w:rPr>
                <w:rFonts w:ascii="Arial" w:hAnsi="Arial" w:cs="FrankRuehl"/>
                <w:sz w:val="28"/>
                <w:szCs w:val="28"/>
              </w:rPr>
            </w:pPr>
          </w:p>
        </w:tc>
      </w:tr>
      <w:tr w:rsidR="00507694" w:rsidRPr="00C513ED" w14:paraId="59F4269C" w14:textId="77777777" w:rsidTr="00380588">
        <w:trPr>
          <w:trHeight w:val="355"/>
          <w:jc w:val="center"/>
        </w:trPr>
        <w:tc>
          <w:tcPr>
            <w:tcW w:w="923" w:type="dxa"/>
            <w:tcBorders>
              <w:top w:val="nil"/>
              <w:left w:val="nil"/>
              <w:bottom w:val="nil"/>
              <w:right w:val="nil"/>
            </w:tcBorders>
            <w:shd w:val="clear" w:color="auto" w:fill="auto"/>
          </w:tcPr>
          <w:p w14:paraId="7CE0F500" w14:textId="77777777" w:rsidR="00507694" w:rsidRPr="00C513ED" w:rsidRDefault="00684E84" w:rsidP="00380588">
            <w:pPr>
              <w:jc w:val="both"/>
              <w:rPr>
                <w:rFonts w:ascii="Arial" w:hAnsi="Arial" w:cs="FrankRuehl"/>
                <w:sz w:val="28"/>
                <w:szCs w:val="28"/>
              </w:rPr>
            </w:pPr>
            <w:bookmarkStart w:id="1" w:name="FirstAppellant"/>
            <w:r w:rsidRPr="00C513E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D240C24" w14:textId="77777777" w:rsidR="00507694" w:rsidRPr="00C513ED" w:rsidRDefault="006C2095" w:rsidP="003E0C9F">
            <w:r w:rsidRPr="00C513ED">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AF2A6C1" w14:textId="77777777" w:rsidR="00507694" w:rsidRPr="00C513ED" w:rsidRDefault="00507694" w:rsidP="00380588">
            <w:pPr>
              <w:jc w:val="both"/>
              <w:rPr>
                <w:rFonts w:ascii="Arial" w:hAnsi="Arial" w:cs="FrankRuehl"/>
                <w:sz w:val="28"/>
                <w:szCs w:val="28"/>
              </w:rPr>
            </w:pPr>
          </w:p>
        </w:tc>
      </w:tr>
      <w:bookmarkEnd w:id="1"/>
      <w:tr w:rsidR="00507694" w:rsidRPr="00C513ED" w14:paraId="0F913FC9" w14:textId="77777777" w:rsidTr="00380588">
        <w:trPr>
          <w:trHeight w:val="355"/>
          <w:jc w:val="center"/>
        </w:trPr>
        <w:tc>
          <w:tcPr>
            <w:tcW w:w="923" w:type="dxa"/>
            <w:tcBorders>
              <w:top w:val="nil"/>
              <w:left w:val="nil"/>
              <w:bottom w:val="nil"/>
              <w:right w:val="nil"/>
            </w:tcBorders>
            <w:shd w:val="clear" w:color="auto" w:fill="auto"/>
          </w:tcPr>
          <w:p w14:paraId="067A091D" w14:textId="77777777" w:rsidR="00507694" w:rsidRPr="00C513ED" w:rsidRDefault="00507694" w:rsidP="0038058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2BC5A3B" w14:textId="77777777" w:rsidR="00507694" w:rsidRPr="00C513ED" w:rsidRDefault="00507694" w:rsidP="00380588">
            <w:pPr>
              <w:jc w:val="both"/>
              <w:rPr>
                <w:rtl/>
              </w:rPr>
            </w:pPr>
          </w:p>
        </w:tc>
        <w:tc>
          <w:tcPr>
            <w:tcW w:w="3771" w:type="dxa"/>
            <w:tcBorders>
              <w:top w:val="nil"/>
              <w:left w:val="nil"/>
              <w:bottom w:val="nil"/>
              <w:right w:val="nil"/>
            </w:tcBorders>
            <w:shd w:val="clear" w:color="auto" w:fill="auto"/>
          </w:tcPr>
          <w:p w14:paraId="5EDE41DA" w14:textId="77777777" w:rsidR="00507694" w:rsidRPr="00C513ED" w:rsidRDefault="00684E84" w:rsidP="00380588">
            <w:pPr>
              <w:jc w:val="right"/>
              <w:rPr>
                <w:rFonts w:ascii="Arial" w:hAnsi="Arial" w:cs="FrankRuehl"/>
                <w:sz w:val="28"/>
                <w:szCs w:val="28"/>
                <w:rtl/>
              </w:rPr>
            </w:pPr>
            <w:r w:rsidRPr="00C513ED">
              <w:rPr>
                <w:rFonts w:ascii="Arial" w:hAnsi="Arial" w:cs="FrankRuehl" w:hint="cs"/>
                <w:sz w:val="28"/>
                <w:szCs w:val="28"/>
                <w:rtl/>
              </w:rPr>
              <w:t>ה</w:t>
            </w:r>
            <w:r w:rsidRPr="00C513ED">
              <w:rPr>
                <w:rFonts w:ascii="Arial" w:hAnsi="Arial" w:cs="FrankRuehl"/>
                <w:sz w:val="28"/>
                <w:szCs w:val="28"/>
                <w:rtl/>
              </w:rPr>
              <w:t>מאשימה</w:t>
            </w:r>
          </w:p>
        </w:tc>
      </w:tr>
      <w:tr w:rsidR="00507694" w:rsidRPr="00C513ED" w14:paraId="0D6AD532" w14:textId="77777777" w:rsidTr="00380588">
        <w:trPr>
          <w:trHeight w:val="355"/>
          <w:jc w:val="center"/>
        </w:trPr>
        <w:tc>
          <w:tcPr>
            <w:tcW w:w="923" w:type="dxa"/>
            <w:tcBorders>
              <w:top w:val="nil"/>
              <w:left w:val="nil"/>
              <w:bottom w:val="nil"/>
              <w:right w:val="nil"/>
            </w:tcBorders>
            <w:shd w:val="clear" w:color="auto" w:fill="auto"/>
          </w:tcPr>
          <w:p w14:paraId="5248B199" w14:textId="77777777" w:rsidR="00507694" w:rsidRPr="00C513ED" w:rsidRDefault="00507694" w:rsidP="0038058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9D22189" w14:textId="77777777" w:rsidR="00507694" w:rsidRPr="00C513ED" w:rsidRDefault="00507694" w:rsidP="00380588">
            <w:pPr>
              <w:jc w:val="center"/>
              <w:rPr>
                <w:rFonts w:ascii="Arial" w:hAnsi="Arial" w:cs="FrankRuehl"/>
                <w:b/>
                <w:bCs/>
                <w:sz w:val="28"/>
                <w:szCs w:val="28"/>
                <w:rtl/>
              </w:rPr>
            </w:pPr>
          </w:p>
          <w:p w14:paraId="1D5D4E47" w14:textId="77777777" w:rsidR="00507694" w:rsidRPr="00C513ED" w:rsidRDefault="00684E84" w:rsidP="00380588">
            <w:pPr>
              <w:jc w:val="center"/>
              <w:rPr>
                <w:rFonts w:ascii="Arial" w:hAnsi="Arial" w:cs="FrankRuehl"/>
                <w:b/>
                <w:bCs/>
                <w:sz w:val="28"/>
                <w:szCs w:val="28"/>
                <w:rtl/>
              </w:rPr>
            </w:pPr>
            <w:r w:rsidRPr="00C513ED">
              <w:rPr>
                <w:rFonts w:ascii="Arial" w:hAnsi="Arial" w:cs="FrankRuehl"/>
                <w:b/>
                <w:bCs/>
                <w:sz w:val="28"/>
                <w:szCs w:val="28"/>
                <w:rtl/>
              </w:rPr>
              <w:t>נגד</w:t>
            </w:r>
          </w:p>
          <w:p w14:paraId="1F90B48A" w14:textId="77777777" w:rsidR="00507694" w:rsidRPr="00C513ED" w:rsidRDefault="00507694" w:rsidP="00380588">
            <w:pPr>
              <w:jc w:val="both"/>
              <w:rPr>
                <w:rFonts w:ascii="Arial" w:hAnsi="Arial" w:cs="FrankRuehl"/>
                <w:sz w:val="28"/>
                <w:szCs w:val="28"/>
              </w:rPr>
            </w:pPr>
          </w:p>
        </w:tc>
      </w:tr>
      <w:tr w:rsidR="00507694" w:rsidRPr="00C513ED" w14:paraId="7171D2F7" w14:textId="77777777" w:rsidTr="00380588">
        <w:trPr>
          <w:trHeight w:val="355"/>
          <w:jc w:val="center"/>
        </w:trPr>
        <w:tc>
          <w:tcPr>
            <w:tcW w:w="923" w:type="dxa"/>
            <w:tcBorders>
              <w:top w:val="nil"/>
              <w:left w:val="nil"/>
              <w:bottom w:val="nil"/>
              <w:right w:val="nil"/>
            </w:tcBorders>
            <w:shd w:val="clear" w:color="auto" w:fill="auto"/>
          </w:tcPr>
          <w:p w14:paraId="5681A871" w14:textId="77777777" w:rsidR="00507694" w:rsidRPr="00C513ED" w:rsidRDefault="00507694" w:rsidP="003E0C9F">
            <w:pPr>
              <w:rPr>
                <w:rFonts w:ascii="Arial" w:hAnsi="Arial" w:cs="FrankRuehl"/>
                <w:sz w:val="28"/>
                <w:szCs w:val="28"/>
                <w:rtl/>
              </w:rPr>
            </w:pPr>
          </w:p>
        </w:tc>
        <w:tc>
          <w:tcPr>
            <w:tcW w:w="4126" w:type="dxa"/>
            <w:tcBorders>
              <w:top w:val="nil"/>
              <w:left w:val="nil"/>
              <w:bottom w:val="nil"/>
              <w:right w:val="nil"/>
            </w:tcBorders>
            <w:shd w:val="clear" w:color="auto" w:fill="auto"/>
          </w:tcPr>
          <w:p w14:paraId="4727E99E" w14:textId="77777777" w:rsidR="00507694" w:rsidRPr="00C513ED" w:rsidRDefault="006C2095" w:rsidP="00EC282B">
            <w:pPr>
              <w:rPr>
                <w:rtl/>
              </w:rPr>
            </w:pPr>
            <w:r w:rsidRPr="00C513ED">
              <w:rPr>
                <w:rFonts w:ascii="Arial" w:hAnsi="Arial" w:cs="FrankRuehl"/>
                <w:sz w:val="28"/>
                <w:szCs w:val="28"/>
                <w:rtl/>
              </w:rPr>
              <w:t>1</w:t>
            </w:r>
            <w:r w:rsidR="00683ABD" w:rsidRPr="00C513ED">
              <w:rPr>
                <w:rFonts w:ascii="Arial" w:hAnsi="Arial" w:cs="FrankRuehl" w:hint="cs"/>
                <w:sz w:val="28"/>
                <w:szCs w:val="28"/>
                <w:rtl/>
              </w:rPr>
              <w:t>.</w:t>
            </w:r>
            <w:r w:rsidRPr="00C513ED">
              <w:rPr>
                <w:rFonts w:ascii="Arial" w:hAnsi="Arial" w:cs="FrankRuehl"/>
                <w:sz w:val="28"/>
                <w:szCs w:val="28"/>
                <w:rtl/>
              </w:rPr>
              <w:t xml:space="preserve">היסאם אבו סבלאן </w:t>
            </w:r>
          </w:p>
          <w:p w14:paraId="613A21D2" w14:textId="77777777" w:rsidR="00507694" w:rsidRPr="00C513ED" w:rsidRDefault="006C2095" w:rsidP="00EC282B">
            <w:pPr>
              <w:rPr>
                <w:rtl/>
              </w:rPr>
            </w:pPr>
            <w:r w:rsidRPr="00C513ED">
              <w:rPr>
                <w:rFonts w:ascii="Arial" w:hAnsi="Arial" w:cs="FrankRuehl"/>
                <w:sz w:val="28"/>
                <w:szCs w:val="28"/>
                <w:rtl/>
              </w:rPr>
              <w:t>2</w:t>
            </w:r>
            <w:r w:rsidR="00683ABD" w:rsidRPr="00C513ED">
              <w:rPr>
                <w:rFonts w:ascii="Arial" w:hAnsi="Arial" w:cs="FrankRuehl" w:hint="cs"/>
                <w:sz w:val="28"/>
                <w:szCs w:val="28"/>
                <w:rtl/>
              </w:rPr>
              <w:t>.</w:t>
            </w:r>
            <w:r w:rsidRPr="00C513ED">
              <w:rPr>
                <w:rFonts w:ascii="Arial" w:hAnsi="Arial" w:cs="FrankRuehl"/>
                <w:sz w:val="28"/>
                <w:szCs w:val="28"/>
                <w:rtl/>
              </w:rPr>
              <w:t xml:space="preserve">מחמד אבו סבלאן </w:t>
            </w:r>
          </w:p>
        </w:tc>
        <w:tc>
          <w:tcPr>
            <w:tcW w:w="3771" w:type="dxa"/>
            <w:tcBorders>
              <w:top w:val="nil"/>
              <w:left w:val="nil"/>
              <w:bottom w:val="nil"/>
              <w:right w:val="nil"/>
            </w:tcBorders>
            <w:shd w:val="clear" w:color="auto" w:fill="auto"/>
          </w:tcPr>
          <w:p w14:paraId="0E3063D0" w14:textId="77777777" w:rsidR="00507694" w:rsidRPr="00C513ED" w:rsidRDefault="00507694" w:rsidP="00380588">
            <w:pPr>
              <w:jc w:val="right"/>
              <w:rPr>
                <w:rFonts w:ascii="Arial" w:hAnsi="Arial" w:cs="FrankRuehl"/>
                <w:sz w:val="28"/>
                <w:szCs w:val="28"/>
              </w:rPr>
            </w:pPr>
          </w:p>
        </w:tc>
      </w:tr>
      <w:tr w:rsidR="00507694" w:rsidRPr="00C513ED" w14:paraId="2025FEA0" w14:textId="77777777" w:rsidTr="00380588">
        <w:trPr>
          <w:trHeight w:val="355"/>
          <w:jc w:val="center"/>
        </w:trPr>
        <w:tc>
          <w:tcPr>
            <w:tcW w:w="923" w:type="dxa"/>
            <w:tcBorders>
              <w:top w:val="nil"/>
              <w:left w:val="nil"/>
              <w:bottom w:val="nil"/>
              <w:right w:val="nil"/>
            </w:tcBorders>
            <w:shd w:val="clear" w:color="auto" w:fill="auto"/>
          </w:tcPr>
          <w:p w14:paraId="36B7349C" w14:textId="77777777" w:rsidR="00507694" w:rsidRPr="00C513ED" w:rsidRDefault="00507694" w:rsidP="0038058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D6A0749" w14:textId="77777777" w:rsidR="00507694" w:rsidRPr="00C513ED" w:rsidRDefault="00507694" w:rsidP="00380588">
            <w:pPr>
              <w:jc w:val="both"/>
              <w:rPr>
                <w:rtl/>
              </w:rPr>
            </w:pPr>
          </w:p>
        </w:tc>
        <w:tc>
          <w:tcPr>
            <w:tcW w:w="3771" w:type="dxa"/>
            <w:tcBorders>
              <w:top w:val="nil"/>
              <w:left w:val="nil"/>
              <w:bottom w:val="nil"/>
              <w:right w:val="nil"/>
            </w:tcBorders>
            <w:shd w:val="clear" w:color="auto" w:fill="auto"/>
          </w:tcPr>
          <w:p w14:paraId="57A6415A" w14:textId="77777777" w:rsidR="00507694" w:rsidRPr="00C513ED" w:rsidRDefault="00684E84" w:rsidP="00380588">
            <w:pPr>
              <w:jc w:val="right"/>
              <w:rPr>
                <w:rFonts w:ascii="Arial" w:hAnsi="Arial" w:cs="FrankRuehl"/>
                <w:sz w:val="28"/>
                <w:szCs w:val="28"/>
              </w:rPr>
            </w:pPr>
            <w:r w:rsidRPr="00C513ED">
              <w:rPr>
                <w:rFonts w:ascii="Arial" w:hAnsi="Arial" w:cs="FrankRuehl" w:hint="cs"/>
                <w:sz w:val="28"/>
                <w:szCs w:val="28"/>
                <w:rtl/>
              </w:rPr>
              <w:t>ה</w:t>
            </w:r>
            <w:r w:rsidRPr="00C513ED">
              <w:rPr>
                <w:rFonts w:ascii="Arial" w:hAnsi="Arial" w:cs="FrankRuehl"/>
                <w:sz w:val="28"/>
                <w:szCs w:val="28"/>
                <w:rtl/>
              </w:rPr>
              <w:t>נאשמים</w:t>
            </w:r>
          </w:p>
        </w:tc>
      </w:tr>
    </w:tbl>
    <w:p w14:paraId="6CA60D4C" w14:textId="77777777" w:rsidR="00507694" w:rsidRPr="00C513ED" w:rsidRDefault="00EC282B">
      <w:pPr>
        <w:rPr>
          <w:rtl/>
        </w:rPr>
      </w:pPr>
      <w:bookmarkStart w:id="2" w:name="FirstLawyer"/>
      <w:r w:rsidRPr="00C513ED">
        <w:rPr>
          <w:rFonts w:hint="cs"/>
          <w:rtl/>
        </w:rPr>
        <w:t>ב"כ</w:t>
      </w:r>
      <w:bookmarkEnd w:id="2"/>
      <w:r w:rsidRPr="00C513ED">
        <w:rPr>
          <w:rFonts w:hint="cs"/>
          <w:rtl/>
        </w:rPr>
        <w:t xml:space="preserve"> </w:t>
      </w:r>
      <w:r w:rsidR="00EC6951" w:rsidRPr="00C513ED">
        <w:rPr>
          <w:rFonts w:hint="cs"/>
          <w:rtl/>
        </w:rPr>
        <w:t>ה</w:t>
      </w:r>
      <w:r w:rsidR="002C5FB7" w:rsidRPr="00C513ED">
        <w:rPr>
          <w:rFonts w:hint="cs"/>
          <w:rtl/>
        </w:rPr>
        <w:t>מאשימה: עו"ד איריס פיקר</w:t>
      </w:r>
    </w:p>
    <w:p w14:paraId="39592042" w14:textId="77777777" w:rsidR="00C513ED" w:rsidRPr="00C513ED" w:rsidRDefault="002C5FB7" w:rsidP="00C513ED">
      <w:pPr>
        <w:spacing w:before="120" w:after="120" w:line="240" w:lineRule="exact"/>
        <w:ind w:left="283" w:hanging="283"/>
        <w:jc w:val="both"/>
        <w:rPr>
          <w:rFonts w:ascii="FrankRuehl" w:hAnsi="FrankRuehl" w:cs="FrankRuehl"/>
          <w:rtl/>
        </w:rPr>
      </w:pPr>
      <w:r w:rsidRPr="00C513ED">
        <w:rPr>
          <w:rFonts w:hint="cs"/>
          <w:rtl/>
        </w:rPr>
        <w:t>ב"כ הנאשמים: עוה"ד שוקרי ואוזן</w:t>
      </w:r>
    </w:p>
    <w:p w14:paraId="2B37635D" w14:textId="77777777" w:rsidR="00C513ED" w:rsidRPr="00C513ED" w:rsidRDefault="00C513ED" w:rsidP="00C513ED">
      <w:pPr>
        <w:rPr>
          <w:rFonts w:hint="cs"/>
          <w:rtl/>
        </w:rPr>
      </w:pPr>
    </w:p>
    <w:p w14:paraId="06EBA308" w14:textId="77777777" w:rsidR="007F4FE8" w:rsidRPr="007F4FE8" w:rsidRDefault="007F4FE8" w:rsidP="007F4FE8">
      <w:pPr>
        <w:spacing w:before="120" w:after="120" w:line="240" w:lineRule="exact"/>
        <w:ind w:left="283" w:hanging="283"/>
        <w:jc w:val="both"/>
        <w:rPr>
          <w:rFonts w:ascii="FrankRuehl" w:hAnsi="FrankRuehl" w:cs="FrankRuehl"/>
          <w:rtl/>
        </w:rPr>
      </w:pPr>
    </w:p>
    <w:p w14:paraId="18DA1EE2" w14:textId="77777777" w:rsidR="007F4FE8" w:rsidRPr="007F4FE8" w:rsidRDefault="007F4FE8" w:rsidP="007F4FE8">
      <w:pPr>
        <w:spacing w:before="120" w:after="120" w:line="240" w:lineRule="exact"/>
        <w:ind w:left="283" w:hanging="283"/>
        <w:jc w:val="both"/>
        <w:rPr>
          <w:rFonts w:ascii="FrankRuehl" w:hAnsi="FrankRuehl" w:cs="FrankRuehl"/>
          <w:rtl/>
        </w:rPr>
      </w:pPr>
    </w:p>
    <w:p w14:paraId="02DF87B1" w14:textId="77777777" w:rsidR="008F1D44" w:rsidRDefault="008F1D44" w:rsidP="008F1D44">
      <w:pPr>
        <w:rPr>
          <w:rtl/>
        </w:rPr>
      </w:pPr>
      <w:bookmarkStart w:id="3" w:name="LawTable"/>
      <w:bookmarkEnd w:id="3"/>
    </w:p>
    <w:p w14:paraId="54653EA2" w14:textId="77777777" w:rsidR="008F1D44" w:rsidRPr="008F1D44" w:rsidRDefault="008F1D44" w:rsidP="008F1D44">
      <w:pPr>
        <w:spacing w:before="120" w:after="120" w:line="240" w:lineRule="exact"/>
        <w:ind w:left="283" w:hanging="283"/>
        <w:jc w:val="both"/>
        <w:rPr>
          <w:rFonts w:ascii="FrankRuehl" w:hAnsi="FrankRuehl" w:cs="FrankRuehl"/>
          <w:rtl/>
        </w:rPr>
      </w:pPr>
    </w:p>
    <w:p w14:paraId="4B20A292" w14:textId="77777777" w:rsidR="008F1D44" w:rsidRPr="008F1D44" w:rsidRDefault="008F1D44" w:rsidP="008F1D44">
      <w:pPr>
        <w:spacing w:before="120" w:after="120" w:line="240" w:lineRule="exact"/>
        <w:ind w:left="283" w:hanging="283"/>
        <w:jc w:val="both"/>
        <w:rPr>
          <w:rFonts w:ascii="FrankRuehl" w:hAnsi="FrankRuehl" w:cs="FrankRuehl"/>
          <w:rtl/>
        </w:rPr>
      </w:pPr>
    </w:p>
    <w:p w14:paraId="3E09A417" w14:textId="77777777" w:rsidR="008F1D44" w:rsidRPr="008F1D44" w:rsidRDefault="008F1D44" w:rsidP="008F1D44">
      <w:pPr>
        <w:spacing w:before="120" w:after="120" w:line="240" w:lineRule="exact"/>
        <w:ind w:left="283" w:hanging="283"/>
        <w:jc w:val="both"/>
        <w:rPr>
          <w:rFonts w:ascii="FrankRuehl" w:hAnsi="FrankRuehl" w:cs="FrankRuehl"/>
          <w:rtl/>
        </w:rPr>
      </w:pPr>
      <w:r w:rsidRPr="008F1D44">
        <w:rPr>
          <w:rFonts w:ascii="FrankRuehl" w:hAnsi="FrankRuehl" w:cs="FrankRuehl"/>
          <w:rtl/>
        </w:rPr>
        <w:t xml:space="preserve">חקיקה שאוזכרה: </w:t>
      </w:r>
    </w:p>
    <w:p w14:paraId="12E8D329" w14:textId="77777777" w:rsidR="008F1D44" w:rsidRPr="008F1D44" w:rsidRDefault="008F1D44" w:rsidP="008F1D44">
      <w:pPr>
        <w:spacing w:before="120" w:after="120" w:line="240" w:lineRule="exact"/>
        <w:ind w:left="283" w:hanging="283"/>
        <w:jc w:val="both"/>
        <w:rPr>
          <w:rFonts w:ascii="FrankRuehl" w:hAnsi="FrankRuehl" w:cs="FrankRuehl"/>
          <w:rtl/>
        </w:rPr>
      </w:pPr>
      <w:hyperlink r:id="rId8" w:history="1">
        <w:r w:rsidRPr="008F1D44">
          <w:rPr>
            <w:rFonts w:ascii="FrankRuehl" w:hAnsi="FrankRuehl" w:cs="FrankRuehl"/>
            <w:color w:val="0000FF"/>
            <w:rtl/>
          </w:rPr>
          <w:t>חוק העונשין, תשל"ז-1977</w:t>
        </w:r>
      </w:hyperlink>
      <w:r w:rsidRPr="008F1D44">
        <w:rPr>
          <w:rFonts w:ascii="FrankRuehl" w:hAnsi="FrankRuehl" w:cs="FrankRuehl"/>
          <w:rtl/>
        </w:rPr>
        <w:t xml:space="preserve">: סע'  </w:t>
      </w:r>
      <w:hyperlink r:id="rId9" w:history="1">
        <w:r w:rsidRPr="008F1D44">
          <w:rPr>
            <w:rFonts w:ascii="FrankRuehl" w:hAnsi="FrankRuehl" w:cs="FrankRuehl"/>
            <w:color w:val="0000FF"/>
            <w:rtl/>
          </w:rPr>
          <w:t>29</w:t>
        </w:r>
      </w:hyperlink>
      <w:r w:rsidRPr="008F1D44">
        <w:rPr>
          <w:rFonts w:ascii="FrankRuehl" w:hAnsi="FrankRuehl" w:cs="FrankRuehl"/>
          <w:rtl/>
        </w:rPr>
        <w:t xml:space="preserve">, </w:t>
      </w:r>
      <w:hyperlink r:id="rId10" w:history="1">
        <w:r w:rsidRPr="008F1D44">
          <w:rPr>
            <w:rFonts w:ascii="FrankRuehl" w:hAnsi="FrankRuehl" w:cs="FrankRuehl"/>
            <w:color w:val="0000FF"/>
            <w:rtl/>
          </w:rPr>
          <w:t>40 ט</w:t>
        </w:r>
      </w:hyperlink>
      <w:r w:rsidRPr="008F1D44">
        <w:rPr>
          <w:rFonts w:ascii="FrankRuehl" w:hAnsi="FrankRuehl" w:cs="FrankRuehl"/>
          <w:rtl/>
        </w:rPr>
        <w:t xml:space="preserve">, </w:t>
      </w:r>
      <w:hyperlink r:id="rId11" w:history="1">
        <w:r w:rsidRPr="008F1D44">
          <w:rPr>
            <w:rFonts w:ascii="FrankRuehl" w:hAnsi="FrankRuehl" w:cs="FrankRuehl"/>
            <w:color w:val="0000FF"/>
            <w:rtl/>
          </w:rPr>
          <w:t>144(א)</w:t>
        </w:r>
      </w:hyperlink>
      <w:r w:rsidRPr="008F1D44">
        <w:rPr>
          <w:rFonts w:ascii="FrankRuehl" w:hAnsi="FrankRuehl" w:cs="FrankRuehl"/>
          <w:rtl/>
        </w:rPr>
        <w:t xml:space="preserve">, </w:t>
      </w:r>
      <w:hyperlink r:id="rId12" w:history="1">
        <w:r w:rsidRPr="008F1D44">
          <w:rPr>
            <w:rFonts w:ascii="FrankRuehl" w:hAnsi="FrankRuehl" w:cs="FrankRuehl"/>
            <w:color w:val="0000FF"/>
            <w:rtl/>
          </w:rPr>
          <w:t>144(ב)</w:t>
        </w:r>
      </w:hyperlink>
      <w:r w:rsidRPr="008F1D44">
        <w:rPr>
          <w:rFonts w:ascii="FrankRuehl" w:hAnsi="FrankRuehl" w:cs="FrankRuehl"/>
          <w:rtl/>
        </w:rPr>
        <w:t xml:space="preserve">, </w:t>
      </w:r>
      <w:hyperlink r:id="rId13" w:history="1">
        <w:r w:rsidRPr="008F1D44">
          <w:rPr>
            <w:rFonts w:ascii="FrankRuehl" w:hAnsi="FrankRuehl" w:cs="FrankRuehl"/>
            <w:color w:val="0000FF"/>
            <w:rtl/>
          </w:rPr>
          <w:t>338(א)(1)</w:t>
        </w:r>
      </w:hyperlink>
      <w:r w:rsidRPr="008F1D44">
        <w:rPr>
          <w:rFonts w:ascii="FrankRuehl" w:hAnsi="FrankRuehl" w:cs="FrankRuehl"/>
          <w:rtl/>
        </w:rPr>
        <w:t xml:space="preserve">, </w:t>
      </w:r>
      <w:hyperlink r:id="rId14" w:history="1">
        <w:r w:rsidRPr="008F1D44">
          <w:rPr>
            <w:rFonts w:ascii="FrankRuehl" w:hAnsi="FrankRuehl" w:cs="FrankRuehl"/>
            <w:color w:val="0000FF"/>
            <w:rtl/>
          </w:rPr>
          <w:t>40 יא</w:t>
        </w:r>
      </w:hyperlink>
      <w:r w:rsidRPr="008F1D44">
        <w:rPr>
          <w:rFonts w:ascii="FrankRuehl" w:hAnsi="FrankRuehl" w:cs="FrankRuehl"/>
          <w:rtl/>
        </w:rPr>
        <w:t xml:space="preserve">, </w:t>
      </w:r>
      <w:hyperlink r:id="rId15" w:history="1">
        <w:r w:rsidRPr="008F1D44">
          <w:rPr>
            <w:rFonts w:ascii="FrankRuehl" w:hAnsi="FrankRuehl" w:cs="FrankRuehl"/>
            <w:color w:val="0000FF"/>
            <w:rtl/>
          </w:rPr>
          <w:t>40 יג</w:t>
        </w:r>
      </w:hyperlink>
    </w:p>
    <w:p w14:paraId="08F98658" w14:textId="77777777" w:rsidR="008F1D44" w:rsidRPr="008F1D44" w:rsidRDefault="008F1D44" w:rsidP="008F1D44">
      <w:pPr>
        <w:rPr>
          <w:rtl/>
        </w:rPr>
      </w:pPr>
      <w:bookmarkStart w:id="4" w:name="LawTable_End"/>
      <w:bookmarkEnd w:id="4"/>
    </w:p>
    <w:p w14:paraId="67A38527" w14:textId="77777777" w:rsidR="007F4FE8" w:rsidRPr="007F4FE8" w:rsidRDefault="007F4FE8" w:rsidP="007F4FE8">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07694" w14:paraId="4212C193" w14:textId="77777777" w:rsidTr="00380588">
        <w:trPr>
          <w:trHeight w:val="355"/>
          <w:jc w:val="center"/>
        </w:trPr>
        <w:tc>
          <w:tcPr>
            <w:tcW w:w="8820" w:type="dxa"/>
            <w:tcBorders>
              <w:top w:val="nil"/>
              <w:left w:val="nil"/>
              <w:bottom w:val="nil"/>
              <w:right w:val="nil"/>
            </w:tcBorders>
            <w:shd w:val="clear" w:color="auto" w:fill="auto"/>
          </w:tcPr>
          <w:p w14:paraId="0738294D" w14:textId="77777777" w:rsidR="00C513ED" w:rsidRPr="00C513ED" w:rsidRDefault="00C513ED" w:rsidP="00C513ED">
            <w:pPr>
              <w:jc w:val="center"/>
              <w:rPr>
                <w:rFonts w:ascii="Arial" w:hAnsi="Arial" w:cs="FrankRuehl"/>
                <w:b/>
                <w:bCs/>
                <w:sz w:val="32"/>
                <w:szCs w:val="32"/>
                <w:u w:val="single"/>
                <w:rtl/>
              </w:rPr>
            </w:pPr>
            <w:bookmarkStart w:id="5" w:name="PsakDin" w:colFirst="0" w:colLast="0"/>
            <w:bookmarkEnd w:id="0"/>
            <w:r w:rsidRPr="00C513ED">
              <w:rPr>
                <w:rFonts w:ascii="Arial" w:hAnsi="Arial" w:cs="FrankRuehl"/>
                <w:b/>
                <w:bCs/>
                <w:sz w:val="32"/>
                <w:szCs w:val="32"/>
                <w:u w:val="single"/>
                <w:rtl/>
              </w:rPr>
              <w:t>גזר דין</w:t>
            </w:r>
          </w:p>
          <w:p w14:paraId="10951351" w14:textId="77777777" w:rsidR="00507694" w:rsidRPr="00C513ED" w:rsidRDefault="00507694" w:rsidP="00C513ED">
            <w:pPr>
              <w:jc w:val="center"/>
              <w:rPr>
                <w:rFonts w:ascii="Arial" w:hAnsi="Arial" w:cs="FrankRuehl"/>
                <w:bCs/>
                <w:sz w:val="32"/>
                <w:szCs w:val="32"/>
                <w:u w:val="single"/>
                <w:rtl/>
              </w:rPr>
            </w:pPr>
          </w:p>
        </w:tc>
      </w:tr>
      <w:bookmarkEnd w:id="5"/>
    </w:tbl>
    <w:p w14:paraId="6498F240" w14:textId="77777777" w:rsidR="00507694" w:rsidRPr="00B05847" w:rsidRDefault="00507694">
      <w:pPr>
        <w:rPr>
          <w:rFonts w:ascii="Arial" w:hAnsi="Arial"/>
          <w:rtl/>
        </w:rPr>
      </w:pPr>
    </w:p>
    <w:p w14:paraId="5A9276E3" w14:textId="77777777" w:rsidR="002C5FB7" w:rsidRPr="002C5FB7" w:rsidRDefault="002C5FB7" w:rsidP="002C5FB7">
      <w:pPr>
        <w:spacing w:after="120" w:line="360" w:lineRule="auto"/>
        <w:jc w:val="both"/>
        <w:rPr>
          <w:bCs/>
          <w:u w:val="single"/>
          <w:rtl/>
          <w:lang w:eastAsia="he-IL"/>
        </w:rPr>
      </w:pPr>
      <w:r w:rsidRPr="002C5FB7">
        <w:rPr>
          <w:bCs/>
          <w:u w:val="single"/>
          <w:rtl/>
          <w:lang w:eastAsia="he-IL"/>
        </w:rPr>
        <w:t>רקע</w:t>
      </w:r>
    </w:p>
    <w:p w14:paraId="3FE7C30C" w14:textId="77777777" w:rsidR="002C5FB7" w:rsidRPr="002C5FB7" w:rsidRDefault="002C5FB7" w:rsidP="002C5FB7">
      <w:pPr>
        <w:numPr>
          <w:ilvl w:val="0"/>
          <w:numId w:val="4"/>
        </w:numPr>
        <w:spacing w:after="120" w:line="360" w:lineRule="auto"/>
        <w:jc w:val="both"/>
        <w:rPr>
          <w:rFonts w:ascii="David" w:hAnsi="David"/>
          <w:color w:val="000000"/>
        </w:rPr>
      </w:pPr>
      <w:bookmarkStart w:id="6" w:name="ABSTRACT_START"/>
      <w:bookmarkEnd w:id="6"/>
      <w:r w:rsidRPr="002C5FB7">
        <w:rPr>
          <w:rFonts w:ascii="David" w:hAnsi="David"/>
          <w:color w:val="000000"/>
          <w:rtl/>
        </w:rPr>
        <w:t>הנאשמים הורשעו בהתאם להודאתם בעובדות כתב האישום המתוקן בעבירות כדלקמן:</w:t>
      </w:r>
    </w:p>
    <w:p w14:paraId="3932825F" w14:textId="77777777" w:rsidR="002C5FB7" w:rsidRPr="002C5FB7" w:rsidRDefault="002C5FB7" w:rsidP="002C5FB7">
      <w:pPr>
        <w:numPr>
          <w:ilvl w:val="1"/>
          <w:numId w:val="4"/>
        </w:numPr>
        <w:tabs>
          <w:tab w:val="clear" w:pos="1620"/>
          <w:tab w:val="num" w:pos="1133"/>
        </w:tabs>
        <w:spacing w:after="120" w:line="360" w:lineRule="auto"/>
        <w:ind w:left="1133" w:hanging="426"/>
        <w:jc w:val="both"/>
        <w:rPr>
          <w:rFonts w:ascii="David" w:hAnsi="David"/>
          <w:color w:val="000000"/>
        </w:rPr>
      </w:pPr>
      <w:r w:rsidRPr="002C5FB7">
        <w:rPr>
          <w:rFonts w:ascii="David" w:hAnsi="David"/>
          <w:b/>
          <w:bCs/>
          <w:color w:val="000000"/>
          <w:rtl/>
        </w:rPr>
        <w:t>נשיאת נשק ותחמושת בצוותא חדא</w:t>
      </w:r>
      <w:r w:rsidRPr="002C5FB7">
        <w:rPr>
          <w:rFonts w:ascii="David" w:hAnsi="David"/>
          <w:color w:val="000000"/>
          <w:rtl/>
        </w:rPr>
        <w:t xml:space="preserve">, עבירה לפי </w:t>
      </w:r>
      <w:hyperlink r:id="rId16" w:history="1">
        <w:r w:rsidR="007F4FE8" w:rsidRPr="007F4FE8">
          <w:rPr>
            <w:rStyle w:val="Hyperlink"/>
            <w:rFonts w:ascii="David" w:hAnsi="David"/>
            <w:rtl/>
          </w:rPr>
          <w:t>סעיף 144(ב)</w:t>
        </w:r>
      </w:hyperlink>
      <w:r w:rsidRPr="002C5FB7">
        <w:rPr>
          <w:rFonts w:ascii="David" w:hAnsi="David"/>
          <w:color w:val="000000"/>
          <w:rtl/>
        </w:rPr>
        <w:t xml:space="preserve"> יחד עם </w:t>
      </w:r>
      <w:hyperlink r:id="rId17" w:history="1">
        <w:r w:rsidR="007F4FE8" w:rsidRPr="007F4FE8">
          <w:rPr>
            <w:rStyle w:val="Hyperlink"/>
            <w:rFonts w:ascii="David" w:hAnsi="David"/>
            <w:rtl/>
          </w:rPr>
          <w:t>סעיף 29</w:t>
        </w:r>
      </w:hyperlink>
      <w:r w:rsidRPr="002C5FB7">
        <w:rPr>
          <w:rFonts w:ascii="David" w:hAnsi="David"/>
          <w:color w:val="000000"/>
          <w:rtl/>
        </w:rPr>
        <w:t xml:space="preserve"> ב</w:t>
      </w:r>
      <w:hyperlink r:id="rId18" w:history="1">
        <w:r w:rsidR="00C513ED" w:rsidRPr="00C513ED">
          <w:rPr>
            <w:rFonts w:ascii="David" w:hAnsi="David"/>
            <w:color w:val="0000FF"/>
            <w:u w:val="single"/>
            <w:rtl/>
          </w:rPr>
          <w:t>חוק העונשין</w:t>
        </w:r>
      </w:hyperlink>
      <w:r w:rsidRPr="002C5FB7">
        <w:rPr>
          <w:rFonts w:ascii="David" w:hAnsi="David"/>
          <w:color w:val="000000"/>
          <w:rtl/>
        </w:rPr>
        <w:t>, תשל"ז- 1977 (להלן: "החוק").</w:t>
      </w:r>
    </w:p>
    <w:p w14:paraId="61C03646" w14:textId="77777777" w:rsidR="002C5FB7" w:rsidRPr="002C5FB7" w:rsidRDefault="002C5FB7" w:rsidP="002C5FB7">
      <w:pPr>
        <w:numPr>
          <w:ilvl w:val="1"/>
          <w:numId w:val="4"/>
        </w:numPr>
        <w:tabs>
          <w:tab w:val="clear" w:pos="1620"/>
          <w:tab w:val="num" w:pos="1133"/>
        </w:tabs>
        <w:spacing w:after="120" w:line="360" w:lineRule="auto"/>
        <w:ind w:left="1133" w:hanging="426"/>
        <w:jc w:val="both"/>
        <w:rPr>
          <w:rFonts w:ascii="David" w:hAnsi="David"/>
          <w:color w:val="000000"/>
        </w:rPr>
      </w:pPr>
      <w:r w:rsidRPr="002C5FB7">
        <w:rPr>
          <w:rFonts w:ascii="David" w:hAnsi="David"/>
          <w:color w:val="000000"/>
          <w:rtl/>
        </w:rPr>
        <w:t xml:space="preserve"> </w:t>
      </w:r>
      <w:r w:rsidRPr="002C5FB7">
        <w:rPr>
          <w:rFonts w:ascii="David" w:hAnsi="David"/>
          <w:b/>
          <w:bCs/>
          <w:color w:val="000000"/>
          <w:rtl/>
        </w:rPr>
        <w:t>מעשה פזיזות ורשלנות בצוותא חדא</w:t>
      </w:r>
      <w:r w:rsidRPr="002C5FB7">
        <w:rPr>
          <w:rFonts w:ascii="David" w:hAnsi="David"/>
          <w:color w:val="000000"/>
          <w:rtl/>
        </w:rPr>
        <w:t xml:space="preserve">, עבירה לפי </w:t>
      </w:r>
      <w:hyperlink r:id="rId19" w:history="1">
        <w:r w:rsidR="007F4FE8" w:rsidRPr="007F4FE8">
          <w:rPr>
            <w:rStyle w:val="Hyperlink"/>
            <w:rFonts w:ascii="David" w:hAnsi="David"/>
            <w:rtl/>
          </w:rPr>
          <w:t>סעיף 338(א)(1)</w:t>
        </w:r>
      </w:hyperlink>
      <w:r w:rsidRPr="002C5FB7">
        <w:rPr>
          <w:rFonts w:ascii="David" w:hAnsi="David"/>
          <w:color w:val="000000"/>
          <w:rtl/>
        </w:rPr>
        <w:t xml:space="preserve"> ביחד עם </w:t>
      </w:r>
      <w:hyperlink r:id="rId20" w:history="1">
        <w:r w:rsidR="007F4FE8" w:rsidRPr="007F4FE8">
          <w:rPr>
            <w:rStyle w:val="Hyperlink"/>
            <w:rFonts w:ascii="David" w:hAnsi="David"/>
            <w:rtl/>
          </w:rPr>
          <w:t>סעיף 29</w:t>
        </w:r>
      </w:hyperlink>
      <w:r w:rsidRPr="002C5FB7">
        <w:rPr>
          <w:rFonts w:ascii="David" w:hAnsi="David"/>
          <w:color w:val="000000"/>
          <w:rtl/>
        </w:rPr>
        <w:t xml:space="preserve">  בחוק. </w:t>
      </w:r>
    </w:p>
    <w:p w14:paraId="25EF0B60" w14:textId="77777777" w:rsidR="002C5FB7" w:rsidRPr="002C5FB7" w:rsidRDefault="002C5FB7" w:rsidP="002C5FB7">
      <w:pPr>
        <w:spacing w:after="120" w:line="360" w:lineRule="auto"/>
        <w:ind w:left="720" w:hanging="13"/>
        <w:jc w:val="both"/>
        <w:rPr>
          <w:rFonts w:ascii="David" w:hAnsi="David"/>
          <w:color w:val="000000"/>
        </w:rPr>
      </w:pPr>
      <w:bookmarkStart w:id="7" w:name="ABSTRACT_END"/>
      <w:bookmarkEnd w:id="7"/>
      <w:r w:rsidRPr="002C5FB7">
        <w:rPr>
          <w:rFonts w:ascii="David" w:hAnsi="David"/>
          <w:color w:val="000000"/>
          <w:rtl/>
        </w:rPr>
        <w:lastRenderedPageBreak/>
        <w:t xml:space="preserve">הנאשם 1 הורשע בנוסף בעבירה של </w:t>
      </w:r>
      <w:r w:rsidRPr="002C5FB7">
        <w:rPr>
          <w:rFonts w:ascii="David" w:hAnsi="David"/>
          <w:b/>
          <w:bCs/>
          <w:color w:val="000000"/>
          <w:rtl/>
        </w:rPr>
        <w:t>רכישת נשק</w:t>
      </w:r>
      <w:r w:rsidRPr="002C5FB7">
        <w:rPr>
          <w:rFonts w:ascii="David" w:hAnsi="David"/>
          <w:color w:val="000000"/>
          <w:rtl/>
        </w:rPr>
        <w:t xml:space="preserve">, עבירה לפי </w:t>
      </w:r>
      <w:hyperlink r:id="rId21" w:history="1">
        <w:r w:rsidR="007F4FE8" w:rsidRPr="007F4FE8">
          <w:rPr>
            <w:rStyle w:val="Hyperlink"/>
            <w:rFonts w:ascii="David" w:hAnsi="David"/>
            <w:rtl/>
          </w:rPr>
          <w:t>סעיף 144(א)</w:t>
        </w:r>
      </w:hyperlink>
      <w:r w:rsidRPr="002C5FB7">
        <w:rPr>
          <w:rFonts w:ascii="David" w:hAnsi="David"/>
          <w:color w:val="000000"/>
          <w:rtl/>
        </w:rPr>
        <w:t xml:space="preserve"> בחוק. </w:t>
      </w:r>
    </w:p>
    <w:p w14:paraId="5E942396" w14:textId="77777777" w:rsidR="002C5FB7" w:rsidRPr="002C5FB7" w:rsidRDefault="002C5FB7" w:rsidP="004C2BEA">
      <w:pPr>
        <w:numPr>
          <w:ilvl w:val="0"/>
          <w:numId w:val="4"/>
        </w:numPr>
        <w:spacing w:after="120" w:line="360" w:lineRule="auto"/>
        <w:jc w:val="both"/>
        <w:rPr>
          <w:rFonts w:ascii="David" w:hAnsi="David"/>
          <w:color w:val="000000"/>
        </w:rPr>
      </w:pPr>
      <w:r w:rsidRPr="002C5FB7">
        <w:rPr>
          <w:rFonts w:ascii="David" w:hAnsi="David"/>
          <w:color w:val="000000"/>
          <w:rtl/>
        </w:rPr>
        <w:t xml:space="preserve">על-פי המתואר בעובדות כתב האישום המתוקן, </w:t>
      </w:r>
      <w:r w:rsidRPr="002C5FB7">
        <w:rPr>
          <w:rFonts w:ascii="David" w:hAnsi="David"/>
          <w:b/>
          <w:bCs/>
          <w:color w:val="000000"/>
          <w:rtl/>
        </w:rPr>
        <w:t>ביום 2.7.1</w:t>
      </w:r>
      <w:r w:rsidR="004C2BEA">
        <w:rPr>
          <w:rFonts w:ascii="David" w:hAnsi="David" w:hint="cs"/>
          <w:b/>
          <w:bCs/>
          <w:color w:val="000000"/>
          <w:rtl/>
        </w:rPr>
        <w:t>9</w:t>
      </w:r>
      <w:r w:rsidRPr="002C5FB7">
        <w:rPr>
          <w:rFonts w:ascii="David" w:hAnsi="David"/>
          <w:b/>
          <w:bCs/>
          <w:color w:val="000000"/>
          <w:rtl/>
        </w:rPr>
        <w:t xml:space="preserve"> הנאשם 1 יצר קשר עם אחר תושב טול כרם וביקש לרכוש ממנו נשק והשניים תיאמו להיפגש. למחרת היום נסעו הנאשמים לטול כרם ברכב, שם פגשו את האחר שהחזיק בנשק כשהוא מוסלק בתיק גב. הנאשם 1 מסר לאחר חלק מהתמורה עבור הנשק.</w:t>
      </w:r>
      <w:r w:rsidRPr="002C5FB7">
        <w:rPr>
          <w:rFonts w:ascii="David" w:hAnsi="David"/>
          <w:color w:val="000000"/>
          <w:rtl/>
        </w:rPr>
        <w:t xml:space="preserve"> בהמשך לכך שוחחו הנאשם 1 והאחר עם אדם נוסף (להלן: "שלבי"), תושב השטחים, וסיכמו עמו שיעביר את התיק ובו הנשק מטול כרם לישראל דרך פרצה בגדר בתמורה ל-1,500 ₪. בנוסף סוכם שהנאשמים ימתינו לו בשטח ישראל סמוך לעיר טייבה וייקחו ממנו את התיק שבו הנשק. הנאשמים  ושלבי נכנסו לרכבו של הנאשם 1 (להלן: "הרכב") אשר נהג ברכב. הנאשם 1 הוריד את שלבי אשר נשא את התיק ובו הנשק, סמוך לפרצה בגדר, ומשם נסעו למחסום "תאנים" על מנת לשוב לשטח ישראל. הנאשמים עוכבו במחסום לבדיקה, ונוכח חששם מהתארכות הבדיקה, התקשרו לשלבי שהמתין להם בישראל עם התיק ובו הנשק וביקשו לדחות את העברתו למחרת היום בתמורה ל-1,500 ₪ נוספים. שלבי הסכים והחביא את התיק ובו הנשק תחת סככה מאולתרת הנמצאת בסמוך לפרצה בגדר, ושב לטול כרם. </w:t>
      </w:r>
      <w:r w:rsidRPr="002C5FB7">
        <w:rPr>
          <w:rFonts w:ascii="David" w:hAnsi="David"/>
          <w:b/>
          <w:bCs/>
          <w:color w:val="000000"/>
          <w:rtl/>
        </w:rPr>
        <w:t xml:space="preserve">למחרת הודיע הנאשם 1 לאחר באמצעות טלפון סלולרי מבצעי שיתרת התמורה עבור רכישת הנשק בידיו, והאחר הורה לו לפגוש את שלבי בטייבה שם תושלם העסקה. באותו היום הגיעו הנאשמים ברכב למקום המפגש, כשהנאשם 1 נוהג והנאשם 2 יושב במושב הנוסע הקדמי. שלבי עלה לרכב יחד עם שניים נוספים שזהותם אינה ידועה. במקום המפגש ברכב, הושלמה העסקה, כך ששלבי העביר לנאשם 2 את התיק ובו נשק מסוג </w:t>
      </w:r>
      <w:r w:rsidRPr="002C5FB7">
        <w:rPr>
          <w:rFonts w:ascii="David" w:hAnsi="David"/>
          <w:b/>
          <w:bCs/>
          <w:color w:val="000000"/>
        </w:rPr>
        <w:t>M16</w:t>
      </w:r>
      <w:r w:rsidRPr="002C5FB7">
        <w:rPr>
          <w:rFonts w:ascii="David" w:hAnsi="David"/>
          <w:b/>
          <w:bCs/>
          <w:color w:val="000000"/>
          <w:rtl/>
        </w:rPr>
        <w:t xml:space="preserve"> </w:t>
      </w:r>
      <w:r w:rsidRPr="002C5FB7">
        <w:rPr>
          <w:rFonts w:ascii="David" w:hAnsi="David"/>
          <w:color w:val="000000"/>
          <w:rtl/>
        </w:rPr>
        <w:t xml:space="preserve">והנאשם 1 העביר לשלבי סך של 200 ₪ בלבד מתוך שכרו וציין שיתרת הסכום תועבר לו באמצעות האחר. הנאשם 2 הניח את התיק ובו הנשק למרגלותיו ברכב ושלבי והאחרים ירדו מהרכב. הנאשמים המשיכו בנסיעתם על כביש 444 כשהנאשם 1 נוהג והנאשם 2 ישוב במושב לצדו. </w:t>
      </w:r>
    </w:p>
    <w:p w14:paraId="742616CB" w14:textId="77777777" w:rsidR="002C5FB7" w:rsidRPr="002C5FB7" w:rsidRDefault="002C5FB7" w:rsidP="002C5FB7">
      <w:pPr>
        <w:spacing w:after="120" w:line="360" w:lineRule="auto"/>
        <w:ind w:left="720"/>
        <w:jc w:val="both"/>
        <w:rPr>
          <w:rFonts w:ascii="David" w:hAnsi="David"/>
          <w:b/>
          <w:bCs/>
          <w:color w:val="000000"/>
          <w:rtl/>
        </w:rPr>
      </w:pPr>
      <w:r w:rsidRPr="002C5FB7">
        <w:rPr>
          <w:rFonts w:ascii="David" w:hAnsi="David"/>
          <w:color w:val="000000"/>
          <w:rtl/>
        </w:rPr>
        <w:t xml:space="preserve">בהמשך הגיעו הנאשמים עם רכב לרמזור בצומת אייל. הנאשמים הבחינו בשני כלי רכב משטרתיים המנסים לחסום את רכבם משני צדדיו שכרזו להם לעצור. </w:t>
      </w:r>
      <w:r w:rsidRPr="002C5FB7">
        <w:rPr>
          <w:rFonts w:ascii="David" w:hAnsi="David"/>
          <w:b/>
          <w:bCs/>
          <w:color w:val="000000"/>
          <w:rtl/>
        </w:rPr>
        <w:t xml:space="preserve">בתגובה לכך החל הנאשם 1 בנסיעה מהירה. שוטר שהספיק לרדת מהרכב המשטרתי, נצמד לרכבו של הנאשם 1 ואף הצליח לתפוס בידו את חולצת הנאשם 1 דרך חלון הרכב, אולם הנאשם 1 החל לנסוע במהירות, תוך שמסכן את חיי השוטר. כתוצאה מכך עזב השוטר את חולצתו של הנאשם 1 וחזר לרכב המשטרתי שרדף אחר הנאשמים. הנאשמים המשיכו בניסיונם להימלט, הנאשם 1 נהג בפראות תוך שזגזג בין הנתיבים, עלה על שולי הכביש ונסע בצורה מסוכנת, כשבכל אותה עת, כרזו השוטרים לנאשמים לעצור. בהמשך הנאשם 1 נצמד לרכב המשטרתי ועל מנת להימנע מתאונה, פגע הרכב המשטרתי במעקה הבטיחות ונגרם לו נזק. רק לאחר פגיעת הרכב המשטרתי הנוסף בצדו הימני של הרכב, הסתיים המרדף והנאשמים נעצרו, מספר מאות מטרים מתחילת המרדף. </w:t>
      </w:r>
    </w:p>
    <w:p w14:paraId="744559C3" w14:textId="77777777" w:rsidR="002C5FB7" w:rsidRPr="002C5FB7" w:rsidRDefault="002C5FB7" w:rsidP="002C5FB7">
      <w:pPr>
        <w:spacing w:after="120" w:line="360" w:lineRule="auto"/>
        <w:ind w:left="720"/>
        <w:jc w:val="both"/>
        <w:rPr>
          <w:rFonts w:ascii="David" w:hAnsi="David"/>
          <w:color w:val="000000"/>
        </w:rPr>
      </w:pPr>
      <w:r w:rsidRPr="002C5FB7">
        <w:rPr>
          <w:rFonts w:ascii="David" w:hAnsi="David"/>
          <w:b/>
          <w:bCs/>
          <w:color w:val="000000"/>
          <w:rtl/>
        </w:rPr>
        <w:lastRenderedPageBreak/>
        <w:t xml:space="preserve">עם מעצר הנאשמים, נערך חיפוש ברכב ובו נתפס במושב הנוסע, על רצפת הרכב התיק ובו נשק מסוג </w:t>
      </w:r>
      <w:r w:rsidRPr="002C5FB7">
        <w:rPr>
          <w:rFonts w:ascii="David" w:hAnsi="David"/>
          <w:b/>
          <w:bCs/>
          <w:color w:val="000000"/>
        </w:rPr>
        <w:t>M16</w:t>
      </w:r>
      <w:r w:rsidRPr="002C5FB7">
        <w:rPr>
          <w:rFonts w:ascii="David" w:hAnsi="David"/>
          <w:b/>
          <w:bCs/>
          <w:color w:val="000000"/>
          <w:rtl/>
        </w:rPr>
        <w:t>, מחסנית ותחמושת מסוג כדור 5.56 מ"מ. בנוסף לכך נמצא ברכב הטלפון הסלולרי המבצעי</w:t>
      </w:r>
      <w:r w:rsidRPr="002C5FB7">
        <w:rPr>
          <w:rFonts w:ascii="David" w:hAnsi="David"/>
          <w:color w:val="000000"/>
          <w:rtl/>
        </w:rPr>
        <w:t>.</w:t>
      </w:r>
    </w:p>
    <w:p w14:paraId="23917CF6" w14:textId="77777777" w:rsidR="002C5FB7" w:rsidRPr="002C5FB7" w:rsidRDefault="002C5FB7" w:rsidP="002C5FB7">
      <w:pPr>
        <w:numPr>
          <w:ilvl w:val="0"/>
          <w:numId w:val="4"/>
        </w:numPr>
        <w:spacing w:after="120" w:line="360" w:lineRule="auto"/>
        <w:jc w:val="both"/>
        <w:rPr>
          <w:rFonts w:ascii="David" w:hAnsi="David"/>
          <w:b/>
          <w:bCs/>
          <w:color w:val="000000"/>
          <w:u w:val="single"/>
          <w:rtl/>
        </w:rPr>
      </w:pPr>
      <w:r w:rsidRPr="002C5FB7">
        <w:rPr>
          <w:rFonts w:ascii="David" w:hAnsi="David"/>
          <w:color w:val="000000"/>
          <w:rtl/>
        </w:rPr>
        <w:t xml:space="preserve">הצדדים הגיעו להסדר דיוני, לפיו הנאשמים הודו והורשעו בכתב האישום המתוקן. כמו כן הוסכם שההגנה תהיה רשאית להגיש את חוות דעת המז"פ בעניין הנשק ותמונת הנשק, ולטעון על פי מסמכים אלה לעונש. בין הצדדים לא הייתה הסכמה לעניין העונש.  </w:t>
      </w:r>
    </w:p>
    <w:p w14:paraId="1F73AB3B" w14:textId="77777777" w:rsidR="002C5FB7" w:rsidRPr="002C5FB7" w:rsidRDefault="002C5FB7" w:rsidP="002C5FB7">
      <w:pPr>
        <w:spacing w:after="120" w:line="360" w:lineRule="auto"/>
        <w:ind w:left="-1"/>
        <w:jc w:val="both"/>
        <w:rPr>
          <w:rFonts w:ascii="David" w:hAnsi="David"/>
          <w:b/>
          <w:bCs/>
          <w:color w:val="000000"/>
          <w:u w:val="single"/>
          <w:rtl/>
        </w:rPr>
      </w:pPr>
      <w:r w:rsidRPr="002C5FB7">
        <w:rPr>
          <w:rFonts w:ascii="David" w:hAnsi="David"/>
          <w:b/>
          <w:bCs/>
          <w:color w:val="000000"/>
          <w:u w:val="single"/>
          <w:rtl/>
        </w:rPr>
        <w:t>ראיות לעונש</w:t>
      </w:r>
    </w:p>
    <w:p w14:paraId="337CC350" w14:textId="77777777" w:rsidR="002C5FB7" w:rsidRPr="002C5FB7" w:rsidRDefault="002C5FB7" w:rsidP="002C5FB7">
      <w:pPr>
        <w:numPr>
          <w:ilvl w:val="0"/>
          <w:numId w:val="4"/>
        </w:numPr>
        <w:spacing w:after="120" w:line="360" w:lineRule="auto"/>
        <w:jc w:val="both"/>
        <w:rPr>
          <w:rFonts w:ascii="David" w:hAnsi="David"/>
          <w:color w:val="000000"/>
        </w:rPr>
      </w:pPr>
      <w:r w:rsidRPr="002C5FB7">
        <w:rPr>
          <w:rFonts w:ascii="David" w:hAnsi="David"/>
          <w:color w:val="000000"/>
          <w:rtl/>
        </w:rPr>
        <w:t xml:space="preserve">חוות דעת מומחה מעבדת נשק, החטיבה לזיהוי פלילי, המטה הארצי (נ/1) – מחוות הדעת עולה שהחפץ דמוי רובה סער </w:t>
      </w:r>
      <w:r w:rsidRPr="002C5FB7">
        <w:rPr>
          <w:rFonts w:ascii="David" w:hAnsi="David"/>
          <w:color w:val="000000"/>
        </w:rPr>
        <w:t>M16</w:t>
      </w:r>
      <w:r w:rsidRPr="002C5FB7">
        <w:rPr>
          <w:rFonts w:ascii="David" w:hAnsi="David"/>
          <w:color w:val="000000"/>
          <w:rtl/>
        </w:rPr>
        <w:t xml:space="preserve"> – הינו רובה אוויר המיועד לירי כדוריות פלסטיק בקוטר 6 מ"מ. החפץ הוסב לירי תחמושת בקליבר 5.56 מ"מ ומכיל חלקים של כלי נשק תקני (מכלול של רובה סער </w:t>
      </w:r>
      <w:r w:rsidRPr="002C5FB7">
        <w:rPr>
          <w:rFonts w:ascii="David" w:hAnsi="David"/>
          <w:color w:val="000000"/>
        </w:rPr>
        <w:t>M16</w:t>
      </w:r>
      <w:r w:rsidRPr="002C5FB7">
        <w:rPr>
          <w:rFonts w:ascii="David" w:hAnsi="David"/>
          <w:color w:val="000000"/>
          <w:rtl/>
        </w:rPr>
        <w:t xml:space="preserve"> וקנה בקליבר 5.56 מ"מ). מדובר בנשק יורה שבכוחו להמית אדם, אשר נבדק בירי עם תחמושת מהמעבדה.</w:t>
      </w:r>
    </w:p>
    <w:p w14:paraId="545D9579" w14:textId="77777777" w:rsidR="002C5FB7" w:rsidRPr="002C5FB7" w:rsidRDefault="002C5FB7" w:rsidP="002C5FB7">
      <w:pPr>
        <w:numPr>
          <w:ilvl w:val="0"/>
          <w:numId w:val="4"/>
        </w:numPr>
        <w:spacing w:after="120" w:line="360" w:lineRule="auto"/>
        <w:jc w:val="both"/>
        <w:rPr>
          <w:rFonts w:ascii="David" w:hAnsi="David"/>
          <w:color w:val="000000"/>
          <w:lang w:eastAsia="he-IL"/>
        </w:rPr>
      </w:pPr>
      <w:r w:rsidRPr="002C5FB7">
        <w:rPr>
          <w:rFonts w:ascii="David" w:hAnsi="David"/>
          <w:b/>
          <w:bCs/>
          <w:color w:val="000000"/>
          <w:rtl/>
          <w:lang w:eastAsia="he-IL"/>
        </w:rPr>
        <w:t>סיכום ביקור במחלקה לרפואה דחופה בבית חולים – מיום 1.6.19 וסיכום אשפוז מיום 20.6.19 (נ/2) –</w:t>
      </w:r>
      <w:r w:rsidRPr="002C5FB7">
        <w:rPr>
          <w:rFonts w:ascii="David" w:hAnsi="David"/>
          <w:color w:val="000000"/>
          <w:rtl/>
          <w:lang w:eastAsia="he-IL"/>
        </w:rPr>
        <w:t>הנאשם 1 הוכש ברגלו על-ידי נחש. התקבל במצב קשה, הורדם והונשם, ואושפז בבית החולים.</w:t>
      </w:r>
    </w:p>
    <w:p w14:paraId="253C32C1" w14:textId="77777777" w:rsidR="002C5FB7" w:rsidRPr="002C5FB7" w:rsidRDefault="00C513ED" w:rsidP="002C5FB7">
      <w:pPr>
        <w:numPr>
          <w:ilvl w:val="0"/>
          <w:numId w:val="4"/>
        </w:numPr>
        <w:spacing w:after="120" w:line="360" w:lineRule="auto"/>
        <w:jc w:val="both"/>
        <w:rPr>
          <w:rFonts w:ascii="David" w:hAnsi="David"/>
          <w:color w:val="000000"/>
          <w:rtl/>
        </w:rPr>
      </w:pPr>
      <w:hyperlink r:id="rId22" w:history="1">
        <w:r w:rsidRPr="00C513ED">
          <w:rPr>
            <w:rFonts w:ascii="David" w:hAnsi="David"/>
            <w:color w:val="0000FF"/>
            <w:u w:val="single"/>
            <w:rtl/>
          </w:rPr>
          <w:t>מ"י (פ"ת) 12788-07-19</w:t>
        </w:r>
      </w:hyperlink>
      <w:r w:rsidR="002C5FB7" w:rsidRPr="002C5FB7">
        <w:rPr>
          <w:rFonts w:ascii="David" w:hAnsi="David"/>
          <w:color w:val="000000"/>
          <w:rtl/>
        </w:rPr>
        <w:t xml:space="preserve"> </w:t>
      </w:r>
      <w:r w:rsidR="002C5FB7" w:rsidRPr="002C5FB7">
        <w:rPr>
          <w:rFonts w:ascii="David" w:hAnsi="David"/>
          <w:b/>
          <w:bCs/>
          <w:color w:val="000000"/>
          <w:rtl/>
        </w:rPr>
        <w:t>מדינת ישראל נ' אבו סבלאן</w:t>
      </w:r>
      <w:r w:rsidR="002C5FB7" w:rsidRPr="002C5FB7">
        <w:rPr>
          <w:rFonts w:ascii="David" w:hAnsi="David"/>
          <w:color w:val="000000"/>
          <w:rtl/>
        </w:rPr>
        <w:t xml:space="preserve"> (11.7.19) (נ/3) – ממנו עולה כי בהסכמת הצדדים שוחררו הנאשמים ממעצר בשלב המעצר לצרכי חקירה.</w:t>
      </w:r>
    </w:p>
    <w:p w14:paraId="1173C9E4" w14:textId="77777777" w:rsidR="002C5FB7" w:rsidRPr="002C5FB7" w:rsidRDefault="002C5FB7" w:rsidP="002C5FB7">
      <w:pPr>
        <w:spacing w:after="120" w:line="360" w:lineRule="auto"/>
        <w:jc w:val="both"/>
        <w:rPr>
          <w:bCs/>
          <w:u w:val="single"/>
          <w:rtl/>
          <w:lang w:eastAsia="he-IL"/>
        </w:rPr>
      </w:pPr>
      <w:r w:rsidRPr="002C5FB7">
        <w:rPr>
          <w:bCs/>
          <w:u w:val="single"/>
          <w:rtl/>
          <w:lang w:eastAsia="he-IL"/>
        </w:rPr>
        <w:t>טיעוני הצדדים</w:t>
      </w:r>
    </w:p>
    <w:p w14:paraId="2214F703" w14:textId="77777777" w:rsidR="002C5FB7" w:rsidRPr="002C5FB7" w:rsidRDefault="002C5FB7" w:rsidP="002C5FB7">
      <w:pPr>
        <w:numPr>
          <w:ilvl w:val="0"/>
          <w:numId w:val="4"/>
        </w:numPr>
        <w:spacing w:after="120" w:line="360" w:lineRule="auto"/>
        <w:jc w:val="both"/>
        <w:rPr>
          <w:rFonts w:ascii="David" w:hAnsi="David"/>
          <w:color w:val="000000"/>
          <w:rtl/>
        </w:rPr>
      </w:pPr>
      <w:r w:rsidRPr="002C5FB7">
        <w:rPr>
          <w:rFonts w:ascii="David" w:hAnsi="David"/>
          <w:color w:val="000000"/>
          <w:rtl/>
        </w:rPr>
        <w:t xml:space="preserve">לטענת ב"כ המאשימה, עו"ד איריס פיקר, הערך החברתי שנפגע בעבירה הוא הגנה על ביטחון הציבור. החזקה ונשיאה של נשק, ובעניינו של הנאשם 1 גם רכישת נשק, יוצרות סיכון שהנשק יגיע לגורמים שיעשו בו שימוש למטרות פליליות או ביטחוניות. נשיאת נשק על ידי מי שאינו כשיר לכך עלולה להוות סכנה, כשהחומרה הכרוכה בנשיאת נשק מסוג </w:t>
      </w:r>
      <w:r w:rsidRPr="002C5FB7">
        <w:rPr>
          <w:rFonts w:ascii="David" w:hAnsi="David"/>
          <w:color w:val="000000"/>
        </w:rPr>
        <w:t>M16</w:t>
      </w:r>
      <w:r w:rsidRPr="002C5FB7">
        <w:rPr>
          <w:rFonts w:ascii="David" w:hAnsi="David"/>
          <w:color w:val="000000"/>
          <w:rtl/>
        </w:rPr>
        <w:t xml:space="preserve"> היא רבה מפני שזהו נשק התקפי בעל פוטנציאל תקיפה משמעותי. הפגיעה בערך המוגן היא ברף גבוה יחסית. אמנם עבירת רכישת הנשק נמצאת במדרג הנמוך יותר של חומרה, ואין אישום של סחר בנשק, ואולם, לעבירת נשיאת הנשק נוספה עבירה נוספת של נהיגה פזיזה ורשלנית למטרת הימלטות מגורמי אכיפת החוק, אשר העמידה בסיכון עוברי אורח תמימים. הערך המוגן שנפגע הוא זכות האדם לביטחון על שלמות גופו והגנה על הציבור. אך בנס לא נפגעו בני אדם. הנחיית פרקליט המדינה 9.16 אשר אינה מחייבת את בית המשפט, קובעת מתחם מוצא בעבירה של נשיאת נשק מסוג רובה, הנע בין שנתיים וחצי ועד ל-5 וחצי שנות מאסר. בנוסף לכך בעבירה של נהיגה פזיזה ורשלנית המתחם נע בין 10 ל-30 חודשי מאסר. הנאשם 1 הוא היוזם של העבירה, חלקו רב יותר ובעניינו עתרה המאשימה לעונש של 3.5 שנות מאסר. חלקו של הנאשם 2 נמוך יותר, והמאשימה עתרה בעניינו לעונש מאסר של שנתיים וחצי. בעניינם של הנאשמים לא הוגש תסקיר שירות המבחן ומכאן שאין מקום לשקול חריגה ממתחם העונש. בנוסף עתרה המאשימה להשית על הנאשמים מאסר על תנאי, קנס ופסילה. </w:t>
      </w:r>
    </w:p>
    <w:p w14:paraId="1954F6FF" w14:textId="77777777" w:rsidR="002C5FB7" w:rsidRPr="002C5FB7" w:rsidRDefault="002C5FB7" w:rsidP="002C5FB7">
      <w:pPr>
        <w:numPr>
          <w:ilvl w:val="0"/>
          <w:numId w:val="4"/>
        </w:numPr>
        <w:spacing w:after="120" w:line="360" w:lineRule="auto"/>
        <w:jc w:val="both"/>
        <w:rPr>
          <w:rFonts w:ascii="David" w:hAnsi="David"/>
          <w:color w:val="000000"/>
          <w:rtl/>
        </w:rPr>
      </w:pPr>
      <w:r w:rsidRPr="002C5FB7">
        <w:rPr>
          <w:rFonts w:ascii="David" w:hAnsi="David"/>
          <w:color w:val="000000"/>
          <w:rtl/>
        </w:rPr>
        <w:t xml:space="preserve">לטענת ב"כ הנאשמים, עוה"ד שוקרי ואוזן, אמנם אין מחלוקת שהנאשמים נשאו נשק שיש בכוחו להמית, אך מדובר בנשק שהתקבל מפורק, ועל פי חוות דעת מז"פ מדובר ברובה אוויר שהיה מיועד לירי כדורי פלסטיק, אשר הוסב לרובה סער שמסוגל לירות תחמושת. לא ברור האם הנאשמים יכלו להרכיב את הנשק ואין ראיה לכך שהם התכוונו לעשות כן. הנאשמים הודו בכתב אישום שתוקן באופן משמעותי, ועבירת הסחר בנשק שהייתה במקור נמחקה. לא נעשה שימוש בנשק, לא נגרם נזק מנשיאתו, ואין ראיה לכך שעבירת הנשק תוכננה לשמש לביצוע עבירה פלילית. אין ראיה לכך שהנאשמים בדקו את הנשק. כתב האישום מתאר מסירת חלק מהתמורה, ושווי העסקה כולה אינו ידוע. התיק הועבר לנאשמים בעת שהיה סגור הרמטית והוכנס לרכב הנאשמים, מבלי שהם בדקו את תכולתו. לא מדובר בנאשמים שיש להם סכסוך. הנאשם 1 אמנם הורשע בשתי עבירות נשק, אולם הן נבלעות זו בזו. מדובר באירוע אחד שנמשך זמן קצר בלבד, ואין המדובר בנאשמים שנסעו במשך שעות עם נשק ברכב. מחסנית הנשק הייתה ריקה, הנשק לא היה טעון והמחסנית הייתה מחוצה לו. הנאשמים הודו, קיבלו אחריות למעשיהם, הביעו צער וחרטה, וחסכו זמן שיפוטי יקר. חלקו של הנאשם 2 קטן יותר מחלקו של הנאשם 1. הנאשם 2 ישב לצדו של הנאשם 1, קיבל את התיק והניחו תחת רגליו. כעבור מספר דקות הם נעצרו על ידי המשטרה שהייתה במעקב אחריהם. הנאשמים הם אחים, ואין לחובתם עבר פלילי מכביד. לחובת הנאשם 1 הרשעה יחידה מלפני עשור. הנאשמים היו עצורים לצרכי חקירה, ואז שוחררו בהסכמה למעצר בית. כעבור 18 ימים הם נעצרו בשנית, לאחר שמעורב נוסף (שלבי) נתפס והפליל אותם בעבירת הסחר בנשק, אשר בסופו של דבר נמחקה במסגרת ההסדר. במהלך התקופה שבה היו במעצר בית, לא הפרו את תנאי השחרור. </w:t>
      </w:r>
    </w:p>
    <w:p w14:paraId="6B94645C" w14:textId="77777777" w:rsidR="002C5FB7" w:rsidRPr="002C5FB7" w:rsidRDefault="002C5FB7" w:rsidP="002C5FB7">
      <w:pPr>
        <w:spacing w:after="120" w:line="360" w:lineRule="auto"/>
        <w:ind w:left="720"/>
        <w:jc w:val="both"/>
        <w:rPr>
          <w:rFonts w:ascii="David" w:hAnsi="David"/>
          <w:color w:val="000000"/>
        </w:rPr>
      </w:pPr>
      <w:r w:rsidRPr="002C5FB7">
        <w:rPr>
          <w:rFonts w:ascii="David" w:hAnsi="David"/>
          <w:color w:val="000000"/>
          <w:rtl/>
        </w:rPr>
        <w:t xml:space="preserve">הנאשם 1 סובל מקשיים הסתגלותיים, סיים 9 שנות לימוד בלבד, קשיים אלה המשיכו גם בבית הסוהר, שם הנאשם נחשף ללעג ולהתייחסות פוגענית מצד האסירים האחרים, נוכח מוגבלותו בדיבור. הנאשם 1 מבין היום שפעל באופן ילדותי ולא מגובש, טעה בשיקול דעתו וזאת לקידום מצבה הכלכלי של משפחתו. מדובר במשפחה בה 10 אחים, ההורים התגרשו והילדים נותרו עם אמם בלבד, ללא קשר עם האב. הלחץ כלכלי בבית הוביל את הנאשם 1 לביצוע העבירה. הנאשם 2 עזב את מערכת החינוך לאחר 8 שנות לימוד בלבד. שני האחים גילו קשיים בהסתגלות למעצר. הנאשמים עצורים כבר קרוב לשנה. הטיעונים לעונש נדחו פעמיים בשל מצב החירום, ולכן נותרו הנאשמים בסטטוס של עצורים, ולא של אסירים. בשל מצב החירום, קיימות הגבלות על ביקורים. ההגנה עותרת להסתפק בתקופת מעצרם של הנאשמים. </w:t>
      </w:r>
    </w:p>
    <w:p w14:paraId="36DB0174" w14:textId="77777777" w:rsidR="002C5FB7" w:rsidRPr="002C5FB7" w:rsidRDefault="002C5FB7" w:rsidP="002C5FB7">
      <w:pPr>
        <w:numPr>
          <w:ilvl w:val="0"/>
          <w:numId w:val="4"/>
        </w:numPr>
        <w:spacing w:after="120" w:line="360" w:lineRule="auto"/>
        <w:jc w:val="both"/>
        <w:rPr>
          <w:rFonts w:ascii="David" w:hAnsi="David"/>
          <w:color w:val="000000"/>
        </w:rPr>
      </w:pPr>
      <w:r w:rsidRPr="002C5FB7">
        <w:rPr>
          <w:rFonts w:ascii="David" w:hAnsi="David"/>
          <w:color w:val="000000"/>
          <w:rtl/>
        </w:rPr>
        <w:t xml:space="preserve">הנאשם 1 טען שהוא מודה במעשיו ומודע לכך שעשה טעות. הוא רחוק מהמשפחה ומאשתו. </w:t>
      </w:r>
    </w:p>
    <w:p w14:paraId="0AD38580" w14:textId="77777777" w:rsidR="002C5FB7" w:rsidRPr="002C5FB7" w:rsidRDefault="002C5FB7" w:rsidP="002C5FB7">
      <w:pPr>
        <w:spacing w:after="120" w:line="360" w:lineRule="auto"/>
        <w:ind w:left="720"/>
        <w:jc w:val="both"/>
        <w:rPr>
          <w:rFonts w:ascii="David" w:hAnsi="David"/>
          <w:color w:val="000000"/>
        </w:rPr>
      </w:pPr>
      <w:r w:rsidRPr="002C5FB7">
        <w:rPr>
          <w:rFonts w:ascii="David" w:hAnsi="David"/>
          <w:color w:val="000000"/>
          <w:rtl/>
        </w:rPr>
        <w:t xml:space="preserve">הנאשם 2 טען שהוא מודה שעשה טעות, הם השתקמו בבית הסוהר, ולא יחזרו על מעשיהם.  </w:t>
      </w:r>
    </w:p>
    <w:p w14:paraId="6FB5487A" w14:textId="77777777" w:rsidR="002C5FB7" w:rsidRPr="002C5FB7" w:rsidRDefault="002C5FB7" w:rsidP="002C5FB7">
      <w:pPr>
        <w:spacing w:after="120" w:line="360" w:lineRule="auto"/>
        <w:jc w:val="both"/>
        <w:rPr>
          <w:bCs/>
          <w:u w:val="single"/>
          <w:lang w:eastAsia="he-IL"/>
        </w:rPr>
      </w:pPr>
      <w:r w:rsidRPr="002C5FB7">
        <w:rPr>
          <w:bCs/>
          <w:u w:val="single"/>
          <w:rtl/>
          <w:lang w:eastAsia="he-IL"/>
        </w:rPr>
        <w:t>דיון - קביעת מתחם העונש ההולם</w:t>
      </w:r>
    </w:p>
    <w:p w14:paraId="18AA6D61" w14:textId="77777777" w:rsidR="002C5FB7" w:rsidRPr="002C5FB7" w:rsidRDefault="002C5FB7" w:rsidP="002C5FB7">
      <w:pPr>
        <w:numPr>
          <w:ilvl w:val="0"/>
          <w:numId w:val="4"/>
        </w:numPr>
        <w:spacing w:after="120" w:line="360" w:lineRule="auto"/>
        <w:jc w:val="both"/>
        <w:rPr>
          <w:rFonts w:ascii="David" w:hAnsi="David"/>
          <w:color w:val="000000"/>
        </w:rPr>
      </w:pPr>
      <w:r w:rsidRPr="002C5FB7">
        <w:rPr>
          <w:rFonts w:ascii="David" w:hAnsi="David"/>
          <w:color w:val="000000"/>
          <w:rtl/>
        </w:rPr>
        <w:t xml:space="preserve">כתב האישום מתאר אירוע אחד מתמשך שתחילתו בעבירת הנשק וסופו בעבירת הנהיגה פוחזת ורשלנית, ומכאן שיש לקבוע בגינו </w:t>
      </w:r>
      <w:r w:rsidRPr="002C5FB7">
        <w:rPr>
          <w:rFonts w:ascii="David" w:hAnsi="David"/>
          <w:b/>
          <w:bCs/>
          <w:color w:val="000000"/>
          <w:rtl/>
        </w:rPr>
        <w:t>מתחם עונש הולם אחד</w:t>
      </w:r>
      <w:r w:rsidRPr="002C5FB7">
        <w:rPr>
          <w:rFonts w:ascii="David" w:hAnsi="David"/>
          <w:color w:val="000000"/>
          <w:rtl/>
        </w:rPr>
        <w:t xml:space="preserve">. </w:t>
      </w:r>
    </w:p>
    <w:p w14:paraId="5D32DBDB" w14:textId="77777777" w:rsidR="002C5FB7" w:rsidRPr="002C5FB7" w:rsidRDefault="002C5FB7" w:rsidP="002C5FB7">
      <w:pPr>
        <w:numPr>
          <w:ilvl w:val="0"/>
          <w:numId w:val="4"/>
        </w:numPr>
        <w:spacing w:after="120" w:line="360" w:lineRule="auto"/>
        <w:jc w:val="both"/>
        <w:rPr>
          <w:rFonts w:ascii="David" w:hAnsi="David"/>
          <w:color w:val="000000"/>
        </w:rPr>
      </w:pPr>
      <w:r w:rsidRPr="002C5FB7">
        <w:rPr>
          <w:rFonts w:ascii="David" w:hAnsi="David"/>
          <w:b/>
          <w:bCs/>
          <w:color w:val="000000"/>
          <w:rtl/>
        </w:rPr>
        <w:t xml:space="preserve">הערך החברתי </w:t>
      </w:r>
      <w:r w:rsidRPr="002C5FB7">
        <w:rPr>
          <w:rFonts w:ascii="David" w:hAnsi="David"/>
          <w:color w:val="000000"/>
          <w:rtl/>
        </w:rPr>
        <w:t xml:space="preserve">אשר נפגע בעבירת נשיאת נשק הוא הגנה על בטחון הציבור. נשיאת נשק חם, מסוג </w:t>
      </w:r>
      <w:r w:rsidRPr="002C5FB7">
        <w:rPr>
          <w:rFonts w:ascii="David" w:hAnsi="David"/>
          <w:color w:val="000000"/>
        </w:rPr>
        <w:t>M16</w:t>
      </w:r>
      <w:r w:rsidRPr="002C5FB7">
        <w:rPr>
          <w:rFonts w:ascii="David" w:hAnsi="David"/>
          <w:color w:val="000000"/>
          <w:rtl/>
        </w:rPr>
        <w:t>, שהוא נשק התקפי, יוצרת סיכון שהנשק יגיע בסופו של דבר לגורמים אשר יעשו בו שימוש למטרות פסולות, פליליות או ביטחוניות, לרבות פגיעה בגוף או בנפש.</w:t>
      </w:r>
    </w:p>
    <w:p w14:paraId="0329548D" w14:textId="77777777" w:rsidR="002C5FB7" w:rsidRPr="002C5FB7" w:rsidRDefault="002C5FB7" w:rsidP="009C2343">
      <w:pPr>
        <w:spacing w:after="120" w:line="360" w:lineRule="auto"/>
        <w:ind w:left="707"/>
        <w:jc w:val="both"/>
        <w:rPr>
          <w:rFonts w:ascii="David" w:hAnsi="David"/>
          <w:color w:val="000000"/>
          <w:rtl/>
        </w:rPr>
      </w:pPr>
      <w:r w:rsidRPr="002C5FB7">
        <w:rPr>
          <w:rFonts w:ascii="David" w:hAnsi="David"/>
          <w:color w:val="000000"/>
          <w:rtl/>
        </w:rPr>
        <w:t>בית המשפט העליון חזר והדגיש את מגמת ההחמרה בעבירות נשק, על סוגיהן השונים, ואת החומרה היתרה שבביצוע עבירות נשק. זאת בשל הסיכון הממשי לשלום הציבור והפגיעה בערכים המוגנים של שלמות הגוף וחיי אדם. לאור כך, ננקטת מגמת החמרה בענישה בעבירות נשק, כך שזו תבטא באופן הולם את פוטנציאל ההרס הרב הגלום בהן. עוד נקבע כי ראוי ונכון להחמיר את מדיניות הענישה הנוהגת, זאת בין היתר כדי להיאבק בתופעה של שימוש גובר בנשק חם כאמצעי ליישוב סכסוכים. ביעור תופעת נשיאת והחזקת כלי נשק בלתי חוקיים הוא אפוא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23" w:history="1">
        <w:r w:rsidR="00C513ED" w:rsidRPr="00C513ED">
          <w:rPr>
            <w:rFonts w:ascii="David" w:hAnsi="David"/>
            <w:color w:val="0000FF"/>
            <w:u w:val="single"/>
            <w:rtl/>
          </w:rPr>
          <w:t>ע"פ 5446/19</w:t>
        </w:r>
      </w:hyperlink>
      <w:r w:rsidRPr="002C5FB7">
        <w:rPr>
          <w:rFonts w:ascii="David" w:hAnsi="David"/>
          <w:color w:val="000000"/>
          <w:rtl/>
        </w:rPr>
        <w:t xml:space="preserve"> </w:t>
      </w:r>
      <w:r w:rsidRPr="002C5FB7">
        <w:rPr>
          <w:rFonts w:ascii="David" w:hAnsi="David"/>
          <w:b/>
          <w:bCs/>
          <w:color w:val="000000"/>
          <w:rtl/>
        </w:rPr>
        <w:t>מדינת ישראל נ' הוארי</w:t>
      </w:r>
      <w:r w:rsidRPr="002C5FB7">
        <w:rPr>
          <w:rFonts w:ascii="David" w:hAnsi="David"/>
          <w:color w:val="000000"/>
          <w:rtl/>
        </w:rPr>
        <w:t xml:space="preserve"> [25.11.19]</w:t>
      </w:r>
      <w:r w:rsidR="009C2343">
        <w:rPr>
          <w:rFonts w:ascii="David" w:hAnsi="David" w:hint="cs"/>
          <w:color w:val="000000"/>
          <w:rtl/>
        </w:rPr>
        <w:t>,</w:t>
      </w:r>
      <w:r w:rsidRPr="002C5FB7">
        <w:rPr>
          <w:rFonts w:ascii="David" w:hAnsi="David"/>
          <w:color w:val="000000"/>
          <w:rtl/>
        </w:rPr>
        <w:t xml:space="preserve"> כב' השופטים י' אלרון ומ' מזוז ב</w:t>
      </w:r>
      <w:hyperlink r:id="rId24" w:history="1">
        <w:r w:rsidR="00C513ED" w:rsidRPr="00C513ED">
          <w:rPr>
            <w:rFonts w:ascii="David" w:hAnsi="David"/>
            <w:color w:val="0000FF"/>
            <w:u w:val="single"/>
            <w:rtl/>
          </w:rPr>
          <w:t>ע"פ 4406/19</w:t>
        </w:r>
      </w:hyperlink>
      <w:r w:rsidRPr="002C5FB7">
        <w:rPr>
          <w:rFonts w:ascii="David" w:hAnsi="David"/>
          <w:color w:val="000000"/>
          <w:rtl/>
        </w:rPr>
        <w:t xml:space="preserve"> </w:t>
      </w:r>
      <w:r w:rsidRPr="002C5FB7">
        <w:rPr>
          <w:rFonts w:ascii="David" w:hAnsi="David"/>
          <w:b/>
          <w:bCs/>
          <w:color w:val="000000"/>
          <w:rtl/>
        </w:rPr>
        <w:t xml:space="preserve">מדינת ישראל נ' סובח </w:t>
      </w:r>
      <w:r w:rsidRPr="002C5FB7">
        <w:rPr>
          <w:rFonts w:ascii="David" w:hAnsi="David"/>
          <w:color w:val="000000"/>
          <w:rtl/>
        </w:rPr>
        <w:t>[5.11.19]</w:t>
      </w:r>
      <w:r w:rsidR="009C2343">
        <w:rPr>
          <w:rFonts w:ascii="David" w:hAnsi="David" w:hint="cs"/>
          <w:color w:val="000000"/>
          <w:rtl/>
        </w:rPr>
        <w:t xml:space="preserve"> וכב' השופט א' שטיין ב</w:t>
      </w:r>
      <w:hyperlink r:id="rId25" w:history="1">
        <w:r w:rsidR="00C513ED" w:rsidRPr="00C513ED">
          <w:rPr>
            <w:rFonts w:ascii="David" w:hAnsi="David"/>
            <w:color w:val="0000FF"/>
            <w:u w:val="single"/>
            <w:rtl/>
          </w:rPr>
          <w:t>ע"פ 1509/20</w:t>
        </w:r>
      </w:hyperlink>
      <w:r w:rsidR="009C2343">
        <w:rPr>
          <w:rFonts w:ascii="David" w:hAnsi="David" w:hint="cs"/>
          <w:color w:val="000000"/>
          <w:rtl/>
        </w:rPr>
        <w:t xml:space="preserve"> </w:t>
      </w:r>
      <w:r w:rsidR="009C2343" w:rsidRPr="009C2343">
        <w:rPr>
          <w:rFonts w:ascii="David" w:hAnsi="David" w:hint="cs"/>
          <w:b/>
          <w:bCs/>
          <w:color w:val="000000"/>
          <w:rtl/>
        </w:rPr>
        <w:t>מדינת ישראל</w:t>
      </w:r>
      <w:r w:rsidR="009C2343">
        <w:rPr>
          <w:rFonts w:ascii="David" w:hAnsi="David" w:hint="cs"/>
          <w:color w:val="000000"/>
          <w:rtl/>
        </w:rPr>
        <w:t xml:space="preserve"> </w:t>
      </w:r>
      <w:r w:rsidR="009C2343" w:rsidRPr="009C2343">
        <w:rPr>
          <w:rFonts w:ascii="David" w:hAnsi="David" w:hint="cs"/>
          <w:b/>
          <w:bCs/>
          <w:color w:val="000000"/>
          <w:rtl/>
        </w:rPr>
        <w:t>נ' נבארי</w:t>
      </w:r>
      <w:r w:rsidR="009C2343">
        <w:rPr>
          <w:rFonts w:ascii="David" w:hAnsi="David" w:hint="cs"/>
          <w:color w:val="000000"/>
          <w:rtl/>
        </w:rPr>
        <w:t xml:space="preserve"> [2.7.20]</w:t>
      </w:r>
      <w:r w:rsidRPr="002C5FB7">
        <w:rPr>
          <w:rFonts w:ascii="David" w:hAnsi="David"/>
          <w:color w:val="000000"/>
          <w:rtl/>
        </w:rPr>
        <w:t xml:space="preserve">). </w:t>
      </w:r>
    </w:p>
    <w:p w14:paraId="639D5F97" w14:textId="77777777" w:rsidR="002C5FB7" w:rsidRPr="002C5FB7" w:rsidRDefault="002C5FB7" w:rsidP="002C5FB7">
      <w:pPr>
        <w:numPr>
          <w:ilvl w:val="0"/>
          <w:numId w:val="4"/>
        </w:numPr>
        <w:spacing w:after="120" w:line="360" w:lineRule="auto"/>
        <w:jc w:val="both"/>
        <w:rPr>
          <w:rFonts w:ascii="David" w:hAnsi="David"/>
        </w:rPr>
      </w:pPr>
      <w:r w:rsidRPr="002C5FB7">
        <w:rPr>
          <w:rFonts w:ascii="David" w:hAnsi="David"/>
          <w:color w:val="000000"/>
          <w:rtl/>
        </w:rPr>
        <w:t xml:space="preserve">הערכים החברתיים אשר נפגעו בעבירת מעשה פזיזות ורשלנות ברכב הם סיכון חייהם, שלומם ורכושם של המשתמשים בדרך, ופגיעה בתחושת הביטחון של הציבור ושל גורמי אכיפת החוק. הימלטות משוטרים אשר מובילה למרדפים בכבישי ישראל פוגעת קשות בביטחון הציבור, בביטחון גורמי אכיפת החוק, ומסכנת באופן משמעותי את הביטחון האישי של המשתמשים בדרך. תופעת הנהיגה הפראית במהלך מרדפים עם המשטרה, תוך הפרה גסה של חוקי התנועה, יוצרת סיכון רב וחמור לכל הנוסעים בדרכים, ופוגעת בסדר הציבורי. תופעה זו, אף מבטאת זלזול מופגן ובוטה בגורמי אכיפת החוק, והעדר מורא החוק. במקרים של מנוסה מרשויות החוק, הערכים החברתיים כוללים גם את יכולתן של הרשויות לאכוף את החוק ולהביא עבריינים לדין. בשל כך קיים צורך, ככלל, להטיל ענישה מחמירה בגין עבירות אלה (ראו </w:t>
      </w:r>
      <w:hyperlink r:id="rId26" w:history="1">
        <w:r w:rsidR="00C513ED" w:rsidRPr="00C513ED">
          <w:rPr>
            <w:rFonts w:ascii="David" w:hAnsi="David"/>
            <w:color w:val="0000FF"/>
            <w:u w:val="single"/>
            <w:rtl/>
          </w:rPr>
          <w:t>ע"פ 7798/08</w:t>
        </w:r>
      </w:hyperlink>
      <w:r w:rsidRPr="002C5FB7">
        <w:rPr>
          <w:rFonts w:ascii="David" w:hAnsi="David"/>
          <w:color w:val="000000"/>
          <w:rtl/>
        </w:rPr>
        <w:t xml:space="preserve"> </w:t>
      </w:r>
      <w:r w:rsidRPr="002C5FB7">
        <w:rPr>
          <w:rFonts w:ascii="David" w:hAnsi="David"/>
          <w:b/>
          <w:bCs/>
          <w:color w:val="000000"/>
          <w:rtl/>
        </w:rPr>
        <w:t xml:space="preserve">מדינת ישראל נ' שביקוב </w:t>
      </w:r>
      <w:r w:rsidRPr="002C5FB7">
        <w:rPr>
          <w:rFonts w:ascii="David" w:hAnsi="David"/>
          <w:color w:val="000000"/>
          <w:rtl/>
        </w:rPr>
        <w:t>[22.1.09] ו</w:t>
      </w:r>
      <w:hyperlink r:id="rId27" w:history="1">
        <w:r w:rsidR="00C513ED" w:rsidRPr="00C513ED">
          <w:rPr>
            <w:rFonts w:ascii="David" w:hAnsi="David"/>
            <w:color w:val="0000FF"/>
            <w:u w:val="single"/>
            <w:rtl/>
          </w:rPr>
          <w:t>ע"פ 4763/17</w:t>
        </w:r>
      </w:hyperlink>
      <w:r w:rsidRPr="002C5FB7">
        <w:rPr>
          <w:rFonts w:ascii="David" w:hAnsi="David"/>
          <w:color w:val="000000"/>
          <w:rtl/>
        </w:rPr>
        <w:t xml:space="preserve"> </w:t>
      </w:r>
      <w:r w:rsidRPr="002C5FB7">
        <w:rPr>
          <w:rFonts w:ascii="David" w:hAnsi="David"/>
          <w:b/>
          <w:bCs/>
          <w:color w:val="000000"/>
          <w:rtl/>
        </w:rPr>
        <w:t>ותד נ' מדינת ישראל</w:t>
      </w:r>
      <w:r w:rsidRPr="002C5FB7">
        <w:rPr>
          <w:rFonts w:ascii="David" w:hAnsi="David"/>
          <w:color w:val="000000"/>
          <w:rtl/>
        </w:rPr>
        <w:t xml:space="preserve"> [29.1.18]; </w:t>
      </w:r>
      <w:hyperlink r:id="rId28" w:history="1">
        <w:r w:rsidR="00C513ED" w:rsidRPr="00C513ED">
          <w:rPr>
            <w:rFonts w:ascii="David" w:hAnsi="David"/>
            <w:color w:val="0000FF"/>
            <w:u w:val="single"/>
            <w:rtl/>
          </w:rPr>
          <w:t>ע"פ 2519/14</w:t>
        </w:r>
      </w:hyperlink>
      <w:r w:rsidRPr="002C5FB7">
        <w:rPr>
          <w:rFonts w:ascii="David" w:hAnsi="David"/>
          <w:rtl/>
        </w:rPr>
        <w:t xml:space="preserve"> </w:t>
      </w:r>
      <w:r w:rsidRPr="002C5FB7">
        <w:rPr>
          <w:rFonts w:ascii="David" w:hAnsi="David"/>
          <w:b/>
          <w:bCs/>
          <w:rtl/>
        </w:rPr>
        <w:t>אבו קיעאן נ' מדינת ישראל</w:t>
      </w:r>
      <w:r w:rsidRPr="002C5FB7">
        <w:rPr>
          <w:rFonts w:ascii="David" w:hAnsi="David"/>
          <w:rtl/>
        </w:rPr>
        <w:t xml:space="preserve"> [29.12.14])</w:t>
      </w:r>
      <w:r w:rsidRPr="002C5FB7">
        <w:rPr>
          <w:rFonts w:ascii="David" w:hAnsi="David"/>
          <w:color w:val="000000"/>
          <w:rtl/>
        </w:rPr>
        <w:t xml:space="preserve">. </w:t>
      </w:r>
    </w:p>
    <w:p w14:paraId="276910CE" w14:textId="77777777" w:rsidR="002C5FB7" w:rsidRPr="002C5FB7" w:rsidRDefault="002C5FB7" w:rsidP="002C5FB7">
      <w:pPr>
        <w:numPr>
          <w:ilvl w:val="0"/>
          <w:numId w:val="4"/>
        </w:numPr>
        <w:spacing w:after="120" w:line="360" w:lineRule="auto"/>
        <w:jc w:val="both"/>
        <w:rPr>
          <w:rFonts w:ascii="David" w:hAnsi="David"/>
          <w:color w:val="000000"/>
        </w:rPr>
      </w:pPr>
      <w:r w:rsidRPr="002C5FB7">
        <w:rPr>
          <w:rFonts w:ascii="David" w:hAnsi="David"/>
          <w:color w:val="000000"/>
          <w:rtl/>
        </w:rPr>
        <w:t xml:space="preserve">בחינת </w:t>
      </w:r>
      <w:r w:rsidRPr="002C5FB7">
        <w:rPr>
          <w:rFonts w:ascii="David" w:hAnsi="David"/>
          <w:b/>
          <w:bCs/>
          <w:color w:val="000000"/>
          <w:rtl/>
        </w:rPr>
        <w:t xml:space="preserve">מידת הפגיעה בערך המוגן </w:t>
      </w:r>
      <w:r w:rsidRPr="002C5FB7">
        <w:rPr>
          <w:rFonts w:ascii="David" w:hAnsi="David"/>
          <w:color w:val="000000"/>
          <w:rtl/>
        </w:rPr>
        <w:t xml:space="preserve">מובילה למסקנה כי הפגיעה היא ברף בינוני-גבוה, הנאשם 1 רכש רובה סער מסוג </w:t>
      </w:r>
      <w:r w:rsidRPr="002C5FB7">
        <w:rPr>
          <w:rFonts w:ascii="David" w:hAnsi="David"/>
          <w:color w:val="000000"/>
        </w:rPr>
        <w:t>M16</w:t>
      </w:r>
      <w:r w:rsidRPr="002C5FB7">
        <w:rPr>
          <w:rFonts w:ascii="David" w:hAnsi="David"/>
          <w:color w:val="000000"/>
          <w:rtl/>
        </w:rPr>
        <w:t xml:space="preserve"> משטחי איו"ש והביאו לישראל, תוך שהנאשמים נשאו אותו ברכבם. בהקשר זה יש לתת את הדעת לכך שהנאשמים הורשעו בעבירה של נשיאת נשק, אשר העונש המרבי הקבוע בצידה הוא של 10 שנות מאסר, שהיא חמורה יותר מעבירה של החזקת נשק אשר העונש הקבוע בצידה הוא של 7 שנות מאסר, ואולם מדובר בעבירה קלה יותר מעבירה של סחר בנשק. הנאשם 1 הורשע אף בעבירה של רכישת נשק. עוד יש לתת את הדעת לכך שעסקינן בנשיאה של כלי נשק מסוג רובה, שהיא חמורה יותר מאשר עבירה בנשק מסוג אקדח, בשל פוטנציאל הנזק הרב יותר של רובה. העברת הנשק משטחי איו"ש לשטח מדינת ישראל מחמירה את הפגיעה בערך המוגן. </w:t>
      </w:r>
    </w:p>
    <w:p w14:paraId="04B67D5D" w14:textId="77777777" w:rsidR="002C5FB7" w:rsidRPr="002C5FB7" w:rsidRDefault="002C5FB7" w:rsidP="002C5FB7">
      <w:pPr>
        <w:spacing w:after="120" w:line="360" w:lineRule="auto"/>
        <w:ind w:left="720"/>
        <w:jc w:val="both"/>
        <w:rPr>
          <w:rFonts w:ascii="David" w:hAnsi="David"/>
          <w:color w:val="000000"/>
        </w:rPr>
      </w:pPr>
      <w:r w:rsidRPr="002C5FB7">
        <w:rPr>
          <w:rFonts w:ascii="David" w:hAnsi="David"/>
          <w:color w:val="000000"/>
          <w:rtl/>
        </w:rPr>
        <w:t>מידת הפגיעה בערך המוגן בעבירת מעשה פזיזות ורשלנות ברכב היא ברף בינוני. הנאשמים נמלטו מהשוטרים בנסיעה המהירה תוך שסיכנו את השוטר שאחז דרך חלון הרכב בחולצתו של הנאשם 1, זגזגו בין נתיבים, עלו על שולי הכביש ואף נצמדו לרכב משטרתי עד אשר נאלץ לפגוע במעקה הבטיחות כדי להימנע מתאונה. עם זאת, המרדף התקיים לאורך מספר מאות מטרים בלבד.</w:t>
      </w:r>
    </w:p>
    <w:p w14:paraId="67F41A0C" w14:textId="77777777" w:rsidR="002C5FB7" w:rsidRPr="002C5FB7" w:rsidRDefault="002C5FB7" w:rsidP="002C5FB7">
      <w:pPr>
        <w:numPr>
          <w:ilvl w:val="0"/>
          <w:numId w:val="4"/>
        </w:numPr>
        <w:spacing w:after="120" w:line="360" w:lineRule="auto"/>
        <w:jc w:val="both"/>
        <w:rPr>
          <w:color w:val="000000"/>
        </w:rPr>
      </w:pPr>
      <w:r w:rsidRPr="002C5FB7">
        <w:rPr>
          <w:rFonts w:ascii="David" w:hAnsi="David"/>
          <w:color w:val="000000"/>
          <w:rtl/>
        </w:rPr>
        <w:t xml:space="preserve">במסגרת </w:t>
      </w:r>
      <w:r w:rsidRPr="002C5FB7">
        <w:rPr>
          <w:rFonts w:ascii="David" w:hAnsi="David"/>
          <w:b/>
          <w:bCs/>
          <w:color w:val="000000"/>
          <w:rtl/>
        </w:rPr>
        <w:t xml:space="preserve">הנסיבות הקשורות בביצוע העבירה </w:t>
      </w:r>
      <w:r w:rsidRPr="002C5FB7">
        <w:rPr>
          <w:rFonts w:ascii="David" w:hAnsi="David"/>
          <w:color w:val="000000"/>
          <w:rtl/>
        </w:rPr>
        <w:t>(</w:t>
      </w:r>
      <w:hyperlink r:id="rId29" w:history="1">
        <w:r w:rsidR="007F4FE8" w:rsidRPr="007F4FE8">
          <w:rPr>
            <w:rStyle w:val="Hyperlink"/>
            <w:rFonts w:ascii="David" w:hAnsi="David"/>
            <w:rtl/>
          </w:rPr>
          <w:t>סעיף 40 ט</w:t>
        </w:r>
      </w:hyperlink>
      <w:r w:rsidRPr="002C5FB7">
        <w:rPr>
          <w:rFonts w:ascii="David" w:hAnsi="David"/>
          <w:color w:val="000000"/>
          <w:rtl/>
        </w:rPr>
        <w:t xml:space="preserve">' לחוק), יש לתת את הדעת </w:t>
      </w:r>
      <w:r w:rsidRPr="002C5FB7">
        <w:rPr>
          <w:color w:val="000000"/>
          <w:rtl/>
        </w:rPr>
        <w:t>לכך שלעבירה קדם תכנון. הנאשם 1 יצר קשר עם אחר לשם רכישת כלי הנשק, בהמשך לכך נסע לטול כרם עם הנאשם 2 שם נפגש עם האחר אשר הביא את כלי הנשק והנאשם 1 שילם חלק מהתמורה עבורו. בנוסף הנאשם 1 שילם לאדם אחר שיעביר את כלי הנשק דרך פרצה בגדר לשטח ישראל. חלקו היחסי של הנאשם 1 בביצוע העבירות רב יותר מחלקו היחסי של הנאשם 2. הנאשם 1 היה זה שרכש את כלי הנשק, נהג ברכב בו הנאשמים נשאו את הנשק וביצעו את עבירת מעשה פזיזות ורשלנות ברכב. הנזק הפוטנציאלי בעבירות נשק הוא רב וכולל פגיעה בגוף ובנפש. פוטנציאל הנזק קשור לחשש מפני הגעת הנשק לידי אחרים שעלולים לעשות בו שימוש במכוון או בשגגה. הנשק התקבל לידי הנאשמים כשהוא מפורק ובצדו מחסנית וכדור. יש לתת את הדעת לכך שמדובר בנשק אשר לפי חוות דעת מז"פ היה מלכתחילה רובה אוויר, ואשר הוסב לירי תחמושת בקליבר 5.56 מ"מ, והכיל מכלול וקנה תקניים של 16</w:t>
      </w:r>
      <w:r w:rsidRPr="002C5FB7">
        <w:rPr>
          <w:color w:val="000000"/>
        </w:rPr>
        <w:t>M</w:t>
      </w:r>
      <w:r w:rsidRPr="002C5FB7">
        <w:rPr>
          <w:color w:val="000000"/>
          <w:rtl/>
        </w:rPr>
        <w:t xml:space="preserve">. לא נעשה שימוש בנשק ולא נגרם נזק בפועל. הנזק הפוטנציאלי בעבירת הנהיגה בפזיזות וברשלנות </w:t>
      </w:r>
      <w:r w:rsidRPr="002C5FB7">
        <w:rPr>
          <w:rFonts w:ascii="David" w:hAnsi="David"/>
          <w:color w:val="000000"/>
          <w:rtl/>
        </w:rPr>
        <w:t xml:space="preserve">הוא רב וכולל סיכון משמעותי לפגיעה במשתמשי הדרך ובשוטרים שניסו לעצרם. </w:t>
      </w:r>
      <w:r w:rsidRPr="002C5FB7">
        <w:rPr>
          <w:color w:val="000000"/>
          <w:rtl/>
        </w:rPr>
        <w:t xml:space="preserve">הסיבה שהביאה את הנאשמים לביצוע עבירת הנשק היא בצע כסף. כפי שטענו ב"כ הנאשמים הדבר נעשה לשם קידום מצבה הכלכלי של המשפחה. עבירת מעשה פזיזות ורשלנות ברכב בוצעה על רקע רצונם של הנאשמים להימלט מהמשטרה.  </w:t>
      </w:r>
    </w:p>
    <w:p w14:paraId="1A982038" w14:textId="77777777" w:rsidR="002C5FB7" w:rsidRPr="002C5FB7" w:rsidRDefault="002C5FB7" w:rsidP="002C5FB7">
      <w:pPr>
        <w:numPr>
          <w:ilvl w:val="0"/>
          <w:numId w:val="4"/>
        </w:numPr>
        <w:spacing w:after="120" w:line="360" w:lineRule="auto"/>
        <w:jc w:val="both"/>
        <w:rPr>
          <w:rFonts w:ascii="David" w:hAnsi="David"/>
          <w:color w:val="000000"/>
        </w:rPr>
      </w:pPr>
      <w:r w:rsidRPr="002C5FB7">
        <w:rPr>
          <w:rFonts w:ascii="David" w:hAnsi="David"/>
          <w:color w:val="000000"/>
          <w:rtl/>
        </w:rPr>
        <w:t>בשלב בחינת מדיניות הענישה הנוהגת יש לתת את הדעת לדבריה של כב' השופטת ע' ברון ב</w:t>
      </w:r>
      <w:hyperlink r:id="rId30" w:history="1">
        <w:r w:rsidR="00C513ED" w:rsidRPr="00C513ED">
          <w:rPr>
            <w:rFonts w:ascii="David" w:hAnsi="David"/>
            <w:color w:val="0000FF"/>
            <w:u w:val="single"/>
            <w:rtl/>
          </w:rPr>
          <w:t>ע"פ 2564/19</w:t>
        </w:r>
      </w:hyperlink>
      <w:r w:rsidRPr="002C5FB7">
        <w:rPr>
          <w:rFonts w:ascii="David" w:hAnsi="David"/>
          <w:color w:val="000000"/>
          <w:rtl/>
        </w:rPr>
        <w:t xml:space="preserve"> </w:t>
      </w:r>
      <w:r w:rsidRPr="002C5FB7">
        <w:rPr>
          <w:rFonts w:ascii="David" w:hAnsi="David"/>
          <w:b/>
          <w:bCs/>
          <w:color w:val="000000"/>
          <w:rtl/>
        </w:rPr>
        <w:t>אזברגה נ' מדינת ישראל</w:t>
      </w:r>
      <w:r w:rsidRPr="002C5FB7">
        <w:rPr>
          <w:rFonts w:ascii="David" w:hAnsi="David"/>
          <w:color w:val="000000"/>
          <w:rtl/>
        </w:rPr>
        <w:t xml:space="preserve"> (18.07.19):</w:t>
      </w:r>
    </w:p>
    <w:p w14:paraId="5918C05C" w14:textId="77777777" w:rsidR="002C5FB7" w:rsidRPr="002C5FB7" w:rsidRDefault="002C5FB7" w:rsidP="002C5FB7">
      <w:pPr>
        <w:spacing w:after="120" w:line="360" w:lineRule="auto"/>
        <w:ind w:left="991" w:right="709"/>
        <w:jc w:val="both"/>
        <w:rPr>
          <w:rFonts w:ascii="David" w:hAnsi="David"/>
          <w:color w:val="000000"/>
          <w:rtl/>
        </w:rPr>
      </w:pPr>
      <w:r w:rsidRPr="002C5FB7">
        <w:rPr>
          <w:rFonts w:ascii="David" w:hAnsi="David"/>
          <w:color w:val="000000"/>
          <w:rtl/>
        </w:rPr>
        <w:t>"בית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w:t>
      </w:r>
    </w:p>
    <w:p w14:paraId="25987638" w14:textId="77777777" w:rsidR="002C5FB7" w:rsidRPr="002C5FB7" w:rsidRDefault="002C5FB7" w:rsidP="002C5FB7">
      <w:pPr>
        <w:numPr>
          <w:ilvl w:val="0"/>
          <w:numId w:val="4"/>
        </w:numPr>
        <w:spacing w:after="120" w:line="360" w:lineRule="auto"/>
        <w:jc w:val="both"/>
        <w:rPr>
          <w:rFonts w:ascii="David" w:hAnsi="David"/>
          <w:color w:val="000000"/>
        </w:rPr>
      </w:pPr>
      <w:r w:rsidRPr="002C5FB7">
        <w:rPr>
          <w:rFonts w:ascii="David" w:hAnsi="David"/>
          <w:color w:val="000000"/>
          <w:rtl/>
        </w:rPr>
        <w:t xml:space="preserve">בחינת </w:t>
      </w:r>
      <w:r w:rsidRPr="002C5FB7">
        <w:rPr>
          <w:rFonts w:ascii="David" w:hAnsi="David"/>
          <w:b/>
          <w:bCs/>
          <w:color w:val="000000"/>
          <w:rtl/>
        </w:rPr>
        <w:t>מדיניות הענישה הנוהגת</w:t>
      </w:r>
      <w:r w:rsidRPr="002C5FB7">
        <w:rPr>
          <w:rFonts w:ascii="David" w:hAnsi="David"/>
          <w:color w:val="000000"/>
          <w:rtl/>
        </w:rPr>
        <w:t xml:space="preserve"> מעלה כי במקרים דומים הוטלו על נאשמים עונשי מאסר במנעד רחב כמפורט להלן:</w:t>
      </w:r>
    </w:p>
    <w:p w14:paraId="64FC124A" w14:textId="77777777" w:rsidR="002C5FB7" w:rsidRPr="002C5FB7" w:rsidRDefault="002C5FB7" w:rsidP="002C5FB7">
      <w:pPr>
        <w:numPr>
          <w:ilvl w:val="1"/>
          <w:numId w:val="4"/>
        </w:numPr>
        <w:tabs>
          <w:tab w:val="clear" w:pos="1620"/>
          <w:tab w:val="num" w:pos="1286"/>
          <w:tab w:val="num" w:pos="1740"/>
        </w:tabs>
        <w:spacing w:after="120" w:line="360" w:lineRule="auto"/>
        <w:ind w:left="1286" w:hanging="540"/>
        <w:jc w:val="both"/>
        <w:rPr>
          <w:rFonts w:ascii="David" w:hAnsi="David"/>
        </w:rPr>
      </w:pPr>
      <w:r w:rsidRPr="002C5FB7">
        <w:rPr>
          <w:rFonts w:ascii="David" w:hAnsi="David"/>
          <w:rtl/>
        </w:rPr>
        <w:t>ב</w:t>
      </w:r>
      <w:hyperlink r:id="rId31" w:history="1">
        <w:r w:rsidR="00C513ED" w:rsidRPr="00C513ED">
          <w:rPr>
            <w:rFonts w:ascii="David" w:hAnsi="David"/>
            <w:color w:val="0000FF"/>
            <w:u w:val="single"/>
            <w:rtl/>
          </w:rPr>
          <w:t>ע"פ 4530/19</w:t>
        </w:r>
      </w:hyperlink>
      <w:r w:rsidRPr="002C5FB7">
        <w:rPr>
          <w:rFonts w:ascii="David" w:hAnsi="David"/>
          <w:rtl/>
        </w:rPr>
        <w:t xml:space="preserve"> </w:t>
      </w:r>
      <w:r w:rsidRPr="002C5FB7">
        <w:rPr>
          <w:rFonts w:ascii="David" w:hAnsi="David"/>
          <w:b/>
          <w:bCs/>
          <w:rtl/>
        </w:rPr>
        <w:t>ג'זאווי נ' מדינת ישראל</w:t>
      </w:r>
      <w:r w:rsidRPr="002C5FB7">
        <w:rPr>
          <w:rFonts w:ascii="David" w:hAnsi="David"/>
          <w:rtl/>
        </w:rPr>
        <w:t xml:space="preserve"> (11.8.19) נדחה ערעורו של נאשם אשר הורשע על-פי הודאתו בעבירה של נשיאת נשק שלא כדין, נשיאת אביזר לנשק, פריצה לרכב בכוונה לבצע גניבה וגניבה מרכב. הנאשם פרץ לרכב וגנב ממנו נשק מסוג </w:t>
      </w:r>
      <w:r w:rsidRPr="002C5FB7">
        <w:rPr>
          <w:rFonts w:ascii="David" w:hAnsi="David"/>
        </w:rPr>
        <w:t>M16</w:t>
      </w:r>
      <w:r w:rsidRPr="002C5FB7">
        <w:rPr>
          <w:rFonts w:ascii="David" w:hAnsi="David"/>
          <w:rtl/>
        </w:rPr>
        <w:t xml:space="preserve"> מקוצר ונסע עמו לאזור מזרח ירושלים. נאשם ללא עבר פלילי. הנשק לא הושב. נקבע מתחם שנע בין</w:t>
      </w:r>
      <w:r w:rsidRPr="002C5FB7">
        <w:rPr>
          <w:rFonts w:ascii="David" w:hAnsi="David"/>
          <w:b/>
          <w:bCs/>
          <w:rtl/>
        </w:rPr>
        <w:t xml:space="preserve"> 26 ל-52 חודשי מאסר בפועל</w:t>
      </w:r>
      <w:r w:rsidRPr="002C5FB7">
        <w:rPr>
          <w:rFonts w:ascii="David" w:hAnsi="David"/>
          <w:rtl/>
        </w:rPr>
        <w:t>, והנאשם נדון ל-</w:t>
      </w:r>
      <w:r w:rsidRPr="002C5FB7">
        <w:rPr>
          <w:rFonts w:ascii="David" w:hAnsi="David"/>
          <w:b/>
          <w:bCs/>
          <w:rtl/>
        </w:rPr>
        <w:t>32 חודשי מאסר בפועל</w:t>
      </w:r>
      <w:r w:rsidRPr="002C5FB7">
        <w:rPr>
          <w:rFonts w:ascii="David" w:hAnsi="David"/>
          <w:rtl/>
        </w:rPr>
        <w:t xml:space="preserve">. </w:t>
      </w:r>
    </w:p>
    <w:p w14:paraId="355699D1" w14:textId="77777777" w:rsidR="002C5FB7" w:rsidRPr="002C5FB7" w:rsidRDefault="002C5FB7" w:rsidP="002C5FB7">
      <w:pPr>
        <w:numPr>
          <w:ilvl w:val="1"/>
          <w:numId w:val="4"/>
        </w:numPr>
        <w:tabs>
          <w:tab w:val="clear" w:pos="1620"/>
          <w:tab w:val="num" w:pos="1286"/>
          <w:tab w:val="num" w:pos="1740"/>
        </w:tabs>
        <w:spacing w:after="120" w:line="360" w:lineRule="auto"/>
        <w:ind w:left="1286" w:hanging="540"/>
        <w:jc w:val="both"/>
        <w:rPr>
          <w:rFonts w:ascii="David" w:hAnsi="David"/>
        </w:rPr>
      </w:pPr>
      <w:r w:rsidRPr="002C5FB7">
        <w:rPr>
          <w:rFonts w:ascii="David" w:hAnsi="David"/>
          <w:rtl/>
        </w:rPr>
        <w:t>ב</w:t>
      </w:r>
      <w:hyperlink r:id="rId32" w:history="1">
        <w:r w:rsidR="00C513ED" w:rsidRPr="00C513ED">
          <w:rPr>
            <w:rFonts w:ascii="David" w:hAnsi="David"/>
            <w:color w:val="0000FF"/>
            <w:u w:val="single"/>
            <w:rtl/>
          </w:rPr>
          <w:t>ע"פ 6347/17</w:t>
        </w:r>
      </w:hyperlink>
      <w:r w:rsidRPr="002C5FB7">
        <w:rPr>
          <w:rFonts w:ascii="David" w:hAnsi="David"/>
          <w:rtl/>
        </w:rPr>
        <w:t xml:space="preserve"> </w:t>
      </w:r>
      <w:r w:rsidRPr="002C5FB7">
        <w:rPr>
          <w:rFonts w:ascii="David" w:hAnsi="David"/>
          <w:b/>
          <w:bCs/>
          <w:rtl/>
        </w:rPr>
        <w:t>מגאהד נ' מדינת ישראל</w:t>
      </w:r>
      <w:r w:rsidRPr="002C5FB7">
        <w:rPr>
          <w:rFonts w:ascii="David" w:hAnsi="David"/>
          <w:rtl/>
        </w:rPr>
        <w:t xml:space="preserve"> (2.1.18), נדחה ערעור נאשם אשר הורשע על פי הודאתו בעבירות של קשירת קשר לביצוע פשע והובלת נשק ואביזר לנשק. הנאשם קשר עם אחר להעברת נשק מהעיר שכם לשטחי מדינת ישראל בתמורה כספית. במסגרת הקשר, הגיע הנאשם ברכב למחסום בצומת תפוח, ובבדיקה נתפס רובה סער דמוי </w:t>
      </w:r>
      <w:r w:rsidRPr="002C5FB7">
        <w:rPr>
          <w:rFonts w:ascii="David" w:hAnsi="David"/>
        </w:rPr>
        <w:t>M-4</w:t>
      </w:r>
      <w:r w:rsidRPr="002C5FB7">
        <w:rPr>
          <w:rFonts w:ascii="David" w:hAnsi="David"/>
          <w:rtl/>
        </w:rPr>
        <w:t xml:space="preserve"> וכדורים. בית המשפט המחוזי קבע </w:t>
      </w:r>
      <w:r w:rsidRPr="002C5FB7">
        <w:rPr>
          <w:rFonts w:ascii="David" w:hAnsi="David"/>
          <w:b/>
          <w:bCs/>
          <w:rtl/>
        </w:rPr>
        <w:t>מתחם עונש הנע בין 20 ל-40 חודשי מאסר</w:t>
      </w:r>
      <w:r w:rsidRPr="002C5FB7">
        <w:rPr>
          <w:rFonts w:ascii="David" w:hAnsi="David"/>
          <w:rtl/>
        </w:rPr>
        <w:t>. הנאשם בעל עבר פלילי לא מכביד נדון לעונש של</w:t>
      </w:r>
      <w:r w:rsidRPr="002C5FB7">
        <w:rPr>
          <w:rFonts w:ascii="David" w:hAnsi="David"/>
          <w:b/>
          <w:bCs/>
          <w:rtl/>
        </w:rPr>
        <w:t xml:space="preserve"> 28 חודשי מאסר בפועל</w:t>
      </w:r>
      <w:r w:rsidRPr="002C5FB7">
        <w:rPr>
          <w:rFonts w:ascii="David" w:hAnsi="David"/>
          <w:rtl/>
        </w:rPr>
        <w:t xml:space="preserve"> לצד ענישה נלווית. בית המשפט העליון הפנה לחומרת העבירה ודחה את הערעור. </w:t>
      </w:r>
    </w:p>
    <w:p w14:paraId="5657C735" w14:textId="77777777" w:rsidR="002C5FB7" w:rsidRPr="002C5FB7" w:rsidRDefault="002C5FB7" w:rsidP="002C5FB7">
      <w:pPr>
        <w:numPr>
          <w:ilvl w:val="1"/>
          <w:numId w:val="4"/>
        </w:numPr>
        <w:tabs>
          <w:tab w:val="clear" w:pos="1620"/>
          <w:tab w:val="num" w:pos="1286"/>
          <w:tab w:val="num" w:pos="1740"/>
        </w:tabs>
        <w:spacing w:after="120" w:line="360" w:lineRule="auto"/>
        <w:ind w:left="1286" w:hanging="540"/>
        <w:jc w:val="both"/>
        <w:rPr>
          <w:rFonts w:ascii="David" w:hAnsi="David"/>
        </w:rPr>
      </w:pPr>
      <w:r w:rsidRPr="002C5FB7">
        <w:rPr>
          <w:rFonts w:ascii="David" w:hAnsi="David"/>
          <w:rtl/>
        </w:rPr>
        <w:t>ב</w:t>
      </w:r>
      <w:hyperlink r:id="rId33" w:history="1">
        <w:r w:rsidR="00C513ED" w:rsidRPr="00C513ED">
          <w:rPr>
            <w:rFonts w:ascii="David" w:hAnsi="David"/>
            <w:color w:val="0000FF"/>
            <w:u w:val="single"/>
            <w:rtl/>
          </w:rPr>
          <w:t>ע"פ 3336/18</w:t>
        </w:r>
      </w:hyperlink>
      <w:r w:rsidRPr="002C5FB7">
        <w:rPr>
          <w:rFonts w:ascii="David" w:hAnsi="David"/>
          <w:rtl/>
        </w:rPr>
        <w:t xml:space="preserve"> </w:t>
      </w:r>
      <w:r w:rsidRPr="002C5FB7">
        <w:rPr>
          <w:rFonts w:ascii="David" w:hAnsi="David"/>
          <w:b/>
          <w:bCs/>
          <w:rtl/>
        </w:rPr>
        <w:t>מדינת ישראל נ' סמארה</w:t>
      </w:r>
      <w:r w:rsidRPr="002C5FB7">
        <w:rPr>
          <w:rFonts w:ascii="David" w:hAnsi="David"/>
          <w:rtl/>
        </w:rPr>
        <w:t xml:space="preserve"> (29.11.18), בית המשפט העליון קיבל את ערעור המדינה והחמיר את עונשו של נאשם אשר הורשע על פי הודאתו בעבירה של נשיאת נשק ותחמושת. הנאשם נשא ברכבו שני רובי קרל גוסטב מאולתרים, מחסניות וכדורים. שוטרים נסעו אחרי רכב הנאשם וכרזו לו לעצור ובעקבות כך הנאשם החל בנסיעה מהירה וכשהגיע לדרך ללא מוצא – נעצר. נקבע </w:t>
      </w:r>
      <w:r w:rsidRPr="002C5FB7">
        <w:rPr>
          <w:rFonts w:ascii="David" w:hAnsi="David"/>
          <w:b/>
          <w:bCs/>
          <w:rtl/>
        </w:rPr>
        <w:t>מתחם עונש הנע בין 16 ל-40 חודשי מאסר בפועל</w:t>
      </w:r>
      <w:r w:rsidRPr="002C5FB7">
        <w:rPr>
          <w:rFonts w:ascii="David" w:hAnsi="David"/>
          <w:rtl/>
        </w:rPr>
        <w:t xml:space="preserve">. הנאשם בעל עבר פלילי ישן נדון לעונש של 18 חודשי מאסר בפועל. </w:t>
      </w:r>
      <w:r w:rsidRPr="002C5FB7">
        <w:rPr>
          <w:rtl/>
        </w:rPr>
        <w:t xml:space="preserve">בית המשפט העליון קבע כי אמנם הנאשם שיקם את חייו בצורה טובה, אולם מדובר בעבירות חמורות, והעמיד את העונש על </w:t>
      </w:r>
      <w:r w:rsidRPr="002C5FB7">
        <w:rPr>
          <w:b/>
          <w:bCs/>
          <w:rtl/>
        </w:rPr>
        <w:t>24 חודשי מאסר בפועל</w:t>
      </w:r>
      <w:r w:rsidRPr="002C5FB7">
        <w:rPr>
          <w:rtl/>
        </w:rPr>
        <w:t xml:space="preserve"> (חלף 18 חודשים).</w:t>
      </w:r>
    </w:p>
    <w:p w14:paraId="008225C2" w14:textId="77777777" w:rsidR="002C5FB7" w:rsidRPr="002C5FB7" w:rsidRDefault="002C5FB7" w:rsidP="002C5FB7">
      <w:pPr>
        <w:numPr>
          <w:ilvl w:val="1"/>
          <w:numId w:val="4"/>
        </w:numPr>
        <w:tabs>
          <w:tab w:val="clear" w:pos="1620"/>
          <w:tab w:val="num" w:pos="1286"/>
        </w:tabs>
        <w:spacing w:after="120" w:line="360" w:lineRule="auto"/>
        <w:ind w:left="1286" w:hanging="540"/>
        <w:jc w:val="both"/>
        <w:rPr>
          <w:rFonts w:ascii="David" w:hAnsi="David"/>
        </w:rPr>
      </w:pPr>
      <w:r w:rsidRPr="002C5FB7">
        <w:rPr>
          <w:rFonts w:ascii="David" w:hAnsi="David"/>
          <w:b/>
          <w:rtl/>
        </w:rPr>
        <w:t>ב</w:t>
      </w:r>
      <w:hyperlink r:id="rId34" w:history="1">
        <w:r w:rsidR="00C513ED" w:rsidRPr="00C513ED">
          <w:rPr>
            <w:rFonts w:ascii="David" w:hAnsi="David"/>
            <w:b/>
            <w:color w:val="0000FF"/>
            <w:u w:val="single"/>
            <w:rtl/>
          </w:rPr>
          <w:t>ע"פ 3156/11</w:t>
        </w:r>
      </w:hyperlink>
      <w:r w:rsidRPr="002C5FB7">
        <w:rPr>
          <w:rFonts w:ascii="David" w:hAnsi="David"/>
          <w:bCs/>
          <w:rtl/>
        </w:rPr>
        <w:t xml:space="preserve"> זראיעה נ' מדינת ישראל</w:t>
      </w:r>
      <w:r w:rsidRPr="002C5FB7">
        <w:rPr>
          <w:rFonts w:ascii="David" w:hAnsi="David"/>
          <w:rtl/>
        </w:rPr>
        <w:t xml:space="preserve"> (21.2.12), נדחה ערעורו של נאשם אשר הורשע בעבירות של נשיאה והובלת נשק והסתייעות ברכב לביצוע פשע. הנאשם נסע ברכבו, לאחר שהסליק בו אקדח, מחסנית טעונה בכדורי אקדח בקוטר 9 מ"מ וקופסאות עם כדורי אקדח בקוטר 9 מ"מ. האקדח והתחמושת נתפסו בחיפוש שגרתי שביצעה המשטרה ברכב. הנאשם מנהל אורח חיים נורמטיבי, אב ל-4 ילדים ומפרנס יחיד במשפחתו, נידון ל-</w:t>
      </w:r>
      <w:r w:rsidRPr="002C5FB7">
        <w:rPr>
          <w:rFonts w:ascii="David" w:hAnsi="David"/>
          <w:b/>
          <w:bCs/>
          <w:rtl/>
        </w:rPr>
        <w:t>24 חודשי מאסר בפועל</w:t>
      </w:r>
      <w:r w:rsidRPr="002C5FB7">
        <w:rPr>
          <w:rFonts w:ascii="David" w:hAnsi="David"/>
          <w:rtl/>
        </w:rPr>
        <w:t xml:space="preserve">. </w:t>
      </w:r>
    </w:p>
    <w:p w14:paraId="1BEF2D5D" w14:textId="77777777" w:rsidR="002C5FB7" w:rsidRPr="002C5FB7" w:rsidRDefault="002C5FB7" w:rsidP="002C5FB7">
      <w:pPr>
        <w:numPr>
          <w:ilvl w:val="1"/>
          <w:numId w:val="4"/>
        </w:numPr>
        <w:tabs>
          <w:tab w:val="clear" w:pos="1620"/>
          <w:tab w:val="num" w:pos="1286"/>
          <w:tab w:val="num" w:pos="1740"/>
        </w:tabs>
        <w:spacing w:after="120" w:line="360" w:lineRule="auto"/>
        <w:ind w:left="1286" w:hanging="540"/>
        <w:jc w:val="both"/>
        <w:rPr>
          <w:rFonts w:ascii="David" w:hAnsi="David"/>
        </w:rPr>
      </w:pPr>
      <w:r w:rsidRPr="002C5FB7">
        <w:rPr>
          <w:rFonts w:ascii="David" w:hAnsi="David"/>
          <w:rtl/>
        </w:rPr>
        <w:t>ב</w:t>
      </w:r>
      <w:hyperlink r:id="rId35" w:history="1">
        <w:r w:rsidR="00C513ED" w:rsidRPr="00C513ED">
          <w:rPr>
            <w:rFonts w:ascii="David" w:hAnsi="David"/>
            <w:color w:val="0000FF"/>
            <w:u w:val="single"/>
            <w:rtl/>
          </w:rPr>
          <w:t>ע"פ 3632/14</w:t>
        </w:r>
      </w:hyperlink>
      <w:r w:rsidRPr="002C5FB7">
        <w:rPr>
          <w:rFonts w:ascii="David" w:hAnsi="David"/>
          <w:rtl/>
        </w:rPr>
        <w:t xml:space="preserve"> </w:t>
      </w:r>
      <w:r w:rsidRPr="002C5FB7">
        <w:rPr>
          <w:rFonts w:ascii="David" w:hAnsi="David"/>
          <w:b/>
          <w:bCs/>
          <w:rtl/>
        </w:rPr>
        <w:t>אבו סבית נ' מדינת ישראל</w:t>
      </w:r>
      <w:r w:rsidRPr="002C5FB7">
        <w:rPr>
          <w:rFonts w:ascii="David" w:hAnsi="David"/>
          <w:rtl/>
        </w:rPr>
        <w:t xml:space="preserve"> (8.12.14), נדחה ערעורו של נאשם אשר הורשע בעבירה של החזקת נשק. הנאשם נשא ברכבו תיק ובו תת מקלע מאולתר ובו מחסנית וכדור בקנה, לאחר שקיבל את התיק עם הנשק מאחר, וכאשר לנאשם לא הייתה ידיעה בדבר הימצאות המחסנית והכדור. לאחר שהרכב נחסם על ידי ניידת משטרה, הנאשם נמלט מהרכב עם התיק. בית המשפט המחוזי קבע מתחם עונש שבין </w:t>
      </w:r>
      <w:r w:rsidRPr="002C5FB7">
        <w:rPr>
          <w:rFonts w:ascii="David" w:hAnsi="David"/>
          <w:b/>
          <w:bCs/>
          <w:rtl/>
        </w:rPr>
        <w:t>שנה לשלוש שנות מאסר בפועל</w:t>
      </w:r>
      <w:r w:rsidRPr="002C5FB7">
        <w:rPr>
          <w:rFonts w:ascii="David" w:hAnsi="David"/>
          <w:rtl/>
        </w:rPr>
        <w:t>. הנאשם צעיר, נעדר עבר פלילי, נידון ל-</w:t>
      </w:r>
      <w:r w:rsidRPr="002C5FB7">
        <w:rPr>
          <w:rFonts w:ascii="David" w:hAnsi="David"/>
          <w:b/>
          <w:bCs/>
          <w:rtl/>
        </w:rPr>
        <w:t>18 חודשי מאסר בפועל</w:t>
      </w:r>
      <w:r w:rsidRPr="002C5FB7">
        <w:rPr>
          <w:rFonts w:ascii="David" w:hAnsi="David"/>
          <w:rtl/>
        </w:rPr>
        <w:t xml:space="preserve">. </w:t>
      </w:r>
    </w:p>
    <w:p w14:paraId="41AC10DE" w14:textId="77777777" w:rsidR="002C5FB7" w:rsidRPr="002C5FB7" w:rsidRDefault="002C5FB7" w:rsidP="002C5FB7">
      <w:pPr>
        <w:numPr>
          <w:ilvl w:val="1"/>
          <w:numId w:val="4"/>
        </w:numPr>
        <w:tabs>
          <w:tab w:val="clear" w:pos="1620"/>
          <w:tab w:val="num" w:pos="1274"/>
        </w:tabs>
        <w:spacing w:after="120" w:line="360" w:lineRule="auto"/>
        <w:ind w:left="1274" w:hanging="567"/>
        <w:jc w:val="both"/>
      </w:pPr>
      <w:r w:rsidRPr="002C5FB7">
        <w:rPr>
          <w:rtl/>
        </w:rPr>
        <w:t>ב</w:t>
      </w:r>
      <w:hyperlink r:id="rId36" w:history="1">
        <w:r w:rsidR="00C513ED" w:rsidRPr="00C513ED">
          <w:rPr>
            <w:color w:val="0000FF"/>
            <w:u w:val="single"/>
            <w:rtl/>
          </w:rPr>
          <w:t>ע"פ 9702/16</w:t>
        </w:r>
      </w:hyperlink>
      <w:r w:rsidRPr="002C5FB7">
        <w:rPr>
          <w:rtl/>
        </w:rPr>
        <w:t xml:space="preserve"> </w:t>
      </w:r>
      <w:r w:rsidRPr="002C5FB7">
        <w:rPr>
          <w:b/>
          <w:bCs/>
          <w:rtl/>
        </w:rPr>
        <w:t>אבו אלוליאיה נ' מדינת ישראל</w:t>
      </w:r>
      <w:r w:rsidRPr="002C5FB7">
        <w:rPr>
          <w:rtl/>
        </w:rPr>
        <w:t xml:space="preserve"> (13.9.17) נדחה, ברוב דעות, ערעורו של נאשם שהורשע בעבירה של נשיאת והובלת נשק ותחמושת. הנאשם הבחין באדם זורק תיק בצד הדרך, כאשר חזר וניגש לתיק הבחין כי בתוכו תת מקלע מאולתר, שתי מחסניות וקופסת כדורים. הנאשם נטל עמו את התיק והחביא אותו אצלו במשך חצי שנה. הנאשם מנהל אורח חיים נורמטיבי. בית המשפט המחוזי קבע מתחם שבין 14 ל-36 חודשי מאסר בפועל. בית-המשפט העליון, בדעת הרוב קבע כי גם אם היה ניתן להעמיד את המתחם על 10-30 חודשי מאסר בפועל, אין להתערב בעונש. הנאשם נדון</w:t>
      </w:r>
      <w:r w:rsidRPr="002C5FB7">
        <w:rPr>
          <w:b/>
          <w:bCs/>
          <w:rtl/>
        </w:rPr>
        <w:t xml:space="preserve"> ל-18 חודשי מאסר בפועל</w:t>
      </w:r>
      <w:r w:rsidRPr="002C5FB7">
        <w:rPr>
          <w:rtl/>
        </w:rPr>
        <w:t xml:space="preserve">. </w:t>
      </w:r>
    </w:p>
    <w:p w14:paraId="010FEFF4" w14:textId="77777777" w:rsidR="002C5FB7" w:rsidRPr="002C5FB7" w:rsidRDefault="002C5FB7" w:rsidP="002C5FB7">
      <w:pPr>
        <w:numPr>
          <w:ilvl w:val="1"/>
          <w:numId w:val="4"/>
        </w:numPr>
        <w:tabs>
          <w:tab w:val="clear" w:pos="1620"/>
          <w:tab w:val="num" w:pos="1274"/>
        </w:tabs>
        <w:spacing w:after="120" w:line="360" w:lineRule="auto"/>
        <w:ind w:left="1274" w:hanging="567"/>
        <w:jc w:val="both"/>
        <w:rPr>
          <w:b/>
          <w:bCs/>
        </w:rPr>
      </w:pPr>
      <w:r w:rsidRPr="002C5FB7">
        <w:rPr>
          <w:rtl/>
        </w:rPr>
        <w:t>ב</w:t>
      </w:r>
      <w:hyperlink r:id="rId37" w:history="1">
        <w:r w:rsidR="00C513ED" w:rsidRPr="00C513ED">
          <w:rPr>
            <w:color w:val="0000FF"/>
            <w:u w:val="single"/>
            <w:rtl/>
          </w:rPr>
          <w:t>ע"פ 4345/18</w:t>
        </w:r>
      </w:hyperlink>
      <w:r w:rsidRPr="002C5FB7">
        <w:rPr>
          <w:rtl/>
        </w:rPr>
        <w:t xml:space="preserve"> </w:t>
      </w:r>
      <w:r w:rsidRPr="002C5FB7">
        <w:rPr>
          <w:b/>
          <w:bCs/>
          <w:rtl/>
        </w:rPr>
        <w:t>אבו עמאר נ' מדינת ישראל</w:t>
      </w:r>
      <w:r w:rsidRPr="002C5FB7">
        <w:rPr>
          <w:rtl/>
        </w:rPr>
        <w:t xml:space="preserve"> (29.11.18) קיבל בית המשפט העליון ערעורו של נאשם אשר הורשע על פי הודאתו בעברות של נשיאת נשק ותחמושת, ונהיגה בקלות ראש. הנאשם מצא נשק מאולתר מסוג קרל גוסטב טעון במחסנית וכדורים. באותו היום, נשא הנאשם את הנשק והובילו בתא הכפפות ברכבו, כשהוא נוהג במהירות ובחוסר זהירות. בית המשפט קבע </w:t>
      </w:r>
      <w:r w:rsidRPr="002C5FB7">
        <w:rPr>
          <w:b/>
          <w:bCs/>
          <w:rtl/>
        </w:rPr>
        <w:t>מתחם עונש הנע בין 20 ל-48 חודשי מאסר</w:t>
      </w:r>
      <w:r w:rsidRPr="002C5FB7">
        <w:rPr>
          <w:rtl/>
        </w:rPr>
        <w:t xml:space="preserve">. הנאשם צעיר ללא עבר פלילי, שולב בטיפול שירות המבחן וניתנה המלצה שיקומית בעניינו. הנאשם נדון לעונש של 20 חודשי מאסר בפועל. בית המשפט העליון קבע שיש מקום לחרוג ממתחם העונש משיקולי שיקום והעמיד את עונשו על </w:t>
      </w:r>
      <w:r w:rsidRPr="002C5FB7">
        <w:rPr>
          <w:b/>
          <w:bCs/>
          <w:rtl/>
        </w:rPr>
        <w:t xml:space="preserve">17 חודשי מאסר בפועל. </w:t>
      </w:r>
    </w:p>
    <w:p w14:paraId="5B751099" w14:textId="77777777" w:rsidR="002C5FB7" w:rsidRPr="002C5FB7" w:rsidRDefault="002C5FB7" w:rsidP="002C5FB7">
      <w:pPr>
        <w:numPr>
          <w:ilvl w:val="1"/>
          <w:numId w:val="4"/>
        </w:numPr>
        <w:tabs>
          <w:tab w:val="clear" w:pos="1620"/>
          <w:tab w:val="num" w:pos="1286"/>
        </w:tabs>
        <w:spacing w:after="120" w:line="360" w:lineRule="auto"/>
        <w:ind w:left="1286" w:hanging="540"/>
        <w:jc w:val="both"/>
      </w:pPr>
      <w:r w:rsidRPr="002C5FB7">
        <w:rPr>
          <w:rtl/>
        </w:rPr>
        <w:t>ב</w:t>
      </w:r>
      <w:hyperlink r:id="rId38" w:history="1">
        <w:r w:rsidR="00C513ED" w:rsidRPr="00C513ED">
          <w:rPr>
            <w:color w:val="0000FF"/>
            <w:u w:val="single"/>
            <w:rtl/>
          </w:rPr>
          <w:t>ע"פ 4945/13</w:t>
        </w:r>
      </w:hyperlink>
      <w:r w:rsidRPr="002C5FB7">
        <w:rPr>
          <w:rtl/>
        </w:rPr>
        <w:t xml:space="preserve"> </w:t>
      </w:r>
      <w:r w:rsidRPr="002C5FB7">
        <w:rPr>
          <w:b/>
          <w:bCs/>
          <w:rtl/>
        </w:rPr>
        <w:t>מדינת ישראל נ' סלימאן</w:t>
      </w:r>
      <w:r w:rsidRPr="002C5FB7">
        <w:rPr>
          <w:rtl/>
        </w:rPr>
        <w:t xml:space="preserve"> (19.1.14), דחה בית המשפט העליון את ערעור המדינה בעניינו של נאשם אשר הורשע לאחר ניהול הוכחות, בעבירות של רכישה והחזקת נשק ותחמושת, נשיאה והובלת נשק ותחמושת הפרעה לשוטר במילוי תפקידו ומעשה פזיזות ורשלנות ברכב. הנאשם רכש מאחר נשק מסוג קרל גוסטב, מחסנית וכדורים, בהמשך לכך הגיע לחורשה ירה ירייה אחת באוויר והטמין את הנשק במקום מסתור. בהמשך נהג ברכב בעודו נושא את הנשק בתא המטען. כשהבחין בשוטרים מסיירים באזור, נמלט מהמקום. הנאשם פעל על רקע חשש לביטחונו ולא משיקולים עברייניים. בית המשפט המחוזי קבע מתחם עונש הנע בין עבודות שירות ועד ל-20 חודשי מאסר. הנאשם צעיר, נורמטיבי ללא עבר פלילי, וניתנה בעניינו המלצה שיקומית. הנאשם נדון לעונש של 6 חודשי עבודות שירות תוך חריגה ממתחם העונש משיקולי שיקום. </w:t>
      </w:r>
      <w:r w:rsidRPr="002C5FB7">
        <w:rPr>
          <w:b/>
          <w:bCs/>
          <w:rtl/>
        </w:rPr>
        <w:t>בית המשפט העליון קבע שמתחם העונש ההולם נע בין 12 ל-36 חודשי מאסר בפועל</w:t>
      </w:r>
      <w:r w:rsidRPr="002C5FB7">
        <w:rPr>
          <w:rtl/>
        </w:rPr>
        <w:t xml:space="preserve"> ולא להתערב בעונש בשל שיקולי שיקום. </w:t>
      </w:r>
    </w:p>
    <w:p w14:paraId="350A96D3" w14:textId="77777777" w:rsidR="002C5FB7" w:rsidRPr="002C5FB7" w:rsidRDefault="002C5FB7" w:rsidP="002C5FB7">
      <w:pPr>
        <w:numPr>
          <w:ilvl w:val="1"/>
          <w:numId w:val="4"/>
        </w:numPr>
        <w:tabs>
          <w:tab w:val="clear" w:pos="1620"/>
          <w:tab w:val="num" w:pos="1286"/>
        </w:tabs>
        <w:spacing w:after="120" w:line="360" w:lineRule="auto"/>
        <w:ind w:left="1286" w:hanging="540"/>
        <w:jc w:val="both"/>
      </w:pPr>
      <w:r w:rsidRPr="002C5FB7">
        <w:rPr>
          <w:rtl/>
        </w:rPr>
        <w:t>ב</w:t>
      </w:r>
      <w:hyperlink r:id="rId39" w:history="1">
        <w:r w:rsidR="00C513ED" w:rsidRPr="00C513ED">
          <w:rPr>
            <w:color w:val="0000FF"/>
            <w:u w:val="single"/>
            <w:rtl/>
          </w:rPr>
          <w:t>ת"פ (מח' מר') 47284-06-18</w:t>
        </w:r>
      </w:hyperlink>
      <w:r w:rsidRPr="002C5FB7">
        <w:rPr>
          <w:rtl/>
        </w:rPr>
        <w:t xml:space="preserve"> </w:t>
      </w:r>
      <w:r w:rsidRPr="002C5FB7">
        <w:rPr>
          <w:b/>
          <w:bCs/>
          <w:rtl/>
        </w:rPr>
        <w:t>מדינת ישראל נ' חסונה</w:t>
      </w:r>
      <w:r w:rsidRPr="002C5FB7">
        <w:rPr>
          <w:rtl/>
        </w:rPr>
        <w:t xml:space="preserve"> (3.4.19), הורשע נאשם על פי הודאתו בעבירה של נשיאת נשק ותחמושת. הנאשם נסע ברכבו משטחי הרשות הפלסטינית לשטח מדינת ישראל כשהוא החזיק בתא המטען ברכבו רובה מסוג קלצ'ניקוב ומחסנית תואמת המכילה כדורים ואקדח ובו מחסנית תואמת. בית המשפט קבע </w:t>
      </w:r>
      <w:r w:rsidRPr="002C5FB7">
        <w:rPr>
          <w:b/>
          <w:bCs/>
          <w:rtl/>
        </w:rPr>
        <w:t>מתחם עונש הנע בין 21 ל-48 חודשי מאסר בפועל</w:t>
      </w:r>
      <w:r w:rsidRPr="002C5FB7">
        <w:rPr>
          <w:rtl/>
        </w:rPr>
        <w:t xml:space="preserve">. הנאשם ללא עבר פלילי, נדון לעונש של </w:t>
      </w:r>
      <w:r w:rsidRPr="002C5FB7">
        <w:rPr>
          <w:b/>
          <w:bCs/>
          <w:rtl/>
        </w:rPr>
        <w:t>22 חודשי מאסר בפועל</w:t>
      </w:r>
      <w:r w:rsidRPr="002C5FB7">
        <w:rPr>
          <w:rtl/>
        </w:rPr>
        <w:t xml:space="preserve"> לצד ענישה נלווית.</w:t>
      </w:r>
    </w:p>
    <w:p w14:paraId="7248E867" w14:textId="77777777" w:rsidR="002C5FB7" w:rsidRPr="002C5FB7" w:rsidRDefault="002C5FB7" w:rsidP="002C5FB7">
      <w:pPr>
        <w:numPr>
          <w:ilvl w:val="1"/>
          <w:numId w:val="4"/>
        </w:numPr>
        <w:tabs>
          <w:tab w:val="clear" w:pos="1620"/>
          <w:tab w:val="num" w:pos="1286"/>
        </w:tabs>
        <w:spacing w:after="120" w:line="360" w:lineRule="auto"/>
        <w:ind w:left="1286" w:hanging="540"/>
        <w:jc w:val="both"/>
      </w:pPr>
      <w:r w:rsidRPr="002C5FB7">
        <w:rPr>
          <w:rtl/>
        </w:rPr>
        <w:t>ב</w:t>
      </w:r>
      <w:hyperlink r:id="rId40" w:history="1">
        <w:r w:rsidR="00C513ED" w:rsidRPr="00C513ED">
          <w:rPr>
            <w:color w:val="0000FF"/>
            <w:u w:val="single"/>
            <w:rtl/>
          </w:rPr>
          <w:t>ת"פ (מח' מר') 49416-04-18</w:t>
        </w:r>
      </w:hyperlink>
      <w:r w:rsidRPr="002C5FB7">
        <w:rPr>
          <w:rtl/>
        </w:rPr>
        <w:t xml:space="preserve"> </w:t>
      </w:r>
      <w:r w:rsidRPr="002C5FB7">
        <w:rPr>
          <w:b/>
          <w:bCs/>
          <w:rtl/>
        </w:rPr>
        <w:t>מדינת ישראל נ' אל קרינאוי</w:t>
      </w:r>
      <w:r w:rsidRPr="002C5FB7">
        <w:rPr>
          <w:rtl/>
        </w:rPr>
        <w:t xml:space="preserve"> (22.11.18), הורשע נאשם על פי הודאתו בעבירה של נשיאת נשק. הנאשם נהג ברכב משטחי הרשות הפלסטינית לכיוון ישראל ואותה עת החזיק ברכבו תת מקלע מאולתר ומחסנית ריקה מכדורים. בנוסף החזיק בתא המטען של הרכב ידית נשיאה לנשק. הנשק נמצא בחיפוש שנעשה לרכב במחסום הכניסה לישראל. בית המשפט קבע </w:t>
      </w:r>
      <w:r w:rsidRPr="002C5FB7">
        <w:rPr>
          <w:b/>
          <w:bCs/>
          <w:rtl/>
        </w:rPr>
        <w:t>מתחם עונש הנע בין 18 ל-42 חודשי מאסר בפועל</w:t>
      </w:r>
      <w:r w:rsidRPr="002C5FB7">
        <w:rPr>
          <w:rtl/>
        </w:rPr>
        <w:t>. הנאשם צעיר בעל רקע משפחתי קשה נדון לעונש של</w:t>
      </w:r>
      <w:r w:rsidRPr="002C5FB7">
        <w:rPr>
          <w:b/>
          <w:bCs/>
          <w:rtl/>
        </w:rPr>
        <w:t xml:space="preserve"> 21 חודשי מאסר בפועל</w:t>
      </w:r>
      <w:r w:rsidRPr="002C5FB7">
        <w:rPr>
          <w:rtl/>
        </w:rPr>
        <w:t xml:space="preserve"> לצד ענישה נלווית.</w:t>
      </w:r>
    </w:p>
    <w:p w14:paraId="7208A9C1" w14:textId="77777777" w:rsidR="002C5FB7" w:rsidRPr="002C5FB7" w:rsidRDefault="002C5FB7" w:rsidP="002C5FB7">
      <w:pPr>
        <w:numPr>
          <w:ilvl w:val="0"/>
          <w:numId w:val="4"/>
        </w:numPr>
        <w:spacing w:after="120" w:line="360" w:lineRule="auto"/>
        <w:jc w:val="both"/>
        <w:rPr>
          <w:rFonts w:ascii="David" w:hAnsi="David"/>
          <w:color w:val="000000"/>
        </w:rPr>
      </w:pPr>
      <w:r w:rsidRPr="002C5FB7">
        <w:rPr>
          <w:rFonts w:ascii="David" w:hAnsi="David"/>
          <w:color w:val="000000"/>
          <w:rtl/>
        </w:rPr>
        <w:t xml:space="preserve">בכל הנוגע למדיניות הענישה הנוהגת בעבירה של </w:t>
      </w:r>
      <w:r w:rsidRPr="002C5FB7">
        <w:rPr>
          <w:rFonts w:ascii="David" w:hAnsi="David"/>
          <w:b/>
          <w:bCs/>
          <w:color w:val="000000"/>
          <w:rtl/>
        </w:rPr>
        <w:t>מעשה פזיזות ורשלנות ברכב</w:t>
      </w:r>
      <w:r w:rsidRPr="002C5FB7">
        <w:rPr>
          <w:rFonts w:ascii="David" w:hAnsi="David"/>
          <w:color w:val="000000"/>
          <w:rtl/>
        </w:rPr>
        <w:t>, הרי שבמקרים דומים הוטלו על נאשמים עונשי מאסר בפועל במנעד רחב. כך למשל, ב</w:t>
      </w:r>
      <w:hyperlink r:id="rId41" w:history="1">
        <w:r w:rsidR="00C513ED" w:rsidRPr="00C513ED">
          <w:rPr>
            <w:rFonts w:ascii="David" w:hAnsi="David"/>
            <w:color w:val="0000FF"/>
            <w:u w:val="single"/>
            <w:rtl/>
          </w:rPr>
          <w:t>ע"פ 3802/10</w:t>
        </w:r>
      </w:hyperlink>
      <w:r w:rsidRPr="002C5FB7">
        <w:rPr>
          <w:rFonts w:ascii="David" w:hAnsi="David"/>
          <w:color w:val="000000"/>
          <w:rtl/>
        </w:rPr>
        <w:t xml:space="preserve"> </w:t>
      </w:r>
      <w:r w:rsidRPr="002C5FB7">
        <w:rPr>
          <w:rFonts w:ascii="David" w:hAnsi="David"/>
          <w:b/>
          <w:bCs/>
          <w:color w:val="000000"/>
          <w:rtl/>
        </w:rPr>
        <w:t>אלון נ' מדינת ישראל</w:t>
      </w:r>
      <w:r w:rsidRPr="002C5FB7">
        <w:rPr>
          <w:rFonts w:ascii="David" w:hAnsi="David"/>
          <w:color w:val="000000"/>
          <w:rtl/>
        </w:rPr>
        <w:t xml:space="preserve"> (26.10.10) נדון הנאשם ל-30 חודשי מאסר בפועל, ב</w:t>
      </w:r>
      <w:hyperlink r:id="rId42" w:history="1">
        <w:r w:rsidR="00C513ED" w:rsidRPr="00C513ED">
          <w:rPr>
            <w:rFonts w:ascii="David" w:hAnsi="David"/>
            <w:color w:val="0000FF"/>
            <w:u w:val="single"/>
            <w:rtl/>
          </w:rPr>
          <w:t>רע"פ 5714/13</w:t>
        </w:r>
      </w:hyperlink>
      <w:r w:rsidRPr="002C5FB7">
        <w:rPr>
          <w:rFonts w:ascii="David" w:hAnsi="David"/>
          <w:color w:val="000000"/>
          <w:rtl/>
        </w:rPr>
        <w:t xml:space="preserve"> </w:t>
      </w:r>
      <w:r w:rsidRPr="002C5FB7">
        <w:rPr>
          <w:rFonts w:ascii="David" w:hAnsi="David"/>
          <w:b/>
          <w:bCs/>
          <w:color w:val="000000"/>
          <w:rtl/>
        </w:rPr>
        <w:t>חמד נ' מדינת ישראל</w:t>
      </w:r>
      <w:r w:rsidRPr="002C5FB7">
        <w:rPr>
          <w:rFonts w:ascii="David" w:hAnsi="David"/>
          <w:color w:val="000000"/>
          <w:rtl/>
        </w:rPr>
        <w:t xml:space="preserve"> (28.10.13) נדון הנאשם לעונש של שנתיים מאסר בפועל (42 חודשים כולל הפעלת מאסר על תנאי), ב</w:t>
      </w:r>
      <w:hyperlink r:id="rId43" w:history="1">
        <w:r w:rsidR="00C513ED" w:rsidRPr="00C513ED">
          <w:rPr>
            <w:rFonts w:ascii="David" w:hAnsi="David"/>
            <w:color w:val="0000FF"/>
            <w:u w:val="single"/>
            <w:rtl/>
          </w:rPr>
          <w:t>ע"פ 10476/09</w:t>
        </w:r>
      </w:hyperlink>
      <w:r w:rsidRPr="002C5FB7">
        <w:rPr>
          <w:rFonts w:ascii="David" w:hAnsi="David"/>
          <w:color w:val="000000"/>
          <w:rtl/>
        </w:rPr>
        <w:t xml:space="preserve"> </w:t>
      </w:r>
      <w:r w:rsidRPr="002C5FB7">
        <w:rPr>
          <w:rFonts w:ascii="David" w:hAnsi="David"/>
          <w:b/>
          <w:bCs/>
          <w:color w:val="000000"/>
          <w:rtl/>
        </w:rPr>
        <w:t>אבו סביח נ' מדינת ישראל</w:t>
      </w:r>
      <w:r w:rsidRPr="002C5FB7">
        <w:rPr>
          <w:rFonts w:ascii="David" w:hAnsi="David"/>
          <w:color w:val="000000"/>
          <w:rtl/>
        </w:rPr>
        <w:t xml:space="preserve"> (6.10.10) נדון הנאשם ל-18 חודשי מאסר בפועל, ב</w:t>
      </w:r>
      <w:hyperlink r:id="rId44" w:history="1">
        <w:r w:rsidR="00C513ED" w:rsidRPr="00C513ED">
          <w:rPr>
            <w:rFonts w:ascii="David" w:hAnsi="David"/>
            <w:color w:val="0000FF"/>
            <w:u w:val="single"/>
            <w:rtl/>
          </w:rPr>
          <w:t>ע"פ 437/08</w:t>
        </w:r>
      </w:hyperlink>
      <w:r w:rsidRPr="002C5FB7">
        <w:rPr>
          <w:rFonts w:ascii="David" w:hAnsi="David"/>
          <w:color w:val="000000"/>
          <w:rtl/>
        </w:rPr>
        <w:t xml:space="preserve"> </w:t>
      </w:r>
      <w:r w:rsidRPr="002C5FB7">
        <w:rPr>
          <w:rFonts w:ascii="David" w:hAnsi="David"/>
          <w:b/>
          <w:bCs/>
          <w:color w:val="000000"/>
          <w:rtl/>
        </w:rPr>
        <w:t>פלוני נ' מדינת ישראל</w:t>
      </w:r>
      <w:r w:rsidRPr="002C5FB7">
        <w:rPr>
          <w:rFonts w:ascii="David" w:hAnsi="David"/>
          <w:color w:val="000000"/>
          <w:rtl/>
        </w:rPr>
        <w:t xml:space="preserve"> (18.6.08) נדון הנאשם ל-18 חודשי מאסר בפועל, וב</w:t>
      </w:r>
      <w:hyperlink r:id="rId45" w:history="1">
        <w:r w:rsidR="00C513ED" w:rsidRPr="00C513ED">
          <w:rPr>
            <w:rFonts w:ascii="David" w:hAnsi="David"/>
            <w:color w:val="0000FF"/>
            <w:u w:val="single"/>
            <w:rtl/>
          </w:rPr>
          <w:t>ע"פ 2264/15</w:t>
        </w:r>
      </w:hyperlink>
      <w:r w:rsidRPr="002C5FB7">
        <w:rPr>
          <w:rFonts w:ascii="David" w:hAnsi="David"/>
          <w:color w:val="000000"/>
          <w:rtl/>
        </w:rPr>
        <w:t xml:space="preserve"> </w:t>
      </w:r>
      <w:r w:rsidRPr="002C5FB7">
        <w:rPr>
          <w:rFonts w:ascii="David" w:hAnsi="David"/>
          <w:b/>
          <w:bCs/>
          <w:color w:val="000000"/>
          <w:rtl/>
        </w:rPr>
        <w:t>עביד נ' מדינת ישראל</w:t>
      </w:r>
      <w:r w:rsidRPr="002C5FB7">
        <w:rPr>
          <w:rFonts w:ascii="David" w:hAnsi="David"/>
          <w:color w:val="000000"/>
          <w:rtl/>
        </w:rPr>
        <w:t xml:space="preserve"> (22.11.15) נדון הנאשם ל-16 חודשי מאסר בפועל, ב</w:t>
      </w:r>
      <w:hyperlink r:id="rId46" w:history="1">
        <w:r w:rsidR="00C513ED" w:rsidRPr="00C513ED">
          <w:rPr>
            <w:rFonts w:ascii="David" w:hAnsi="David"/>
            <w:color w:val="0000FF"/>
            <w:u w:val="single"/>
            <w:rtl/>
          </w:rPr>
          <w:t>ע"פ 8116/10</w:t>
        </w:r>
      </w:hyperlink>
      <w:r w:rsidRPr="002C5FB7">
        <w:rPr>
          <w:rFonts w:ascii="David" w:hAnsi="David"/>
          <w:color w:val="000000"/>
          <w:rtl/>
        </w:rPr>
        <w:t xml:space="preserve"> </w:t>
      </w:r>
      <w:r w:rsidRPr="002C5FB7">
        <w:rPr>
          <w:rFonts w:ascii="David" w:hAnsi="David"/>
          <w:b/>
          <w:bCs/>
          <w:color w:val="000000"/>
          <w:rtl/>
        </w:rPr>
        <w:t>אבו עמאר נ' מדינת ישראל</w:t>
      </w:r>
      <w:r w:rsidRPr="002C5FB7">
        <w:rPr>
          <w:rFonts w:ascii="David" w:hAnsi="David"/>
          <w:color w:val="000000"/>
          <w:rtl/>
        </w:rPr>
        <w:t xml:space="preserve"> (10.3.11) נדון הנאשם ל-15 חודשי מאסר בפועל, וב</w:t>
      </w:r>
      <w:hyperlink r:id="rId47" w:history="1">
        <w:r w:rsidR="00C513ED" w:rsidRPr="00C513ED">
          <w:rPr>
            <w:rFonts w:ascii="David" w:hAnsi="David"/>
            <w:color w:val="0000FF"/>
            <w:u w:val="single"/>
            <w:rtl/>
          </w:rPr>
          <w:t>ע"פ 5446/13</w:t>
        </w:r>
      </w:hyperlink>
      <w:r w:rsidRPr="002C5FB7">
        <w:rPr>
          <w:rFonts w:ascii="David" w:hAnsi="David"/>
          <w:color w:val="000000"/>
          <w:rtl/>
        </w:rPr>
        <w:t xml:space="preserve"> </w:t>
      </w:r>
      <w:r w:rsidRPr="002C5FB7">
        <w:rPr>
          <w:rFonts w:ascii="David" w:hAnsi="David"/>
          <w:b/>
          <w:bCs/>
          <w:color w:val="000000"/>
          <w:rtl/>
        </w:rPr>
        <w:t>סאבר נ' מדינת ישראל</w:t>
      </w:r>
      <w:r w:rsidRPr="002C5FB7">
        <w:rPr>
          <w:rFonts w:ascii="David" w:hAnsi="David"/>
          <w:color w:val="000000"/>
          <w:rtl/>
        </w:rPr>
        <w:t xml:space="preserve"> (9.2.14) נדון הנאשם ל-14 חודשי מאסר בפועל. </w:t>
      </w:r>
    </w:p>
    <w:p w14:paraId="51655882" w14:textId="77777777" w:rsidR="002C5FB7" w:rsidRPr="002C5FB7" w:rsidRDefault="002C5FB7" w:rsidP="002A0CC4">
      <w:pPr>
        <w:numPr>
          <w:ilvl w:val="0"/>
          <w:numId w:val="4"/>
        </w:numPr>
        <w:spacing w:after="120" w:line="360" w:lineRule="auto"/>
        <w:jc w:val="both"/>
        <w:rPr>
          <w:rFonts w:ascii="David" w:hAnsi="David"/>
          <w:color w:val="000000"/>
        </w:rPr>
      </w:pPr>
      <w:r w:rsidRPr="002C5FB7">
        <w:rPr>
          <w:rFonts w:ascii="David" w:hAnsi="David"/>
          <w:color w:val="000000"/>
          <w:rtl/>
        </w:rPr>
        <w:t>בהתאם לתיקון 113 ל</w:t>
      </w:r>
      <w:hyperlink r:id="rId48" w:history="1">
        <w:r w:rsidR="00C513ED" w:rsidRPr="00C513ED">
          <w:rPr>
            <w:rFonts w:ascii="David" w:hAnsi="David"/>
            <w:color w:val="0000FF"/>
            <w:u w:val="single"/>
            <w:rtl/>
          </w:rPr>
          <w:t>חוק העונשין</w:t>
        </w:r>
      </w:hyperlink>
      <w:r w:rsidRPr="002C5FB7">
        <w:rPr>
          <w:rFonts w:ascii="David" w:hAnsi="David"/>
          <w:color w:val="000000"/>
          <w:rtl/>
        </w:rPr>
        <w:t xml:space="preserve"> (</w:t>
      </w:r>
      <w:hyperlink r:id="rId49" w:history="1">
        <w:r w:rsidR="007F4FE8" w:rsidRPr="007F4FE8">
          <w:rPr>
            <w:rStyle w:val="Hyperlink"/>
            <w:rFonts w:ascii="David" w:hAnsi="David"/>
            <w:rtl/>
          </w:rPr>
          <w:t>סעיף 40 יג</w:t>
        </w:r>
      </w:hyperlink>
      <w:r w:rsidRPr="002C5FB7">
        <w:rPr>
          <w:rFonts w:ascii="David" w:hAnsi="David"/>
          <w:color w:val="000000"/>
          <w:rtl/>
        </w:rPr>
        <w:t xml:space="preserve">'), אני קובע כי </w:t>
      </w:r>
      <w:r w:rsidRPr="002C5FB7">
        <w:rPr>
          <w:rFonts w:ascii="David" w:hAnsi="David"/>
          <w:b/>
          <w:bCs/>
          <w:color w:val="000000"/>
          <w:rtl/>
        </w:rPr>
        <w:t>מתחם העונש ההולם</w:t>
      </w:r>
      <w:r w:rsidRPr="002C5FB7">
        <w:rPr>
          <w:rFonts w:ascii="David" w:hAnsi="David"/>
          <w:color w:val="000000"/>
          <w:rtl/>
        </w:rPr>
        <w:t xml:space="preserve"> </w:t>
      </w:r>
      <w:r w:rsidRPr="002C5FB7">
        <w:rPr>
          <w:rFonts w:ascii="David" w:hAnsi="David"/>
          <w:b/>
          <w:bCs/>
          <w:color w:val="000000"/>
          <w:rtl/>
        </w:rPr>
        <w:t>בעניינו של הנאשם 1 הוא החל מ-</w:t>
      </w:r>
      <w:r w:rsidR="002A0CC4">
        <w:rPr>
          <w:rFonts w:ascii="David" w:hAnsi="David" w:hint="cs"/>
          <w:b/>
          <w:bCs/>
          <w:color w:val="000000"/>
          <w:rtl/>
        </w:rPr>
        <w:t>30</w:t>
      </w:r>
      <w:r w:rsidRPr="002C5FB7">
        <w:rPr>
          <w:rFonts w:ascii="David" w:hAnsi="David"/>
          <w:b/>
          <w:bCs/>
          <w:color w:val="000000"/>
          <w:rtl/>
        </w:rPr>
        <w:t xml:space="preserve"> ועד ל-5</w:t>
      </w:r>
      <w:r w:rsidR="009C2343">
        <w:rPr>
          <w:rFonts w:ascii="David" w:hAnsi="David" w:hint="cs"/>
          <w:b/>
          <w:bCs/>
          <w:color w:val="000000"/>
          <w:rtl/>
        </w:rPr>
        <w:t>4</w:t>
      </w:r>
      <w:r w:rsidRPr="002C5FB7">
        <w:rPr>
          <w:rFonts w:ascii="David" w:hAnsi="David"/>
          <w:b/>
          <w:bCs/>
          <w:color w:val="000000"/>
          <w:rtl/>
        </w:rPr>
        <w:t xml:space="preserve"> חודשי מאסר בפועל</w:t>
      </w:r>
      <w:r w:rsidRPr="002C5FB7">
        <w:rPr>
          <w:rFonts w:ascii="David" w:hAnsi="David"/>
          <w:color w:val="000000"/>
          <w:rtl/>
        </w:rPr>
        <w:t xml:space="preserve">. </w:t>
      </w:r>
    </w:p>
    <w:p w14:paraId="380155C2" w14:textId="77777777" w:rsidR="002C5FB7" w:rsidRPr="002C5FB7" w:rsidRDefault="002C5FB7" w:rsidP="009C2343">
      <w:pPr>
        <w:spacing w:after="120" w:line="360" w:lineRule="auto"/>
        <w:ind w:left="720"/>
        <w:jc w:val="both"/>
        <w:rPr>
          <w:rFonts w:ascii="David" w:hAnsi="David"/>
          <w:color w:val="000000"/>
        </w:rPr>
      </w:pPr>
      <w:r w:rsidRPr="002C5FB7">
        <w:rPr>
          <w:rFonts w:ascii="David" w:hAnsi="David"/>
          <w:b/>
          <w:bCs/>
          <w:color w:val="000000"/>
          <w:rtl/>
        </w:rPr>
        <w:t>מתחם העונש ההולם בעניינו של הנאשם 2 הוא החל מ-</w:t>
      </w:r>
      <w:r w:rsidR="009C2343">
        <w:rPr>
          <w:rFonts w:ascii="David" w:hAnsi="David" w:hint="cs"/>
          <w:b/>
          <w:bCs/>
          <w:color w:val="000000"/>
          <w:rtl/>
        </w:rPr>
        <w:t>20</w:t>
      </w:r>
      <w:r w:rsidRPr="002C5FB7">
        <w:rPr>
          <w:rFonts w:ascii="David" w:hAnsi="David"/>
          <w:b/>
          <w:bCs/>
          <w:color w:val="000000"/>
          <w:rtl/>
        </w:rPr>
        <w:t xml:space="preserve"> ועד ל-4</w:t>
      </w:r>
      <w:r w:rsidR="009C2343">
        <w:rPr>
          <w:rFonts w:ascii="David" w:hAnsi="David" w:hint="cs"/>
          <w:b/>
          <w:bCs/>
          <w:color w:val="000000"/>
          <w:rtl/>
        </w:rPr>
        <w:t>4</w:t>
      </w:r>
      <w:r w:rsidRPr="002C5FB7">
        <w:rPr>
          <w:rFonts w:ascii="David" w:hAnsi="David"/>
          <w:b/>
          <w:bCs/>
          <w:color w:val="000000"/>
          <w:rtl/>
        </w:rPr>
        <w:t xml:space="preserve"> חודשי מאסר בפועל</w:t>
      </w:r>
      <w:r w:rsidRPr="002C5FB7">
        <w:rPr>
          <w:rFonts w:ascii="David" w:hAnsi="David"/>
          <w:color w:val="000000"/>
          <w:rtl/>
        </w:rPr>
        <w:t>.</w:t>
      </w:r>
    </w:p>
    <w:p w14:paraId="2643C7D9" w14:textId="77777777" w:rsidR="002C5FB7" w:rsidRPr="002C5FB7" w:rsidRDefault="002C5FB7" w:rsidP="002C5FB7">
      <w:pPr>
        <w:numPr>
          <w:ilvl w:val="0"/>
          <w:numId w:val="4"/>
        </w:numPr>
        <w:spacing w:after="120" w:line="360" w:lineRule="auto"/>
        <w:jc w:val="both"/>
        <w:rPr>
          <w:rFonts w:ascii="David" w:hAnsi="David"/>
          <w:color w:val="000000"/>
        </w:rPr>
      </w:pPr>
      <w:r w:rsidRPr="002C5FB7">
        <w:rPr>
          <w:rFonts w:ascii="David" w:hAnsi="David"/>
          <w:color w:val="000000"/>
          <w:rtl/>
        </w:rPr>
        <w:t xml:space="preserve">במקרה דנן, לא קיימים שיקולים אשר מצדיקים חריגה מהמתחם, לחומרה או לקולה. בעניינם של הנאשמים לא הוגש תסקיר שירות המבחן ולא הוגשו ראיות לכך ששולבו בטיפול או בהליך שיקום במסגרת מעצרם. </w:t>
      </w:r>
    </w:p>
    <w:p w14:paraId="1156978B" w14:textId="77777777" w:rsidR="002C5FB7" w:rsidRPr="002C5FB7" w:rsidRDefault="002C5FB7" w:rsidP="002C5FB7">
      <w:pPr>
        <w:spacing w:after="120" w:line="360" w:lineRule="auto"/>
        <w:jc w:val="both"/>
        <w:rPr>
          <w:bCs/>
          <w:u w:val="single"/>
          <w:lang w:eastAsia="he-IL"/>
        </w:rPr>
      </w:pPr>
      <w:r w:rsidRPr="002C5FB7">
        <w:rPr>
          <w:bCs/>
          <w:u w:val="single"/>
          <w:rtl/>
          <w:lang w:eastAsia="he-IL"/>
        </w:rPr>
        <w:t>גזירת העונש המתאים לנאשמים</w:t>
      </w:r>
    </w:p>
    <w:p w14:paraId="42005C74" w14:textId="77777777" w:rsidR="002C5FB7" w:rsidRPr="002C5FB7" w:rsidRDefault="002C5FB7" w:rsidP="002C5FB7">
      <w:pPr>
        <w:numPr>
          <w:ilvl w:val="0"/>
          <w:numId w:val="4"/>
        </w:numPr>
        <w:spacing w:after="120" w:line="360" w:lineRule="auto"/>
        <w:jc w:val="both"/>
        <w:rPr>
          <w:color w:val="000000"/>
        </w:rPr>
      </w:pPr>
      <w:r w:rsidRPr="002C5FB7">
        <w:rPr>
          <w:color w:val="000000"/>
          <w:rtl/>
        </w:rPr>
        <w:t>בגזירת העונש המתאים לנאשמים, בגדרי מתחם העונש ההולם, יש להתחשב בנסיבות שאינן קשורות בביצוע העבירה (</w:t>
      </w:r>
      <w:hyperlink r:id="rId50" w:history="1">
        <w:r w:rsidR="007F4FE8" w:rsidRPr="007F4FE8">
          <w:rPr>
            <w:rStyle w:val="Hyperlink"/>
            <w:rtl/>
          </w:rPr>
          <w:t>סעיף 40 יא</w:t>
        </w:r>
      </w:hyperlink>
      <w:r w:rsidRPr="002C5FB7">
        <w:rPr>
          <w:color w:val="000000"/>
          <w:rtl/>
        </w:rPr>
        <w:t>'). במסגרת זו מן הראוי לתת את הדעת לכך שהנאשמים הם אחים. הנאשם 1 בן 30 והנאשם 2 בן 36. הנאשמים גדלו במשפחה בת 12 נפשות, כשההורים התגרשו והאב לא מקיים עמם קשר. מצבה הכלכלי של המשפחה מתואר כקשה. נטען שהנאשם 1 סובל מקשיים הסתגלותיים בגינם נשר ממערכת החינוך בתום 9 שנות לימוד. הנאשם 2 עזב את בית הספר לאחר 8 שנות לימוד. שניהם מגלים קשיים בהסתגלות למעצר, כשהנאשם 1 חשוף ללעג ולהתייחסות פוגענית מצד אסירים אחרים בשל מגבלתו בדיבור. הנאשמים הודו ונטלו אחריות למעשיהם בעבירות. עברו הפלילי של הנאשם 1 כולל הרשעה מחודש יוני 10' בגין ביצוע עבירת חבלה חמורה, בגינה נדון הנאשם לעונש של 10 חודשי מאסר בפועל לצד ענישה נלווית. ההרשעה התיישנה אולם לא נמחקה. עברו התעבורתי כולל 12 הרשעות קודמות בין השנים 2008-2019 בגין מגוון עבירות תעבורה. עברו הפלילי של הנאשם 2 כולל 2 הרשעות מהשנים 2007 ו-2018 בגין עבירת גניבה ובגין עבירת מס בגינה נדון ל-6 חודשי מאסר בעבודות שירות. עברו התעבורתי כולל 15 הרשעות בין השנים 2006-2013.</w:t>
      </w:r>
    </w:p>
    <w:p w14:paraId="22E7A762" w14:textId="77777777" w:rsidR="002C5FB7" w:rsidRPr="002C5FB7" w:rsidRDefault="002C5FB7" w:rsidP="002C5FB7">
      <w:pPr>
        <w:spacing w:after="120" w:line="360" w:lineRule="auto"/>
        <w:ind w:left="720"/>
        <w:jc w:val="both"/>
        <w:rPr>
          <w:color w:val="000000"/>
        </w:rPr>
      </w:pPr>
      <w:r w:rsidRPr="002C5FB7">
        <w:rPr>
          <w:color w:val="000000"/>
          <w:rtl/>
        </w:rPr>
        <w:t xml:space="preserve">כמו כן נתתי דעתי לתקופה המעצר שבה שוהים הנאשמים מזה כשנה. כן נתתי דעתי לכך שהנאשם שוחררו ממעצרם במסגרת המעצר לצרכי חקירה, ולאחר מכן שבו ונעצרו. </w:t>
      </w:r>
    </w:p>
    <w:p w14:paraId="2C0D1AE4" w14:textId="77777777" w:rsidR="002C5FB7" w:rsidRPr="002C5FB7" w:rsidRDefault="002C5FB7" w:rsidP="002C5FB7">
      <w:pPr>
        <w:numPr>
          <w:ilvl w:val="0"/>
          <w:numId w:val="4"/>
        </w:numPr>
        <w:spacing w:after="120" w:line="360" w:lineRule="auto"/>
        <w:jc w:val="both"/>
        <w:rPr>
          <w:color w:val="000000"/>
        </w:rPr>
      </w:pPr>
      <w:r w:rsidRPr="002C5FB7">
        <w:rPr>
          <w:rFonts w:ascii="David" w:hAnsi="David"/>
          <w:color w:val="000000"/>
          <w:rtl/>
        </w:rPr>
        <w:t>עוד יש לתת את הדעת לשיקול ההרתעה בגדרו של המתחם, וזאת בשים לב לפסיקת בית המשפט העליון בדבר הצורך בהרתעה והעדפת האינטרס הציבורי על הנסיבות האישיות של העבריין (</w:t>
      </w:r>
      <w:hyperlink r:id="rId51" w:history="1">
        <w:r w:rsidR="00C513ED" w:rsidRPr="00C513ED">
          <w:rPr>
            <w:rFonts w:ascii="David" w:hAnsi="David"/>
            <w:color w:val="0000FF"/>
            <w:u w:val="single"/>
            <w:rtl/>
            <w:lang w:eastAsia="he-IL"/>
          </w:rPr>
          <w:t>רע"פ 2718/04</w:t>
        </w:r>
      </w:hyperlink>
      <w:r w:rsidRPr="002C5FB7">
        <w:rPr>
          <w:rFonts w:ascii="David" w:hAnsi="David"/>
          <w:color w:val="000000"/>
          <w:rtl/>
          <w:lang w:eastAsia="he-IL"/>
        </w:rPr>
        <w:t xml:space="preserve"> </w:t>
      </w:r>
      <w:r w:rsidRPr="002C5FB7">
        <w:rPr>
          <w:rFonts w:ascii="David" w:hAnsi="David"/>
          <w:b/>
          <w:bCs/>
          <w:color w:val="000000"/>
          <w:rtl/>
          <w:lang w:eastAsia="he-IL"/>
        </w:rPr>
        <w:t>אבו דאחל נ' מדינת ישראל</w:t>
      </w:r>
      <w:r w:rsidRPr="002C5FB7">
        <w:rPr>
          <w:rFonts w:ascii="David" w:hAnsi="David"/>
          <w:color w:val="000000"/>
          <w:rtl/>
          <w:lang w:eastAsia="he-IL"/>
        </w:rPr>
        <w:t xml:space="preserve"> [29.3.04]).</w:t>
      </w:r>
    </w:p>
    <w:p w14:paraId="0DCD70D3" w14:textId="77777777" w:rsidR="002C5FB7" w:rsidRPr="002C5FB7" w:rsidRDefault="002C5FB7" w:rsidP="002C5FB7">
      <w:pPr>
        <w:numPr>
          <w:ilvl w:val="0"/>
          <w:numId w:val="4"/>
        </w:numPr>
        <w:spacing w:after="120" w:line="360" w:lineRule="auto"/>
        <w:jc w:val="both"/>
        <w:rPr>
          <w:color w:val="000000"/>
        </w:rPr>
      </w:pPr>
      <w:r w:rsidRPr="002C5FB7">
        <w:rPr>
          <w:color w:val="000000"/>
          <w:rtl/>
        </w:rPr>
        <w:t xml:space="preserve">שיקול נוסף שיש התחשב בו הוא </w:t>
      </w:r>
      <w:r w:rsidRPr="002C5FB7">
        <w:rPr>
          <w:b/>
          <w:bCs/>
          <w:color w:val="000000"/>
          <w:rtl/>
        </w:rPr>
        <w:t>עקרון האחידות בענישה</w:t>
      </w:r>
      <w:r w:rsidRPr="002C5FB7">
        <w:rPr>
          <w:color w:val="000000"/>
          <w:rtl/>
        </w:rPr>
        <w:t>. בקשר זה יש לתת את הדעת לכך ששני הנאשמים הורשעו בעבירות של נשיאת נשק ומעשה פזיזות ורשלנות ברכב. הנאשם 1 הורשע אף בעבירה של רכישת נשק. קיים שוני מהותי בין הנאשמים בכל הקשור בחלקם בביצוע העבירות. הנאשם 1 היה מחולל העבירה, הוא יזם את הקשר עם האחר לשם רכישת הנשק, רכש את הנשק, תיאם עם אדם אחר שיעביר את כלי הנשק דרך פרצה בגדר לשטח מדינת ישראל, עמד בקשר עם האחר ממנו רכש את הנשק לאורך הזמן הרלוונטי בכתב האישום וכן היה זה שנהג באופן רשלני ופזיז ברכב. הנאשם 2 בהקשר זה, התלווה לנאשם 1 בעת שנסע לבצע את עסקת רכישת הנשק וישב לצדו ברכב בעת שקיבלו את הנשק ונסעו בפזיזות ורשלנות. מכאן שנקבעו מתחמי עונש שונה לנאשמים, כשמתחם העונש הראוי של הנאשם 1 גבוה יותר מזה של הנאשם 2 וזאת לנוכח הנסיבות הקשורות בביצוע העבירה, ומכאן שאף העונשים אשר ייגזרו עליהם, יהיו שונים.</w:t>
      </w:r>
    </w:p>
    <w:p w14:paraId="1D6E19E2" w14:textId="77777777" w:rsidR="002C5FB7" w:rsidRPr="002C5FB7" w:rsidRDefault="002C5FB7" w:rsidP="002C5FB7">
      <w:pPr>
        <w:numPr>
          <w:ilvl w:val="0"/>
          <w:numId w:val="4"/>
        </w:numPr>
        <w:spacing w:after="120" w:line="360" w:lineRule="auto"/>
        <w:jc w:val="both"/>
        <w:rPr>
          <w:color w:val="000000"/>
          <w:rtl/>
        </w:rPr>
      </w:pPr>
      <w:r w:rsidRPr="002C5FB7">
        <w:rPr>
          <w:color w:val="000000"/>
          <w:rtl/>
        </w:rPr>
        <w:t>באיזון בין השיקולים השונים, סבורני כי יש לגזור על הנאשמים עונש בחלקו הגבוה יחסית של השליש התחתון של מתחם העונש, לצד קנס כספי. על הנאשם 1 יש להשית בנוסף פסילת רישיון נהיגה.</w:t>
      </w:r>
    </w:p>
    <w:p w14:paraId="23E3B4AA" w14:textId="77777777" w:rsidR="002C5FB7" w:rsidRPr="002C5FB7" w:rsidRDefault="002C5FB7" w:rsidP="002C5FB7">
      <w:pPr>
        <w:spacing w:after="120" w:line="360" w:lineRule="auto"/>
        <w:jc w:val="both"/>
        <w:rPr>
          <w:b/>
          <w:bCs/>
          <w:u w:val="single"/>
          <w:rtl/>
        </w:rPr>
      </w:pPr>
      <w:r w:rsidRPr="002C5FB7">
        <w:rPr>
          <w:b/>
          <w:bCs/>
          <w:u w:val="single"/>
          <w:rtl/>
        </w:rPr>
        <w:t>סוף דבר</w:t>
      </w:r>
    </w:p>
    <w:p w14:paraId="7196B51F" w14:textId="77777777" w:rsidR="002C5FB7" w:rsidRPr="002C5FB7" w:rsidRDefault="002C5FB7" w:rsidP="002C5FB7">
      <w:pPr>
        <w:numPr>
          <w:ilvl w:val="0"/>
          <w:numId w:val="4"/>
        </w:numPr>
        <w:spacing w:after="120" w:line="360" w:lineRule="auto"/>
        <w:jc w:val="both"/>
        <w:rPr>
          <w:rFonts w:ascii="David" w:hAnsi="David"/>
          <w:color w:val="000000"/>
        </w:rPr>
      </w:pPr>
      <w:r w:rsidRPr="002C5FB7">
        <w:rPr>
          <w:rFonts w:ascii="David" w:hAnsi="David"/>
          <w:b/>
          <w:bCs/>
          <w:color w:val="000000"/>
          <w:u w:val="single"/>
          <w:rtl/>
        </w:rPr>
        <w:t>אשר על-כן, הנני גוזר על הנאשם 1 את העונשים הבאים</w:t>
      </w:r>
      <w:r w:rsidRPr="002C5FB7">
        <w:rPr>
          <w:rFonts w:ascii="David" w:hAnsi="David"/>
          <w:color w:val="000000"/>
          <w:rtl/>
        </w:rPr>
        <w:t>:</w:t>
      </w:r>
    </w:p>
    <w:p w14:paraId="3DAF5E86" w14:textId="77777777" w:rsidR="002C5FB7" w:rsidRPr="002C5FB7" w:rsidRDefault="002C5FB7" w:rsidP="009C2343">
      <w:pPr>
        <w:numPr>
          <w:ilvl w:val="1"/>
          <w:numId w:val="4"/>
        </w:numPr>
        <w:tabs>
          <w:tab w:val="clear" w:pos="1620"/>
          <w:tab w:val="num" w:pos="1286"/>
        </w:tabs>
        <w:spacing w:after="120" w:line="360" w:lineRule="auto"/>
        <w:ind w:left="1287" w:hanging="539"/>
        <w:jc w:val="both"/>
      </w:pPr>
      <w:r w:rsidRPr="002C5FB7">
        <w:rPr>
          <w:b/>
          <w:bCs/>
          <w:rtl/>
        </w:rPr>
        <w:t>3</w:t>
      </w:r>
      <w:r w:rsidR="002A0CC4">
        <w:rPr>
          <w:rFonts w:hint="cs"/>
          <w:b/>
          <w:bCs/>
          <w:rtl/>
        </w:rPr>
        <w:t xml:space="preserve">6 </w:t>
      </w:r>
      <w:r w:rsidRPr="002C5FB7">
        <w:rPr>
          <w:b/>
          <w:bCs/>
          <w:rtl/>
        </w:rPr>
        <w:t>חודשי מאסר בפועל</w:t>
      </w:r>
      <w:r w:rsidRPr="002C5FB7">
        <w:rPr>
          <w:rtl/>
        </w:rPr>
        <w:t xml:space="preserve"> בניכוי ימי מעצרו: 4.7.19-11.7.19 ומיום 29.7.19 ועד היום. </w:t>
      </w:r>
    </w:p>
    <w:p w14:paraId="0BCA02B0" w14:textId="77777777" w:rsidR="002C5FB7" w:rsidRPr="002C5FB7" w:rsidRDefault="002C5FB7" w:rsidP="002C5FB7">
      <w:pPr>
        <w:numPr>
          <w:ilvl w:val="1"/>
          <w:numId w:val="4"/>
        </w:numPr>
        <w:tabs>
          <w:tab w:val="clear" w:pos="1620"/>
          <w:tab w:val="num" w:pos="1286"/>
        </w:tabs>
        <w:spacing w:after="120" w:line="360" w:lineRule="auto"/>
        <w:ind w:left="1287" w:hanging="540"/>
        <w:jc w:val="both"/>
      </w:pPr>
      <w:r w:rsidRPr="002C5FB7">
        <w:rPr>
          <w:rtl/>
        </w:rPr>
        <w:t>12 חודשי מאסר על תנאי, לבל יעבור הנאשם במשך 3 שנים מיום שחרורו ממאסר  כל עבירת נשק מסוג פשע.</w:t>
      </w:r>
    </w:p>
    <w:p w14:paraId="5FD5E2C4" w14:textId="77777777" w:rsidR="002C5FB7" w:rsidRPr="002C5FB7" w:rsidRDefault="002C5FB7" w:rsidP="002C5FB7">
      <w:pPr>
        <w:numPr>
          <w:ilvl w:val="1"/>
          <w:numId w:val="4"/>
        </w:numPr>
        <w:tabs>
          <w:tab w:val="clear" w:pos="1620"/>
          <w:tab w:val="num" w:pos="1286"/>
        </w:tabs>
        <w:spacing w:after="120" w:line="360" w:lineRule="auto"/>
        <w:ind w:left="1287" w:hanging="540"/>
        <w:jc w:val="both"/>
      </w:pPr>
      <w:r w:rsidRPr="002C5FB7">
        <w:rPr>
          <w:rtl/>
        </w:rPr>
        <w:t>6 חודשים מאסר על תנאי, לבל יעבור הנאשם במשך שנתיים מיום שחרורו ממאסר כל עבירת נשק מסוג עוון או נהיגה פזיזה ורשלנית ברכב.</w:t>
      </w:r>
    </w:p>
    <w:p w14:paraId="2B696853" w14:textId="77777777" w:rsidR="002C5FB7" w:rsidRPr="002C5FB7" w:rsidRDefault="002C5FB7" w:rsidP="002C5FB7">
      <w:pPr>
        <w:numPr>
          <w:ilvl w:val="1"/>
          <w:numId w:val="4"/>
        </w:numPr>
        <w:tabs>
          <w:tab w:val="clear" w:pos="1620"/>
          <w:tab w:val="num" w:pos="1286"/>
        </w:tabs>
        <w:spacing w:after="120" w:line="360" w:lineRule="auto"/>
        <w:ind w:left="1287" w:hanging="540"/>
        <w:jc w:val="both"/>
        <w:rPr>
          <w:lang w:eastAsia="he-IL"/>
        </w:rPr>
      </w:pPr>
      <w:r w:rsidRPr="002C5FB7">
        <w:rPr>
          <w:rtl/>
        </w:rPr>
        <w:t>קנס כספי בסך של 6,000 ₪ או 60 ימי מאסר תמורתו. הקנס ישולם ב-6 תשלומים חודשיים שווים</w:t>
      </w:r>
      <w:r w:rsidRPr="002C5FB7">
        <w:rPr>
          <w:rtl/>
          <w:lang w:eastAsia="he-IL"/>
        </w:rPr>
        <w:t xml:space="preserve"> ורצופים, שהראשון שבהם ביום 1.1.21. אם לא ישולם תשלום כלשהו במועדו, תעמוד היתרה לפירעון מיידי.</w:t>
      </w:r>
    </w:p>
    <w:p w14:paraId="05D3F9F1" w14:textId="77777777" w:rsidR="002C5FB7" w:rsidRPr="002C5FB7" w:rsidRDefault="002C5FB7" w:rsidP="002C5FB7">
      <w:pPr>
        <w:numPr>
          <w:ilvl w:val="1"/>
          <w:numId w:val="4"/>
        </w:numPr>
        <w:tabs>
          <w:tab w:val="clear" w:pos="1620"/>
          <w:tab w:val="num" w:pos="1286"/>
        </w:tabs>
        <w:spacing w:after="120" w:line="360" w:lineRule="auto"/>
        <w:ind w:left="1287" w:hanging="540"/>
        <w:jc w:val="both"/>
        <w:rPr>
          <w:lang w:eastAsia="he-IL"/>
        </w:rPr>
      </w:pPr>
      <w:r w:rsidRPr="002C5FB7">
        <w:rPr>
          <w:rtl/>
          <w:lang w:eastAsia="he-IL"/>
        </w:rPr>
        <w:t xml:space="preserve">6 חודשים פסילה בפועל מלהחזיק ברישיון נהיגה מיום שחרורו ממאסר. מובהר לנאשם כי עליו להפקיד את רישיון הנהיגה שברשותו או הצהרה מתאימה במזכירות בית המשפט בסמוך לפני מועד השחרור מהמאסר. </w:t>
      </w:r>
    </w:p>
    <w:p w14:paraId="30285876" w14:textId="77777777" w:rsidR="002C5FB7" w:rsidRPr="002C5FB7" w:rsidRDefault="002C5FB7" w:rsidP="002C5FB7">
      <w:pPr>
        <w:numPr>
          <w:ilvl w:val="1"/>
          <w:numId w:val="4"/>
        </w:numPr>
        <w:tabs>
          <w:tab w:val="clear" w:pos="1620"/>
          <w:tab w:val="num" w:pos="1286"/>
        </w:tabs>
        <w:spacing w:after="120" w:line="360" w:lineRule="auto"/>
        <w:ind w:left="1287" w:hanging="540"/>
        <w:jc w:val="both"/>
        <w:rPr>
          <w:lang w:eastAsia="he-IL"/>
        </w:rPr>
      </w:pPr>
      <w:r w:rsidRPr="002C5FB7">
        <w:rPr>
          <w:rtl/>
          <w:lang w:eastAsia="he-IL"/>
        </w:rPr>
        <w:t xml:space="preserve">6 חודשים פסילה על תנאי מלקבל או להחזיק רישיון נהיגה למשך שנתיים מיום שחרורו מהמאסר. </w:t>
      </w:r>
    </w:p>
    <w:p w14:paraId="16D66C67" w14:textId="77777777" w:rsidR="002C5FB7" w:rsidRPr="002C5FB7" w:rsidRDefault="002C5FB7" w:rsidP="002C5FB7">
      <w:pPr>
        <w:numPr>
          <w:ilvl w:val="0"/>
          <w:numId w:val="4"/>
        </w:numPr>
        <w:spacing w:after="120" w:line="360" w:lineRule="auto"/>
        <w:jc w:val="both"/>
        <w:rPr>
          <w:rFonts w:ascii="David" w:hAnsi="David"/>
          <w:color w:val="000000"/>
        </w:rPr>
      </w:pPr>
      <w:r w:rsidRPr="002C5FB7">
        <w:rPr>
          <w:rFonts w:ascii="David" w:hAnsi="David"/>
          <w:b/>
          <w:bCs/>
          <w:color w:val="000000"/>
          <w:u w:val="single"/>
          <w:rtl/>
        </w:rPr>
        <w:t>אשר על-כן, הנני גוזר על הנאשם 2 את העונשים הבאים</w:t>
      </w:r>
      <w:r w:rsidRPr="002C5FB7">
        <w:rPr>
          <w:rFonts w:ascii="David" w:hAnsi="David"/>
          <w:color w:val="000000"/>
          <w:rtl/>
        </w:rPr>
        <w:t>:</w:t>
      </w:r>
    </w:p>
    <w:p w14:paraId="3B097479" w14:textId="77777777" w:rsidR="002C5FB7" w:rsidRPr="002C5FB7" w:rsidRDefault="002C5FB7" w:rsidP="009C2343">
      <w:pPr>
        <w:numPr>
          <w:ilvl w:val="1"/>
          <w:numId w:val="4"/>
        </w:numPr>
        <w:tabs>
          <w:tab w:val="clear" w:pos="1620"/>
          <w:tab w:val="num" w:pos="1286"/>
        </w:tabs>
        <w:spacing w:after="120" w:line="360" w:lineRule="auto"/>
        <w:ind w:left="1287" w:hanging="539"/>
        <w:jc w:val="both"/>
      </w:pPr>
      <w:r w:rsidRPr="002C5FB7">
        <w:rPr>
          <w:b/>
          <w:bCs/>
          <w:rtl/>
        </w:rPr>
        <w:t>2</w:t>
      </w:r>
      <w:r w:rsidR="002A0CC4">
        <w:rPr>
          <w:rFonts w:hint="cs"/>
          <w:b/>
          <w:bCs/>
          <w:rtl/>
        </w:rPr>
        <w:t xml:space="preserve">4 </w:t>
      </w:r>
      <w:r w:rsidRPr="002C5FB7">
        <w:rPr>
          <w:b/>
          <w:bCs/>
          <w:rtl/>
        </w:rPr>
        <w:t>חודשי מאסר בפועל</w:t>
      </w:r>
      <w:r w:rsidRPr="002C5FB7">
        <w:rPr>
          <w:rtl/>
        </w:rPr>
        <w:t xml:space="preserve"> בניכוי ימי מעצרו: 4.7.19-11.7.19 ומיום 29.7.19 ועד היום. </w:t>
      </w:r>
    </w:p>
    <w:p w14:paraId="74C6239D" w14:textId="77777777" w:rsidR="002C5FB7" w:rsidRPr="002C5FB7" w:rsidRDefault="002C5FB7" w:rsidP="002C5FB7">
      <w:pPr>
        <w:numPr>
          <w:ilvl w:val="1"/>
          <w:numId w:val="4"/>
        </w:numPr>
        <w:tabs>
          <w:tab w:val="clear" w:pos="1620"/>
          <w:tab w:val="num" w:pos="1286"/>
        </w:tabs>
        <w:spacing w:after="120" w:line="360" w:lineRule="auto"/>
        <w:ind w:left="1287" w:hanging="540"/>
        <w:jc w:val="both"/>
      </w:pPr>
      <w:r w:rsidRPr="002C5FB7">
        <w:rPr>
          <w:rtl/>
        </w:rPr>
        <w:t>12 חודשי מאסר על תנאי, לבל יעבור הנאשם במשך 3 שנים מיום שחרורו ממאסר  כל עבירת נשק מסוג פשע.</w:t>
      </w:r>
    </w:p>
    <w:p w14:paraId="7051402F" w14:textId="77777777" w:rsidR="002C5FB7" w:rsidRPr="002C5FB7" w:rsidRDefault="002C5FB7" w:rsidP="002E2199">
      <w:pPr>
        <w:numPr>
          <w:ilvl w:val="1"/>
          <w:numId w:val="4"/>
        </w:numPr>
        <w:tabs>
          <w:tab w:val="clear" w:pos="1620"/>
          <w:tab w:val="num" w:pos="1286"/>
        </w:tabs>
        <w:spacing w:after="120" w:line="360" w:lineRule="auto"/>
        <w:ind w:left="1287" w:hanging="540"/>
        <w:jc w:val="both"/>
      </w:pPr>
      <w:r w:rsidRPr="002C5FB7">
        <w:rPr>
          <w:rtl/>
        </w:rPr>
        <w:t xml:space="preserve">6 חודשים מאסר על תנאי, לבל יעבור הנאשם במשך שנתיים מיום שחרורו ממאסר כל עבירת נשק מסוג עוון או </w:t>
      </w:r>
      <w:r w:rsidR="002E2199">
        <w:rPr>
          <w:rFonts w:hint="cs"/>
          <w:rtl/>
        </w:rPr>
        <w:t>נהיגה</w:t>
      </w:r>
      <w:r w:rsidRPr="002C5FB7">
        <w:rPr>
          <w:rtl/>
        </w:rPr>
        <w:t xml:space="preserve"> פזיזה ורשלנית ברכב.</w:t>
      </w:r>
    </w:p>
    <w:p w14:paraId="7818388B" w14:textId="77777777" w:rsidR="002C5FB7" w:rsidRPr="002C5FB7" w:rsidRDefault="002C5FB7" w:rsidP="002C5FB7">
      <w:pPr>
        <w:numPr>
          <w:ilvl w:val="1"/>
          <w:numId w:val="4"/>
        </w:numPr>
        <w:tabs>
          <w:tab w:val="clear" w:pos="1620"/>
          <w:tab w:val="num" w:pos="1286"/>
        </w:tabs>
        <w:spacing w:after="120" w:line="360" w:lineRule="auto"/>
        <w:ind w:left="1287" w:hanging="540"/>
        <w:jc w:val="both"/>
        <w:rPr>
          <w:lang w:eastAsia="he-IL"/>
        </w:rPr>
      </w:pPr>
      <w:r w:rsidRPr="002C5FB7">
        <w:rPr>
          <w:rtl/>
        </w:rPr>
        <w:t>קנס כספי בסך של 4,000 ₪ או 30 ימי מאסר תמורתו. הקנס ישולם ב-4 תשלומים חודשיים שווים</w:t>
      </w:r>
      <w:r w:rsidRPr="002C5FB7">
        <w:rPr>
          <w:rtl/>
          <w:lang w:eastAsia="he-IL"/>
        </w:rPr>
        <w:t xml:space="preserve"> ורצופים, שהראשון שבהם ביום 1.1.21. אם לא ישולם תשלום כלשהו במועדו, תעמוד היתרה לפירעון מיידי.</w:t>
      </w:r>
    </w:p>
    <w:p w14:paraId="543E14DF" w14:textId="77777777" w:rsidR="002C5FB7" w:rsidRPr="002C5FB7" w:rsidRDefault="002C5FB7" w:rsidP="002C5FB7">
      <w:pPr>
        <w:numPr>
          <w:ilvl w:val="1"/>
          <w:numId w:val="4"/>
        </w:numPr>
        <w:tabs>
          <w:tab w:val="clear" w:pos="1620"/>
          <w:tab w:val="num" w:pos="1286"/>
        </w:tabs>
        <w:spacing w:after="120" w:line="360" w:lineRule="auto"/>
        <w:ind w:left="1287" w:hanging="540"/>
        <w:jc w:val="both"/>
        <w:rPr>
          <w:lang w:eastAsia="he-IL"/>
        </w:rPr>
      </w:pPr>
      <w:r w:rsidRPr="002C5FB7">
        <w:rPr>
          <w:rtl/>
          <w:lang w:eastAsia="he-IL"/>
        </w:rPr>
        <w:t xml:space="preserve">6 חודשים פסילה על תנאי מלקבל או להחזיק רישיון נהיגה למשך שנתיים מיום שחרורו מהמאסר. </w:t>
      </w:r>
    </w:p>
    <w:p w14:paraId="6CB389E6" w14:textId="77777777" w:rsidR="002C5FB7" w:rsidRPr="002C5FB7" w:rsidRDefault="002C5FB7" w:rsidP="002C5FB7">
      <w:pPr>
        <w:spacing w:after="120" w:line="360" w:lineRule="auto"/>
        <w:rPr>
          <w:rFonts w:ascii="David" w:hAnsi="David"/>
          <w:color w:val="000000"/>
          <w:lang w:eastAsia="he-IL"/>
        </w:rPr>
      </w:pPr>
    </w:p>
    <w:p w14:paraId="3EBE230F" w14:textId="77777777" w:rsidR="002C5FB7" w:rsidRPr="002C5FB7" w:rsidRDefault="002C5FB7" w:rsidP="002C5FB7">
      <w:pPr>
        <w:spacing w:after="120" w:line="360" w:lineRule="auto"/>
        <w:ind w:left="720"/>
        <w:jc w:val="both"/>
        <w:rPr>
          <w:rFonts w:ascii="David" w:hAnsi="David"/>
          <w:color w:val="000000"/>
          <w:rtl/>
          <w:lang w:eastAsia="he-IL"/>
        </w:rPr>
      </w:pPr>
    </w:p>
    <w:p w14:paraId="1F53BC82" w14:textId="77777777" w:rsidR="002C5FB7" w:rsidRPr="002C5FB7" w:rsidRDefault="002C5FB7" w:rsidP="002C5FB7">
      <w:pPr>
        <w:spacing w:after="120" w:line="360" w:lineRule="auto"/>
        <w:ind w:firstLine="360"/>
        <w:jc w:val="both"/>
        <w:rPr>
          <w:rtl/>
          <w:lang w:eastAsia="he-IL"/>
        </w:rPr>
      </w:pPr>
      <w:r w:rsidRPr="002C5FB7">
        <w:rPr>
          <w:rtl/>
          <w:lang w:eastAsia="he-IL"/>
        </w:rPr>
        <w:tab/>
        <w:t xml:space="preserve">זכות ערעור לבית-המשפט העליון תוך 45 ימים. </w:t>
      </w:r>
    </w:p>
    <w:p w14:paraId="6A739AB2" w14:textId="77777777" w:rsidR="002C5FB7" w:rsidRPr="002C5FB7" w:rsidRDefault="002C5FB7" w:rsidP="002C5FB7">
      <w:pPr>
        <w:jc w:val="both"/>
        <w:rPr>
          <w:rFonts w:cs="Times New Roman"/>
        </w:rPr>
      </w:pPr>
    </w:p>
    <w:p w14:paraId="700285D6" w14:textId="77777777" w:rsidR="00507694" w:rsidRPr="002C5FB7" w:rsidRDefault="00507694">
      <w:pPr>
        <w:rPr>
          <w:rFonts w:ascii="Arial" w:hAnsi="Arial"/>
          <w:rtl/>
        </w:rPr>
      </w:pPr>
    </w:p>
    <w:p w14:paraId="2BD56784" w14:textId="77777777" w:rsidR="00507694" w:rsidRPr="00B05847" w:rsidRDefault="00507694">
      <w:pPr>
        <w:rPr>
          <w:rtl/>
        </w:rPr>
      </w:pPr>
    </w:p>
    <w:p w14:paraId="34F107B3" w14:textId="77777777" w:rsidR="00507694" w:rsidRPr="00B05847" w:rsidRDefault="00507694">
      <w:pPr>
        <w:rPr>
          <w:rtl/>
        </w:rPr>
      </w:pPr>
    </w:p>
    <w:p w14:paraId="1DC12237" w14:textId="77777777" w:rsidR="00507694" w:rsidRPr="00B05847" w:rsidRDefault="00507694">
      <w:pPr>
        <w:rPr>
          <w:rtl/>
        </w:rPr>
      </w:pPr>
    </w:p>
    <w:p w14:paraId="154A56B3" w14:textId="77777777" w:rsidR="00507694" w:rsidRPr="00B05847" w:rsidRDefault="00507694">
      <w:pPr>
        <w:rPr>
          <w:rtl/>
        </w:rPr>
      </w:pPr>
    </w:p>
    <w:p w14:paraId="5FECC5C6" w14:textId="77777777" w:rsidR="00507694" w:rsidRPr="00B05847" w:rsidRDefault="00507694">
      <w:pPr>
        <w:rPr>
          <w:rtl/>
        </w:rPr>
      </w:pPr>
    </w:p>
    <w:p w14:paraId="196C3857" w14:textId="77777777" w:rsidR="00507694" w:rsidRPr="00B05847" w:rsidRDefault="00507694">
      <w:pPr>
        <w:rPr>
          <w:rtl/>
        </w:rPr>
      </w:pPr>
    </w:p>
    <w:p w14:paraId="67BA1B4C" w14:textId="77777777" w:rsidR="00507694" w:rsidRPr="00C513ED" w:rsidRDefault="00C513ED">
      <w:pPr>
        <w:rPr>
          <w:color w:val="FFFFFF"/>
          <w:sz w:val="2"/>
          <w:szCs w:val="2"/>
          <w:rtl/>
        </w:rPr>
      </w:pPr>
      <w:r w:rsidRPr="00C513ED">
        <w:rPr>
          <w:color w:val="FFFFFF"/>
          <w:sz w:val="2"/>
          <w:szCs w:val="2"/>
          <w:rtl/>
        </w:rPr>
        <w:t>5129371</w:t>
      </w:r>
    </w:p>
    <w:p w14:paraId="69B62D91" w14:textId="77777777" w:rsidR="00507694" w:rsidRPr="00C513ED" w:rsidRDefault="00C513ED">
      <w:pPr>
        <w:rPr>
          <w:color w:val="FFFFFF"/>
          <w:sz w:val="2"/>
          <w:szCs w:val="2"/>
          <w:rtl/>
        </w:rPr>
      </w:pPr>
      <w:r w:rsidRPr="00C513ED">
        <w:rPr>
          <w:color w:val="FFFFFF"/>
          <w:sz w:val="2"/>
          <w:szCs w:val="2"/>
          <w:rtl/>
        </w:rPr>
        <w:t>54678313</w:t>
      </w:r>
    </w:p>
    <w:p w14:paraId="0CFEF04A" w14:textId="77777777" w:rsidR="00507694" w:rsidRDefault="00C513ED">
      <w:pPr>
        <w:rPr>
          <w:rFonts w:cs="FrankRuehl"/>
          <w:sz w:val="28"/>
          <w:szCs w:val="28"/>
          <w:rtl/>
        </w:rPr>
      </w:pPr>
      <w:bookmarkStart w:id="8" w:name="Nitan"/>
      <w:r>
        <w:rPr>
          <w:rFonts w:ascii="Arial" w:hAnsi="Arial"/>
          <w:rtl/>
        </w:rPr>
        <w:t xml:space="preserve">ניתן היום,  ט"ו תמוז תש"פ, 07 יולי 2020, בנוכחות הצדדים. </w:t>
      </w:r>
      <w:bookmarkEnd w:id="8"/>
    </w:p>
    <w:p w14:paraId="2B550DD7" w14:textId="77777777" w:rsidR="00507694" w:rsidRDefault="003E0C9F" w:rsidP="00C513E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900CB77" w14:textId="77777777" w:rsidR="00507694" w:rsidRDefault="00507694" w:rsidP="003E0C9F">
      <w:pPr>
        <w:jc w:val="center"/>
        <w:rPr>
          <w:rFonts w:ascii="Arial" w:hAnsi="Arial" w:cs="FrankRuehl"/>
          <w:sz w:val="28"/>
          <w:szCs w:val="28"/>
          <w:rtl/>
        </w:rPr>
      </w:pPr>
    </w:p>
    <w:p w14:paraId="2E8A96AF" w14:textId="77777777" w:rsidR="00507694" w:rsidRDefault="00507694">
      <w:pPr>
        <w:rPr>
          <w:rFonts w:cs="FrankRuehl"/>
          <w:sz w:val="28"/>
          <w:szCs w:val="28"/>
          <w:rtl/>
        </w:rPr>
      </w:pPr>
    </w:p>
    <w:p w14:paraId="15C37432" w14:textId="77777777" w:rsidR="00507694" w:rsidRPr="00C513ED" w:rsidRDefault="00507694" w:rsidP="00C513ED">
      <w:pPr>
        <w:pStyle w:val="a5"/>
        <w:keepNext/>
        <w:rPr>
          <w:rFonts w:ascii="David" w:hAnsi="David"/>
          <w:color w:val="000000"/>
          <w:sz w:val="22"/>
          <w:szCs w:val="22"/>
          <w:rtl/>
        </w:rPr>
      </w:pPr>
    </w:p>
    <w:p w14:paraId="064D539F" w14:textId="77777777" w:rsidR="00C513ED" w:rsidRPr="00C513ED" w:rsidRDefault="00C513ED" w:rsidP="00C513ED">
      <w:pPr>
        <w:pStyle w:val="a5"/>
        <w:keepNext/>
        <w:rPr>
          <w:rFonts w:ascii="David" w:hAnsi="David"/>
          <w:color w:val="000000"/>
          <w:sz w:val="22"/>
          <w:szCs w:val="22"/>
          <w:rtl/>
        </w:rPr>
      </w:pPr>
      <w:r w:rsidRPr="00C513ED">
        <w:rPr>
          <w:rFonts w:ascii="David" w:hAnsi="David"/>
          <w:color w:val="000000"/>
          <w:sz w:val="22"/>
          <w:szCs w:val="22"/>
          <w:rtl/>
        </w:rPr>
        <w:t>עמי קובו 54678313</w:t>
      </w:r>
    </w:p>
    <w:p w14:paraId="5F8DA9BD" w14:textId="77777777" w:rsidR="00C513ED" w:rsidRDefault="00C513ED" w:rsidP="00C513ED">
      <w:pPr>
        <w:pStyle w:val="a5"/>
        <w:rPr>
          <w:rtl/>
        </w:rPr>
      </w:pPr>
      <w:r w:rsidRPr="00C513ED">
        <w:rPr>
          <w:color w:val="000000"/>
          <w:rtl/>
        </w:rPr>
        <w:t>נוסח מסמך זה כפוף לשינויי ניסוח ועריכה</w:t>
      </w:r>
    </w:p>
    <w:p w14:paraId="58B5B397" w14:textId="77777777" w:rsidR="00C513ED" w:rsidRDefault="00C513ED" w:rsidP="00C513ED">
      <w:pPr>
        <w:pStyle w:val="a5"/>
        <w:rPr>
          <w:rtl/>
        </w:rPr>
      </w:pPr>
    </w:p>
    <w:p w14:paraId="4DB79254" w14:textId="77777777" w:rsidR="00C513ED" w:rsidRDefault="00C513ED" w:rsidP="00C513ED">
      <w:pPr>
        <w:pStyle w:val="a5"/>
        <w:jc w:val="center"/>
        <w:rPr>
          <w:rFonts w:hint="cs"/>
          <w:color w:val="0000FF"/>
          <w:u w:val="single"/>
          <w:rtl/>
        </w:rPr>
      </w:pPr>
      <w:hyperlink r:id="rId52" w:history="1">
        <w:r>
          <w:rPr>
            <w:color w:val="0000FF"/>
            <w:u w:val="single"/>
            <w:rtl/>
          </w:rPr>
          <w:t>בעניין עריכה ושינויים במסמכי פסיקה, חקיקה ועוד באתר נבו – הקש כאן</w:t>
        </w:r>
      </w:hyperlink>
      <w:r w:rsidR="00350BD8">
        <w:rPr>
          <w:rFonts w:hint="cs"/>
          <w:color w:val="0000FF"/>
          <w:u w:val="single"/>
          <w:rtl/>
        </w:rPr>
        <w:t xml:space="preserve"> </w:t>
      </w:r>
    </w:p>
    <w:p w14:paraId="16757EA1" w14:textId="77777777" w:rsidR="00C513ED" w:rsidRPr="00C513ED" w:rsidRDefault="00C513ED" w:rsidP="00C513ED">
      <w:pPr>
        <w:pStyle w:val="a5"/>
        <w:jc w:val="center"/>
        <w:rPr>
          <w:color w:val="0000FF"/>
          <w:u w:val="single"/>
          <w:rtl/>
        </w:rPr>
      </w:pPr>
    </w:p>
    <w:sectPr w:rsidR="00C513ED" w:rsidRPr="00C513ED" w:rsidSect="00C513ED">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BB3F0" w14:textId="77777777" w:rsidR="00172F55" w:rsidRDefault="00172F55">
      <w:r>
        <w:separator/>
      </w:r>
    </w:p>
  </w:endnote>
  <w:endnote w:type="continuationSeparator" w:id="0">
    <w:p w14:paraId="287BAA22" w14:textId="77777777" w:rsidR="00172F55" w:rsidRDefault="00172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808D3" w14:textId="77777777" w:rsidR="00C513ED" w:rsidRDefault="00C513ED" w:rsidP="00C513ED">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CF74BF6" w14:textId="77777777" w:rsidR="00BD67E7" w:rsidRPr="00C513ED" w:rsidRDefault="00C513ED" w:rsidP="00C513ED">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0FFC3" w14:textId="77777777" w:rsidR="00C513ED" w:rsidRDefault="00C513ED" w:rsidP="00C513ED">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1B0B">
      <w:rPr>
        <w:rFonts w:ascii="FrankRuehl" w:hAnsi="FrankRuehl" w:cs="FrankRuehl"/>
        <w:noProof/>
        <w:rtl/>
      </w:rPr>
      <w:t>1</w:t>
    </w:r>
    <w:r>
      <w:rPr>
        <w:rFonts w:ascii="FrankRuehl" w:hAnsi="FrankRuehl" w:cs="FrankRuehl"/>
        <w:rtl/>
      </w:rPr>
      <w:fldChar w:fldCharType="end"/>
    </w:r>
  </w:p>
  <w:p w14:paraId="5290B681" w14:textId="77777777" w:rsidR="00BD67E7" w:rsidRPr="00C513ED" w:rsidRDefault="00C513ED" w:rsidP="00C513ED">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BA22A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96117" w14:textId="77777777" w:rsidR="00172F55" w:rsidRDefault="00172F55">
      <w:r>
        <w:separator/>
      </w:r>
    </w:p>
  </w:footnote>
  <w:footnote w:type="continuationSeparator" w:id="0">
    <w:p w14:paraId="3527C406" w14:textId="77777777" w:rsidR="00172F55" w:rsidRDefault="00172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DAC84" w14:textId="77777777" w:rsidR="00C513ED" w:rsidRPr="00C513ED" w:rsidRDefault="00C513ED" w:rsidP="00C513ED">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1203-08-19</w:t>
    </w:r>
    <w:r>
      <w:rPr>
        <w:rFonts w:ascii="David" w:hAnsi="David"/>
        <w:color w:val="000000"/>
        <w:sz w:val="22"/>
        <w:szCs w:val="22"/>
        <w:rtl/>
      </w:rPr>
      <w:tab/>
      <w:t xml:space="preserve"> מדינת ישראל נ' היסאם אבו סבלאן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0D7E5" w14:textId="77777777" w:rsidR="00507694" w:rsidRPr="00C513ED" w:rsidRDefault="00C513ED" w:rsidP="00C513ED">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1203-08-19</w:t>
    </w:r>
    <w:r>
      <w:rPr>
        <w:rFonts w:ascii="David" w:hAnsi="David"/>
        <w:color w:val="000000"/>
        <w:sz w:val="22"/>
        <w:szCs w:val="22"/>
        <w:rtl/>
      </w:rPr>
      <w:tab/>
      <w:t xml:space="preserve"> מדינת ישראל נ' היסאם אבו סבלאן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0F5A55FC"/>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7D769C06"/>
    <w:lvl w:ilvl="0" w:tplc="800A5CAC">
      <w:start w:val="1"/>
      <w:numFmt w:val="decimal"/>
      <w:pStyle w:val="a0"/>
      <w:lvlText w:val="%1."/>
      <w:lvlJc w:val="left"/>
      <w:pPr>
        <w:tabs>
          <w:tab w:val="num" w:pos="720"/>
        </w:tabs>
        <w:ind w:left="720" w:hanging="720"/>
      </w:pPr>
      <w:rPr>
        <w:rFonts w:cs="Times New Roman" w:hint="default"/>
        <w:b w:val="0"/>
        <w:bCs w:val="0"/>
      </w:rPr>
    </w:lvl>
    <w:lvl w:ilvl="1" w:tplc="148EE656">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54948221">
    <w:abstractNumId w:val="3"/>
  </w:num>
  <w:num w:numId="2" w16cid:durableId="475495748">
    <w:abstractNumId w:val="1"/>
  </w:num>
  <w:num w:numId="3" w16cid:durableId="1777482921">
    <w:abstractNumId w:val="0"/>
  </w:num>
  <w:num w:numId="4" w16cid:durableId="1903372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31F8A"/>
    <w:rsid w:val="00054FC4"/>
    <w:rsid w:val="000622FD"/>
    <w:rsid w:val="0006726A"/>
    <w:rsid w:val="0009343D"/>
    <w:rsid w:val="000F4812"/>
    <w:rsid w:val="000F53C7"/>
    <w:rsid w:val="00100577"/>
    <w:rsid w:val="00172F55"/>
    <w:rsid w:val="001D3090"/>
    <w:rsid w:val="00212125"/>
    <w:rsid w:val="00222804"/>
    <w:rsid w:val="002A0CC4"/>
    <w:rsid w:val="002C5FB7"/>
    <w:rsid w:val="002D6C61"/>
    <w:rsid w:val="002E2199"/>
    <w:rsid w:val="003153D3"/>
    <w:rsid w:val="00350BD8"/>
    <w:rsid w:val="00367565"/>
    <w:rsid w:val="00380588"/>
    <w:rsid w:val="00385B76"/>
    <w:rsid w:val="003E0C9F"/>
    <w:rsid w:val="004215DC"/>
    <w:rsid w:val="004C2BEA"/>
    <w:rsid w:val="00507694"/>
    <w:rsid w:val="00587D61"/>
    <w:rsid w:val="005C7B0B"/>
    <w:rsid w:val="00683ABD"/>
    <w:rsid w:val="00684E84"/>
    <w:rsid w:val="006C2095"/>
    <w:rsid w:val="006D1628"/>
    <w:rsid w:val="0074617B"/>
    <w:rsid w:val="00757983"/>
    <w:rsid w:val="007F4FE8"/>
    <w:rsid w:val="00821F29"/>
    <w:rsid w:val="00832D73"/>
    <w:rsid w:val="008819B4"/>
    <w:rsid w:val="00881B0B"/>
    <w:rsid w:val="00892464"/>
    <w:rsid w:val="008F1D44"/>
    <w:rsid w:val="008F21EA"/>
    <w:rsid w:val="009045EA"/>
    <w:rsid w:val="009C2343"/>
    <w:rsid w:val="009E35A7"/>
    <w:rsid w:val="009E49A1"/>
    <w:rsid w:val="009F504D"/>
    <w:rsid w:val="00A504C4"/>
    <w:rsid w:val="00B05847"/>
    <w:rsid w:val="00B22E0A"/>
    <w:rsid w:val="00BD67E7"/>
    <w:rsid w:val="00BE0015"/>
    <w:rsid w:val="00C02463"/>
    <w:rsid w:val="00C513ED"/>
    <w:rsid w:val="00C55E62"/>
    <w:rsid w:val="00C572E8"/>
    <w:rsid w:val="00CB056E"/>
    <w:rsid w:val="00D15539"/>
    <w:rsid w:val="00D202F4"/>
    <w:rsid w:val="00D3203D"/>
    <w:rsid w:val="00DF0B51"/>
    <w:rsid w:val="00E70F9C"/>
    <w:rsid w:val="00EB7532"/>
    <w:rsid w:val="00EC282B"/>
    <w:rsid w:val="00EC6951"/>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968CF0F"/>
  <w15:chartTrackingRefBased/>
  <w15:docId w15:val="{8195F579-40EB-46C3-89D1-15EE356F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A7B41"/>
    <w:pPr>
      <w:bidi/>
    </w:pPr>
    <w:rPr>
      <w:rFonts w:cs="David"/>
      <w:sz w:val="24"/>
      <w:szCs w:val="24"/>
    </w:rPr>
  </w:style>
  <w:style w:type="paragraph" w:styleId="1">
    <w:name w:val="heading 1"/>
    <w:basedOn w:val="a1"/>
    <w:next w:val="a1"/>
    <w:qFormat/>
    <w:rsid w:val="003A7B41"/>
    <w:pPr>
      <w:keepNext/>
      <w:spacing w:before="240" w:after="60"/>
      <w:outlineLvl w:val="0"/>
    </w:pPr>
    <w:rPr>
      <w:rFonts w:ascii="Arial" w:hAnsi="Arial" w:cs="Arial"/>
      <w:b/>
      <w:bCs/>
      <w:kern w:val="32"/>
      <w:sz w:val="32"/>
      <w:szCs w:val="32"/>
    </w:rPr>
  </w:style>
  <w:style w:type="paragraph" w:styleId="4">
    <w:name w:val="heading 4"/>
    <w:basedOn w:val="a1"/>
    <w:next w:val="a1"/>
    <w:qFormat/>
    <w:rsid w:val="003A7B41"/>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3A7B41"/>
    <w:pPr>
      <w:tabs>
        <w:tab w:val="center" w:pos="4153"/>
        <w:tab w:val="right" w:pos="8306"/>
      </w:tabs>
    </w:pPr>
  </w:style>
  <w:style w:type="paragraph" w:styleId="a6">
    <w:name w:val="footer"/>
    <w:basedOn w:val="a1"/>
    <w:rsid w:val="003A7B41"/>
    <w:pPr>
      <w:tabs>
        <w:tab w:val="center" w:pos="4153"/>
        <w:tab w:val="right" w:pos="8306"/>
      </w:tabs>
    </w:pPr>
  </w:style>
  <w:style w:type="character" w:styleId="a7">
    <w:name w:val="annotation reference"/>
    <w:semiHidden/>
    <w:rsid w:val="003A7B41"/>
    <w:rPr>
      <w:sz w:val="16"/>
      <w:szCs w:val="16"/>
    </w:rPr>
  </w:style>
  <w:style w:type="paragraph" w:styleId="a8">
    <w:name w:val="annotation text"/>
    <w:basedOn w:val="a1"/>
    <w:semiHidden/>
    <w:rsid w:val="003A7B41"/>
    <w:rPr>
      <w:rFonts w:cs="Times New Roman"/>
      <w:lang w:eastAsia="he-IL"/>
    </w:rPr>
  </w:style>
  <w:style w:type="paragraph" w:styleId="a9">
    <w:name w:val="Balloon Text"/>
    <w:basedOn w:val="a1"/>
    <w:semiHidden/>
    <w:rsid w:val="003A7B41"/>
    <w:rPr>
      <w:rFonts w:ascii="Tahoma" w:hAnsi="Tahoma" w:cs="Tahoma"/>
      <w:sz w:val="16"/>
      <w:szCs w:val="16"/>
    </w:rPr>
  </w:style>
  <w:style w:type="table" w:styleId="aa">
    <w:name w:val="Table Grid"/>
    <w:basedOn w:val="a3"/>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BD67E7"/>
  </w:style>
  <w:style w:type="paragraph" w:styleId="a">
    <w:name w:val="List Number"/>
    <w:basedOn w:val="a1"/>
    <w:uiPriority w:val="99"/>
    <w:rsid w:val="002C5FB7"/>
    <w:pPr>
      <w:numPr>
        <w:numId w:val="3"/>
      </w:numPr>
      <w:spacing w:after="120" w:line="360" w:lineRule="auto"/>
      <w:ind w:right="360"/>
    </w:pPr>
  </w:style>
  <w:style w:type="paragraph" w:customStyle="1" w:styleId="ac">
    <w:name w:val="כותרת"/>
    <w:basedOn w:val="a1"/>
    <w:next w:val="ad"/>
    <w:autoRedefine/>
    <w:rsid w:val="002C5FB7"/>
    <w:pPr>
      <w:spacing w:after="120" w:line="360" w:lineRule="auto"/>
    </w:pPr>
    <w:rPr>
      <w:bCs/>
      <w:u w:val="single"/>
      <w:lang w:eastAsia="he-IL"/>
    </w:rPr>
  </w:style>
  <w:style w:type="paragraph" w:customStyle="1" w:styleId="a0">
    <w:name w:val="ממוספר"/>
    <w:basedOn w:val="a1"/>
    <w:rsid w:val="002C5FB7"/>
    <w:pPr>
      <w:numPr>
        <w:numId w:val="4"/>
      </w:numPr>
      <w:spacing w:after="120" w:line="360" w:lineRule="auto"/>
    </w:pPr>
    <w:rPr>
      <w:rFonts w:ascii="David" w:hAnsi="David"/>
      <w:color w:val="000000"/>
    </w:rPr>
  </w:style>
  <w:style w:type="character" w:customStyle="1" w:styleId="default">
    <w:name w:val="default"/>
    <w:rsid w:val="002C5FB7"/>
    <w:rPr>
      <w:rFonts w:ascii="Times New Roman" w:hAnsi="Times New Roman"/>
      <w:sz w:val="26"/>
    </w:rPr>
  </w:style>
  <w:style w:type="paragraph" w:styleId="ad">
    <w:name w:val="List"/>
    <w:basedOn w:val="a1"/>
    <w:semiHidden/>
    <w:unhideWhenUsed/>
    <w:rsid w:val="002C5FB7"/>
    <w:pPr>
      <w:ind w:left="283" w:hanging="283"/>
      <w:contextualSpacing/>
    </w:pPr>
  </w:style>
  <w:style w:type="character" w:styleId="Hyperlink">
    <w:name w:val="Hyperlink"/>
    <w:unhideWhenUsed/>
    <w:rsid w:val="00C513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38.a.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6113286" TargetMode="External"/><Relationship Id="rId39" Type="http://schemas.openxmlformats.org/officeDocument/2006/relationships/hyperlink" Target="http://www.nevo.co.il/case/24319926"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case/5878682" TargetMode="External"/><Relationship Id="rId42" Type="http://schemas.openxmlformats.org/officeDocument/2006/relationships/hyperlink" Target="http://www.nevo.co.il/case/7961945" TargetMode="External"/><Relationship Id="rId47" Type="http://schemas.openxmlformats.org/officeDocument/2006/relationships/hyperlink" Target="http://www.nevo.co.il/case/7897103" TargetMode="External"/><Relationship Id="rId50" Type="http://schemas.openxmlformats.org/officeDocument/2006/relationships/hyperlink" Target="http://www.nevo.co.il/law/70301/40ja"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144.b" TargetMode="External"/><Relationship Id="rId29" Type="http://schemas.openxmlformats.org/officeDocument/2006/relationships/hyperlink" Target="http://www.nevo.co.il/law/70301/40i"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25824863" TargetMode="External"/><Relationship Id="rId32" Type="http://schemas.openxmlformats.org/officeDocument/2006/relationships/hyperlink" Target="http://www.nevo.co.il/case/22908754" TargetMode="External"/><Relationship Id="rId37" Type="http://schemas.openxmlformats.org/officeDocument/2006/relationships/hyperlink" Target="http://www.nevo.co.il/case/24269595" TargetMode="External"/><Relationship Id="rId40" Type="http://schemas.openxmlformats.org/officeDocument/2006/relationships/hyperlink" Target="http://www.nevo.co.il/case/23892410" TargetMode="External"/><Relationship Id="rId45" Type="http://schemas.openxmlformats.org/officeDocument/2006/relationships/hyperlink" Target="http://www.nevo.co.il/case/20149284"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nevo.co.il/law/70301/338.a.1" TargetMode="External"/><Relationship Id="rId4" Type="http://schemas.openxmlformats.org/officeDocument/2006/relationships/settings" Target="settings.xml"/><Relationship Id="rId9" Type="http://schemas.openxmlformats.org/officeDocument/2006/relationships/hyperlink" Target="http://www.nevo.co.il/law/70301/29"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5840643" TargetMode="External"/><Relationship Id="rId27" Type="http://schemas.openxmlformats.org/officeDocument/2006/relationships/hyperlink" Target="http://www.nevo.co.il/case/22790672" TargetMode="External"/><Relationship Id="rId30" Type="http://schemas.openxmlformats.org/officeDocument/2006/relationships/hyperlink" Target="http://www.nevo.co.il/case/25612982" TargetMode="External"/><Relationship Id="rId35" Type="http://schemas.openxmlformats.org/officeDocument/2006/relationships/hyperlink" Target="http://www.nevo.co.il/case/16944929" TargetMode="External"/><Relationship Id="rId43" Type="http://schemas.openxmlformats.org/officeDocument/2006/relationships/hyperlink" Target="http://www.nevo.co.il/case/6170713" TargetMode="External"/><Relationship Id="rId48" Type="http://schemas.openxmlformats.org/officeDocument/2006/relationships/hyperlink" Target="http://www.nevo.co.il/law/70301" TargetMode="External"/><Relationship Id="rId56" Type="http://schemas.openxmlformats.org/officeDocument/2006/relationships/footer" Target="footer2.xml"/><Relationship Id="rId8" Type="http://schemas.openxmlformats.org/officeDocument/2006/relationships/hyperlink" Target="http://www.nevo.co.il/law/70301" TargetMode="External"/><Relationship Id="rId51" Type="http://schemas.openxmlformats.org/officeDocument/2006/relationships/hyperlink" Target="http://www.nevo.co.il/case/5852404" TargetMode="External"/><Relationship Id="rId3" Type="http://schemas.openxmlformats.org/officeDocument/2006/relationships/styles" Target="styles.xml"/><Relationship Id="rId12" Type="http://schemas.openxmlformats.org/officeDocument/2006/relationships/hyperlink" Target="http://www.nevo.co.il/law/70301/144.b" TargetMode="External"/><Relationship Id="rId17" Type="http://schemas.openxmlformats.org/officeDocument/2006/relationships/hyperlink" Target="http://www.nevo.co.il/law/70301/29" TargetMode="External"/><Relationship Id="rId25" Type="http://schemas.openxmlformats.org/officeDocument/2006/relationships/hyperlink" Target="http://www.nevo.co.il/case/26492590" TargetMode="External"/><Relationship Id="rId33" Type="http://schemas.openxmlformats.org/officeDocument/2006/relationships/hyperlink" Target="http://www.nevo.co.il/case/24140726" TargetMode="External"/><Relationship Id="rId38" Type="http://schemas.openxmlformats.org/officeDocument/2006/relationships/hyperlink" Target="http://www.nevo.co.il/case/7791493" TargetMode="External"/><Relationship Id="rId46" Type="http://schemas.openxmlformats.org/officeDocument/2006/relationships/hyperlink" Target="http://www.nevo.co.il/case/6121286" TargetMode="External"/><Relationship Id="rId20" Type="http://schemas.openxmlformats.org/officeDocument/2006/relationships/hyperlink" Target="http://www.nevo.co.il/law/70301/29" TargetMode="External"/><Relationship Id="rId41" Type="http://schemas.openxmlformats.org/officeDocument/2006/relationships/hyperlink" Target="http://www.nevo.co.il/case/5917214" TargetMode="External"/><Relationship Id="rId54"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40jc" TargetMode="External"/><Relationship Id="rId23" Type="http://schemas.openxmlformats.org/officeDocument/2006/relationships/hyperlink" Target="http://www.nevo.co.il/case/25940943" TargetMode="External"/><Relationship Id="rId28" Type="http://schemas.openxmlformats.org/officeDocument/2006/relationships/hyperlink" Target="http://www.nevo.co.il/case/13101134" TargetMode="External"/><Relationship Id="rId36" Type="http://schemas.openxmlformats.org/officeDocument/2006/relationships/hyperlink" Target="http://www.nevo.co.il/case/21771409" TargetMode="External"/><Relationship Id="rId49" Type="http://schemas.openxmlformats.org/officeDocument/2006/relationships/hyperlink" Target="http://www.nevo.co.il/law/70301/40jc" TargetMode="External"/><Relationship Id="rId57" Type="http://schemas.openxmlformats.org/officeDocument/2006/relationships/fontTable" Target="fontTable.xml"/><Relationship Id="rId10" Type="http://schemas.openxmlformats.org/officeDocument/2006/relationships/hyperlink" Target="http://www.nevo.co.il/law/70301/40i" TargetMode="External"/><Relationship Id="rId31" Type="http://schemas.openxmlformats.org/officeDocument/2006/relationships/hyperlink" Target="http://www.nevo.co.il/case/25836997" TargetMode="External"/><Relationship Id="rId44" Type="http://schemas.openxmlformats.org/officeDocument/2006/relationships/hyperlink" Target="http://www.nevo.co.il/case/6245594"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4190</Words>
  <Characters>20955</Characters>
  <Application>Microsoft Office Word</Application>
  <DocSecurity>0</DocSecurity>
  <Lines>174</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25095</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3145854</vt:i4>
      </vt:variant>
      <vt:variant>
        <vt:i4>129</vt:i4>
      </vt:variant>
      <vt:variant>
        <vt:i4>0</vt:i4>
      </vt:variant>
      <vt:variant>
        <vt:i4>5</vt:i4>
      </vt:variant>
      <vt:variant>
        <vt:lpwstr>http://www.nevo.co.il/case/5852404</vt:lpwstr>
      </vt:variant>
      <vt:variant>
        <vt:lpwstr/>
      </vt:variant>
      <vt:variant>
        <vt:i4>262155</vt:i4>
      </vt:variant>
      <vt:variant>
        <vt:i4>126</vt:i4>
      </vt:variant>
      <vt:variant>
        <vt:i4>0</vt:i4>
      </vt:variant>
      <vt:variant>
        <vt:i4>5</vt:i4>
      </vt:variant>
      <vt:variant>
        <vt:lpwstr>http://www.nevo.co.il/law/70301/40ja</vt:lpwstr>
      </vt:variant>
      <vt:variant>
        <vt:lpwstr/>
      </vt:variant>
      <vt:variant>
        <vt:i4>393227</vt:i4>
      </vt:variant>
      <vt:variant>
        <vt:i4>123</vt:i4>
      </vt:variant>
      <vt:variant>
        <vt:i4>0</vt:i4>
      </vt:variant>
      <vt:variant>
        <vt:i4>5</vt:i4>
      </vt:variant>
      <vt:variant>
        <vt:lpwstr>http://www.nevo.co.il/law/70301/40jc</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3932283</vt:i4>
      </vt:variant>
      <vt:variant>
        <vt:i4>117</vt:i4>
      </vt:variant>
      <vt:variant>
        <vt:i4>0</vt:i4>
      </vt:variant>
      <vt:variant>
        <vt:i4>5</vt:i4>
      </vt:variant>
      <vt:variant>
        <vt:lpwstr>http://www.nevo.co.il/case/7897103</vt:lpwstr>
      </vt:variant>
      <vt:variant>
        <vt:lpwstr/>
      </vt:variant>
      <vt:variant>
        <vt:i4>3145852</vt:i4>
      </vt:variant>
      <vt:variant>
        <vt:i4>114</vt:i4>
      </vt:variant>
      <vt:variant>
        <vt:i4>0</vt:i4>
      </vt:variant>
      <vt:variant>
        <vt:i4>5</vt:i4>
      </vt:variant>
      <vt:variant>
        <vt:lpwstr>http://www.nevo.co.il/case/6121286</vt:lpwstr>
      </vt:variant>
      <vt:variant>
        <vt:lpwstr/>
      </vt:variant>
      <vt:variant>
        <vt:i4>3276914</vt:i4>
      </vt:variant>
      <vt:variant>
        <vt:i4>111</vt:i4>
      </vt:variant>
      <vt:variant>
        <vt:i4>0</vt:i4>
      </vt:variant>
      <vt:variant>
        <vt:i4>5</vt:i4>
      </vt:variant>
      <vt:variant>
        <vt:lpwstr>http://www.nevo.co.il/case/20149284</vt:lpwstr>
      </vt:variant>
      <vt:variant>
        <vt:lpwstr/>
      </vt:variant>
      <vt:variant>
        <vt:i4>3342458</vt:i4>
      </vt:variant>
      <vt:variant>
        <vt:i4>108</vt:i4>
      </vt:variant>
      <vt:variant>
        <vt:i4>0</vt:i4>
      </vt:variant>
      <vt:variant>
        <vt:i4>5</vt:i4>
      </vt:variant>
      <vt:variant>
        <vt:lpwstr>http://www.nevo.co.il/case/6245594</vt:lpwstr>
      </vt:variant>
      <vt:variant>
        <vt:lpwstr/>
      </vt:variant>
      <vt:variant>
        <vt:i4>3473524</vt:i4>
      </vt:variant>
      <vt:variant>
        <vt:i4>105</vt:i4>
      </vt:variant>
      <vt:variant>
        <vt:i4>0</vt:i4>
      </vt:variant>
      <vt:variant>
        <vt:i4>5</vt:i4>
      </vt:variant>
      <vt:variant>
        <vt:lpwstr>http://www.nevo.co.il/case/6170713</vt:lpwstr>
      </vt:variant>
      <vt:variant>
        <vt:lpwstr/>
      </vt:variant>
      <vt:variant>
        <vt:i4>3997816</vt:i4>
      </vt:variant>
      <vt:variant>
        <vt:i4>102</vt:i4>
      </vt:variant>
      <vt:variant>
        <vt:i4>0</vt:i4>
      </vt:variant>
      <vt:variant>
        <vt:i4>5</vt:i4>
      </vt:variant>
      <vt:variant>
        <vt:lpwstr>http://www.nevo.co.il/case/7961945</vt:lpwstr>
      </vt:variant>
      <vt:variant>
        <vt:lpwstr/>
      </vt:variant>
      <vt:variant>
        <vt:i4>3276923</vt:i4>
      </vt:variant>
      <vt:variant>
        <vt:i4>99</vt:i4>
      </vt:variant>
      <vt:variant>
        <vt:i4>0</vt:i4>
      </vt:variant>
      <vt:variant>
        <vt:i4>5</vt:i4>
      </vt:variant>
      <vt:variant>
        <vt:lpwstr>http://www.nevo.co.il/case/5917214</vt:lpwstr>
      </vt:variant>
      <vt:variant>
        <vt:lpwstr/>
      </vt:variant>
      <vt:variant>
        <vt:i4>3735674</vt:i4>
      </vt:variant>
      <vt:variant>
        <vt:i4>96</vt:i4>
      </vt:variant>
      <vt:variant>
        <vt:i4>0</vt:i4>
      </vt:variant>
      <vt:variant>
        <vt:i4>5</vt:i4>
      </vt:variant>
      <vt:variant>
        <vt:lpwstr>http://www.nevo.co.il/case/23892410</vt:lpwstr>
      </vt:variant>
      <vt:variant>
        <vt:lpwstr/>
      </vt:variant>
      <vt:variant>
        <vt:i4>3801208</vt:i4>
      </vt:variant>
      <vt:variant>
        <vt:i4>93</vt:i4>
      </vt:variant>
      <vt:variant>
        <vt:i4>0</vt:i4>
      </vt:variant>
      <vt:variant>
        <vt:i4>5</vt:i4>
      </vt:variant>
      <vt:variant>
        <vt:lpwstr>http://www.nevo.co.il/case/24319926</vt:lpwstr>
      </vt:variant>
      <vt:variant>
        <vt:lpwstr/>
      </vt:variant>
      <vt:variant>
        <vt:i4>3735675</vt:i4>
      </vt:variant>
      <vt:variant>
        <vt:i4>90</vt:i4>
      </vt:variant>
      <vt:variant>
        <vt:i4>0</vt:i4>
      </vt:variant>
      <vt:variant>
        <vt:i4>5</vt:i4>
      </vt:variant>
      <vt:variant>
        <vt:lpwstr>http://www.nevo.co.il/case/7791493</vt:lpwstr>
      </vt:variant>
      <vt:variant>
        <vt:lpwstr/>
      </vt:variant>
      <vt:variant>
        <vt:i4>3145843</vt:i4>
      </vt:variant>
      <vt:variant>
        <vt:i4>87</vt:i4>
      </vt:variant>
      <vt:variant>
        <vt:i4>0</vt:i4>
      </vt:variant>
      <vt:variant>
        <vt:i4>5</vt:i4>
      </vt:variant>
      <vt:variant>
        <vt:lpwstr>http://www.nevo.co.il/case/24269595</vt:lpwstr>
      </vt:variant>
      <vt:variant>
        <vt:lpwstr/>
      </vt:variant>
      <vt:variant>
        <vt:i4>3407990</vt:i4>
      </vt:variant>
      <vt:variant>
        <vt:i4>84</vt:i4>
      </vt:variant>
      <vt:variant>
        <vt:i4>0</vt:i4>
      </vt:variant>
      <vt:variant>
        <vt:i4>5</vt:i4>
      </vt:variant>
      <vt:variant>
        <vt:lpwstr>http://www.nevo.co.il/case/21771409</vt:lpwstr>
      </vt:variant>
      <vt:variant>
        <vt:lpwstr/>
      </vt:variant>
      <vt:variant>
        <vt:i4>4063359</vt:i4>
      </vt:variant>
      <vt:variant>
        <vt:i4>81</vt:i4>
      </vt:variant>
      <vt:variant>
        <vt:i4>0</vt:i4>
      </vt:variant>
      <vt:variant>
        <vt:i4>5</vt:i4>
      </vt:variant>
      <vt:variant>
        <vt:lpwstr>http://www.nevo.co.il/case/16944929</vt:lpwstr>
      </vt:variant>
      <vt:variant>
        <vt:lpwstr/>
      </vt:variant>
      <vt:variant>
        <vt:i4>3539068</vt:i4>
      </vt:variant>
      <vt:variant>
        <vt:i4>78</vt:i4>
      </vt:variant>
      <vt:variant>
        <vt:i4>0</vt:i4>
      </vt:variant>
      <vt:variant>
        <vt:i4>5</vt:i4>
      </vt:variant>
      <vt:variant>
        <vt:lpwstr>http://www.nevo.co.il/case/5878682</vt:lpwstr>
      </vt:variant>
      <vt:variant>
        <vt:lpwstr/>
      </vt:variant>
      <vt:variant>
        <vt:i4>3211379</vt:i4>
      </vt:variant>
      <vt:variant>
        <vt:i4>75</vt:i4>
      </vt:variant>
      <vt:variant>
        <vt:i4>0</vt:i4>
      </vt:variant>
      <vt:variant>
        <vt:i4>5</vt:i4>
      </vt:variant>
      <vt:variant>
        <vt:lpwstr>http://www.nevo.co.il/case/24140726</vt:lpwstr>
      </vt:variant>
      <vt:variant>
        <vt:lpwstr/>
      </vt:variant>
      <vt:variant>
        <vt:i4>3539057</vt:i4>
      </vt:variant>
      <vt:variant>
        <vt:i4>72</vt:i4>
      </vt:variant>
      <vt:variant>
        <vt:i4>0</vt:i4>
      </vt:variant>
      <vt:variant>
        <vt:i4>5</vt:i4>
      </vt:variant>
      <vt:variant>
        <vt:lpwstr>http://www.nevo.co.il/case/22908754</vt:lpwstr>
      </vt:variant>
      <vt:variant>
        <vt:lpwstr/>
      </vt:variant>
      <vt:variant>
        <vt:i4>3473531</vt:i4>
      </vt:variant>
      <vt:variant>
        <vt:i4>69</vt:i4>
      </vt:variant>
      <vt:variant>
        <vt:i4>0</vt:i4>
      </vt:variant>
      <vt:variant>
        <vt:i4>5</vt:i4>
      </vt:variant>
      <vt:variant>
        <vt:lpwstr>http://www.nevo.co.il/case/25836997</vt:lpwstr>
      </vt:variant>
      <vt:variant>
        <vt:lpwstr/>
      </vt:variant>
      <vt:variant>
        <vt:i4>4063353</vt:i4>
      </vt:variant>
      <vt:variant>
        <vt:i4>66</vt:i4>
      </vt:variant>
      <vt:variant>
        <vt:i4>0</vt:i4>
      </vt:variant>
      <vt:variant>
        <vt:i4>5</vt:i4>
      </vt:variant>
      <vt:variant>
        <vt:lpwstr>http://www.nevo.co.il/case/25612982</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3276918</vt:i4>
      </vt:variant>
      <vt:variant>
        <vt:i4>60</vt:i4>
      </vt:variant>
      <vt:variant>
        <vt:i4>0</vt:i4>
      </vt:variant>
      <vt:variant>
        <vt:i4>5</vt:i4>
      </vt:variant>
      <vt:variant>
        <vt:lpwstr>http://www.nevo.co.il/case/13101134</vt:lpwstr>
      </vt:variant>
      <vt:variant>
        <vt:lpwstr/>
      </vt:variant>
      <vt:variant>
        <vt:i4>3276921</vt:i4>
      </vt:variant>
      <vt:variant>
        <vt:i4>57</vt:i4>
      </vt:variant>
      <vt:variant>
        <vt:i4>0</vt:i4>
      </vt:variant>
      <vt:variant>
        <vt:i4>5</vt:i4>
      </vt:variant>
      <vt:variant>
        <vt:lpwstr>http://www.nevo.co.il/case/22790672</vt:lpwstr>
      </vt:variant>
      <vt:variant>
        <vt:lpwstr/>
      </vt:variant>
      <vt:variant>
        <vt:i4>3342462</vt:i4>
      </vt:variant>
      <vt:variant>
        <vt:i4>54</vt:i4>
      </vt:variant>
      <vt:variant>
        <vt:i4>0</vt:i4>
      </vt:variant>
      <vt:variant>
        <vt:i4>5</vt:i4>
      </vt:variant>
      <vt:variant>
        <vt:lpwstr>http://www.nevo.co.il/case/6113286</vt:lpwstr>
      </vt:variant>
      <vt:variant>
        <vt:lpwstr/>
      </vt:variant>
      <vt:variant>
        <vt:i4>3997822</vt:i4>
      </vt:variant>
      <vt:variant>
        <vt:i4>51</vt:i4>
      </vt:variant>
      <vt:variant>
        <vt:i4>0</vt:i4>
      </vt:variant>
      <vt:variant>
        <vt:i4>5</vt:i4>
      </vt:variant>
      <vt:variant>
        <vt:lpwstr>http://www.nevo.co.il/case/26492590</vt:lpwstr>
      </vt:variant>
      <vt:variant>
        <vt:lpwstr/>
      </vt:variant>
      <vt:variant>
        <vt:i4>3670139</vt:i4>
      </vt:variant>
      <vt:variant>
        <vt:i4>48</vt:i4>
      </vt:variant>
      <vt:variant>
        <vt:i4>0</vt:i4>
      </vt:variant>
      <vt:variant>
        <vt:i4>5</vt:i4>
      </vt:variant>
      <vt:variant>
        <vt:lpwstr>http://www.nevo.co.il/case/25824863</vt:lpwstr>
      </vt:variant>
      <vt:variant>
        <vt:lpwstr/>
      </vt:variant>
      <vt:variant>
        <vt:i4>4128892</vt:i4>
      </vt:variant>
      <vt:variant>
        <vt:i4>45</vt:i4>
      </vt:variant>
      <vt:variant>
        <vt:i4>0</vt:i4>
      </vt:variant>
      <vt:variant>
        <vt:i4>5</vt:i4>
      </vt:variant>
      <vt:variant>
        <vt:lpwstr>http://www.nevo.co.il/case/25940943</vt:lpwstr>
      </vt:variant>
      <vt:variant>
        <vt:lpwstr/>
      </vt:variant>
      <vt:variant>
        <vt:i4>4063347</vt:i4>
      </vt:variant>
      <vt:variant>
        <vt:i4>42</vt:i4>
      </vt:variant>
      <vt:variant>
        <vt:i4>0</vt:i4>
      </vt:variant>
      <vt:variant>
        <vt:i4>5</vt:i4>
      </vt:variant>
      <vt:variant>
        <vt:lpwstr>http://www.nevo.co.il/case/25840643</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6684735</vt:i4>
      </vt:variant>
      <vt:variant>
        <vt:i4>33</vt:i4>
      </vt:variant>
      <vt:variant>
        <vt:i4>0</vt:i4>
      </vt:variant>
      <vt:variant>
        <vt:i4>5</vt:i4>
      </vt:variant>
      <vt:variant>
        <vt:lpwstr>http://www.nevo.co.il/law/70301/338.a.1</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6684735</vt:i4>
      </vt:variant>
      <vt:variant>
        <vt:i4>15</vt:i4>
      </vt:variant>
      <vt:variant>
        <vt:i4>0</vt:i4>
      </vt:variant>
      <vt:variant>
        <vt:i4>5</vt:i4>
      </vt:variant>
      <vt:variant>
        <vt:lpwstr>http://www.nevo.co.il/law/70301/338.a.1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2023-12-07T12:24:00Z</dcterms:created>
  <dcterms:modified xsi:type="dcterms:W3CDTF">2023-12-07T12:24:00Z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1203</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היסאם אבו סבלאן;מחמד אבו סבלאן</vt:lpwstr>
  </property>
  <property fmtid="{D5CDD505-2E9C-101B-9397-08002B2CF9AE}" pid="10" name="LAWYER">
    <vt:lpwstr>איריס פיקר;שוקרי ואוזן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20200707</vt:lpwstr>
  </property>
  <property fmtid="{D5CDD505-2E9C-101B-9397-08002B2CF9AE}" pid="14" name="TYPE_N_DATE">
    <vt:lpwstr>39020200707</vt:lpwstr>
  </property>
  <property fmtid="{D5CDD505-2E9C-101B-9397-08002B2CF9AE}" pid="15" name="WORDNUMPAGES">
    <vt:lpwstr>12</vt:lpwstr>
  </property>
  <property fmtid="{D5CDD505-2E9C-101B-9397-08002B2CF9AE}" pid="16" name="TYPE_ABS_DATE">
    <vt:lpwstr>390020200707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25840643;25940943;25824863;26492590;6113286;22790672;13101134;25612982;25836997;22908754;24140726;5878682;16944929;21771409;24269595;7791493;24319926;23892410;5917214;7961945;6170713;6245594;20149284;6121286;7897103;5852404</vt:lpwstr>
  </property>
  <property fmtid="{D5CDD505-2E9C-101B-9397-08002B2CF9AE}" pid="36" name="LAWLISTTMP1">
    <vt:lpwstr>70301/144.b;029:2;338.a.1;144.a;040i;40jc;40ja</vt:lpwstr>
  </property>
</Properties>
</file>