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4A0" w:firstRow="1" w:lastRow="0" w:firstColumn="1" w:lastColumn="0" w:noHBand="0" w:noVBand="1"/>
      </w:tblPr>
      <w:tblGrid>
        <w:gridCol w:w="2835"/>
        <w:gridCol w:w="2835"/>
        <w:gridCol w:w="2835"/>
      </w:tblGrid>
      <w:tr w:rsidR="006F0323" w:rsidRPr="001C5B8F" w14:paraId="47F8D9E8" w14:textId="77777777" w:rsidTr="00AD4463">
        <w:trPr>
          <w:trHeight w:val="418"/>
          <w:jc w:val="center"/>
        </w:trPr>
        <w:tc>
          <w:tcPr>
            <w:tcW w:w="8505" w:type="dxa"/>
            <w:gridSpan w:val="3"/>
          </w:tcPr>
          <w:p w14:paraId="09B03549" w14:textId="77777777" w:rsidR="006F0323" w:rsidRPr="001C5B8F" w:rsidRDefault="006F0323" w:rsidP="00AD4463">
            <w:pPr>
              <w:tabs>
                <w:tab w:val="center" w:pos="4153"/>
                <w:tab w:val="right" w:pos="8306"/>
              </w:tabs>
              <w:spacing w:line="360" w:lineRule="auto"/>
              <w:ind w:left="567" w:hanging="567"/>
              <w:jc w:val="center"/>
              <w:rPr>
                <w:rFonts w:ascii="Tahoma" w:hAnsi="Tahoma" w:cs="Tahoma"/>
                <w:color w:val="0F0246"/>
                <w:sz w:val="18"/>
                <w:szCs w:val="18"/>
                <w:rtl/>
              </w:rPr>
            </w:pPr>
            <w:r w:rsidRPr="001C5B8F">
              <w:rPr>
                <w:rFonts w:ascii="Tahoma" w:hAnsi="Tahoma" w:cs="Tahoma"/>
                <w:color w:val="0F0246"/>
                <w:sz w:val="18"/>
                <w:szCs w:val="18"/>
                <w:rtl/>
              </w:rPr>
              <w:t>בית המשפט המחוזי בחיפה</w:t>
            </w:r>
          </w:p>
        </w:tc>
      </w:tr>
      <w:tr w:rsidR="006F0323" w:rsidRPr="001C5B8F" w14:paraId="50268B00" w14:textId="77777777" w:rsidTr="00AD4463">
        <w:trPr>
          <w:trHeight w:val="699"/>
          <w:jc w:val="center"/>
        </w:trPr>
        <w:tc>
          <w:tcPr>
            <w:tcW w:w="2835" w:type="dxa"/>
            <w:tcBorders>
              <w:top w:val="nil"/>
              <w:left w:val="nil"/>
              <w:bottom w:val="single" w:sz="4" w:space="0" w:color="auto"/>
              <w:right w:val="nil"/>
            </w:tcBorders>
          </w:tcPr>
          <w:p w14:paraId="30CC6F73" w14:textId="77777777" w:rsidR="006F0323" w:rsidRPr="001C5B8F" w:rsidRDefault="006F0323" w:rsidP="00AD4463">
            <w:pPr>
              <w:rPr>
                <w:rFonts w:ascii="David" w:eastAsia="Calibri" w:hAnsi="David"/>
                <w:b/>
                <w:bCs/>
                <w:sz w:val="22"/>
                <w:szCs w:val="22"/>
                <w:rtl/>
              </w:rPr>
            </w:pPr>
            <w:r w:rsidRPr="001C5B8F">
              <w:rPr>
                <w:rFonts w:ascii="David" w:eastAsia="Calibri" w:hAnsi="David"/>
                <w:b/>
                <w:bCs/>
                <w:sz w:val="22"/>
                <w:szCs w:val="22"/>
                <w:rtl/>
              </w:rPr>
              <w:t>ת"פ 13270-02-20</w:t>
            </w:r>
          </w:p>
          <w:p w14:paraId="2DDC6446" w14:textId="77777777" w:rsidR="006F0323" w:rsidRPr="001C5B8F" w:rsidRDefault="006F0323" w:rsidP="00AD4463">
            <w:pPr>
              <w:rPr>
                <w:rFonts w:ascii="David" w:eastAsia="Calibri" w:hAnsi="David"/>
                <w:b/>
                <w:bCs/>
                <w:sz w:val="22"/>
                <w:szCs w:val="22"/>
                <w:rtl/>
              </w:rPr>
            </w:pPr>
            <w:r w:rsidRPr="001C5B8F">
              <w:rPr>
                <w:rFonts w:ascii="David" w:eastAsia="Calibri" w:hAnsi="David"/>
                <w:b/>
                <w:bCs/>
                <w:sz w:val="22"/>
                <w:szCs w:val="22"/>
                <w:rtl/>
              </w:rPr>
              <w:t>מדינת ישראל נ' מברשם ואח'</w:t>
            </w:r>
          </w:p>
        </w:tc>
        <w:tc>
          <w:tcPr>
            <w:tcW w:w="2835" w:type="dxa"/>
          </w:tcPr>
          <w:p w14:paraId="7AFF8E91" w14:textId="77777777" w:rsidR="006F0323" w:rsidRPr="001C5B8F" w:rsidRDefault="006F0323" w:rsidP="00AD4463">
            <w:pPr>
              <w:tabs>
                <w:tab w:val="center" w:pos="4153"/>
                <w:tab w:val="right" w:pos="8306"/>
              </w:tabs>
              <w:ind w:hanging="567"/>
              <w:jc w:val="center"/>
              <w:rPr>
                <w:rFonts w:ascii="David" w:hAnsi="David"/>
                <w:b/>
                <w:bCs/>
                <w:color w:val="000054"/>
                <w:sz w:val="22"/>
                <w:szCs w:val="22"/>
                <w:rtl/>
              </w:rPr>
            </w:pPr>
          </w:p>
        </w:tc>
        <w:tc>
          <w:tcPr>
            <w:tcW w:w="2835" w:type="dxa"/>
            <w:tcBorders>
              <w:top w:val="nil"/>
              <w:left w:val="nil"/>
              <w:bottom w:val="single" w:sz="4" w:space="0" w:color="auto"/>
              <w:right w:val="nil"/>
            </w:tcBorders>
            <w:vAlign w:val="center"/>
          </w:tcPr>
          <w:p w14:paraId="390D5945" w14:textId="77777777" w:rsidR="006F0323" w:rsidRPr="001C5B8F" w:rsidRDefault="006F0323" w:rsidP="00AD4463">
            <w:pPr>
              <w:tabs>
                <w:tab w:val="center" w:pos="4153"/>
                <w:tab w:val="right" w:pos="8306"/>
              </w:tabs>
              <w:jc w:val="center"/>
              <w:rPr>
                <w:rFonts w:ascii="David" w:hAnsi="David"/>
                <w:b/>
                <w:bCs/>
                <w:sz w:val="22"/>
                <w:szCs w:val="22"/>
                <w:rtl/>
              </w:rPr>
            </w:pPr>
            <w:r w:rsidRPr="001C5B8F">
              <w:rPr>
                <w:rFonts w:ascii="David" w:hAnsi="David"/>
                <w:b/>
                <w:bCs/>
                <w:sz w:val="22"/>
                <w:szCs w:val="22"/>
                <w:rtl/>
              </w:rPr>
              <w:t>24.11.202</w:t>
            </w:r>
          </w:p>
        </w:tc>
      </w:tr>
    </w:tbl>
    <w:p w14:paraId="71AF5E28" w14:textId="77777777" w:rsidR="006F0323" w:rsidRPr="001C5B8F" w:rsidRDefault="006F0323" w:rsidP="006F0323">
      <w:pPr>
        <w:spacing w:after="160" w:line="256" w:lineRule="auto"/>
        <w:rPr>
          <w:rFonts w:ascii="Calibri" w:eastAsia="Calibri" w:hAnsi="Calibri" w:cs="Arial"/>
          <w:sz w:val="22"/>
          <w:szCs w:val="22"/>
          <w:rtl/>
        </w:rPr>
      </w:pPr>
    </w:p>
    <w:p w14:paraId="6FBC1898" w14:textId="77777777" w:rsidR="006F0323" w:rsidRPr="001C5B8F" w:rsidRDefault="006F0323" w:rsidP="006F0323">
      <w:pPr>
        <w:pStyle w:val="a3"/>
        <w:rPr>
          <w:rtl/>
        </w:rPr>
      </w:pPr>
    </w:p>
    <w:p w14:paraId="1E0866FF" w14:textId="77777777" w:rsidR="006F0323" w:rsidRPr="001C5B8F" w:rsidRDefault="006F0323" w:rsidP="006F0323">
      <w:pPr>
        <w:spacing w:after="160" w:line="256" w:lineRule="auto"/>
        <w:jc w:val="center"/>
        <w:rPr>
          <w:rFonts w:ascii="David" w:eastAsia="Calibri" w:hAnsi="David"/>
          <w:b/>
          <w:bCs/>
          <w:sz w:val="22"/>
          <w:szCs w:val="22"/>
          <w:rtl/>
        </w:rPr>
      </w:pPr>
    </w:p>
    <w:p w14:paraId="43640E24" w14:textId="77777777" w:rsidR="006F0323" w:rsidRPr="001C5B8F" w:rsidRDefault="006F0323" w:rsidP="006F0323">
      <w:pPr>
        <w:spacing w:after="160" w:line="256" w:lineRule="auto"/>
        <w:jc w:val="center"/>
        <w:rPr>
          <w:rFonts w:ascii="David" w:eastAsia="Calibri" w:hAnsi="David"/>
          <w:b/>
          <w:bCs/>
          <w:sz w:val="22"/>
          <w:szCs w:val="22"/>
          <w:rtl/>
        </w:rPr>
      </w:pPr>
    </w:p>
    <w:tbl>
      <w:tblPr>
        <w:bidiVisual/>
        <w:tblW w:w="8647" w:type="dxa"/>
        <w:tblLayout w:type="fixed"/>
        <w:tblCellMar>
          <w:left w:w="107" w:type="dxa"/>
          <w:right w:w="107" w:type="dxa"/>
        </w:tblCellMar>
        <w:tblLook w:val="04A0" w:firstRow="1" w:lastRow="0" w:firstColumn="1" w:lastColumn="0" w:noHBand="0" w:noVBand="1"/>
      </w:tblPr>
      <w:tblGrid>
        <w:gridCol w:w="1418"/>
        <w:gridCol w:w="3451"/>
        <w:gridCol w:w="1417"/>
        <w:gridCol w:w="2361"/>
      </w:tblGrid>
      <w:tr w:rsidR="006F0323" w:rsidRPr="001C5B8F" w14:paraId="6682D7DA" w14:textId="77777777" w:rsidTr="00AD4463">
        <w:trPr>
          <w:trHeight w:val="495"/>
        </w:trPr>
        <w:tc>
          <w:tcPr>
            <w:tcW w:w="6286" w:type="dxa"/>
            <w:gridSpan w:val="3"/>
          </w:tcPr>
          <w:p w14:paraId="707F5C2F" w14:textId="77777777" w:rsidR="006F0323" w:rsidRPr="001C5B8F" w:rsidRDefault="006F0323" w:rsidP="00AD4463">
            <w:pPr>
              <w:suppressLineNumbers/>
              <w:overflowPunct w:val="0"/>
              <w:autoSpaceDE w:val="0"/>
              <w:autoSpaceDN w:val="0"/>
              <w:adjustRightInd w:val="0"/>
              <w:spacing w:line="360" w:lineRule="auto"/>
              <w:rPr>
                <w:b/>
                <w:bCs/>
                <w:sz w:val="22"/>
                <w:szCs w:val="22"/>
                <w:rtl/>
                <w:lang w:eastAsia="he-IL"/>
              </w:rPr>
            </w:pPr>
            <w:r w:rsidRPr="001C5B8F">
              <w:rPr>
                <w:b/>
                <w:bCs/>
                <w:sz w:val="22"/>
                <w:szCs w:val="22"/>
                <w:rtl/>
                <w:lang w:eastAsia="he-IL"/>
              </w:rPr>
              <w:t>לפני השופט יצחק כהן, סגן נשיא</w:t>
            </w:r>
          </w:p>
        </w:tc>
        <w:tc>
          <w:tcPr>
            <w:tcW w:w="2361" w:type="dxa"/>
          </w:tcPr>
          <w:p w14:paraId="6100607F" w14:textId="77777777" w:rsidR="006F0323" w:rsidRPr="001C5B8F" w:rsidRDefault="006F0323" w:rsidP="00AD4463">
            <w:pPr>
              <w:suppressLineNumbers/>
              <w:overflowPunct w:val="0"/>
              <w:autoSpaceDE w:val="0"/>
              <w:autoSpaceDN w:val="0"/>
              <w:adjustRightInd w:val="0"/>
              <w:spacing w:line="256" w:lineRule="auto"/>
              <w:rPr>
                <w:b/>
                <w:bCs/>
                <w:sz w:val="22"/>
                <w:szCs w:val="26"/>
                <w:rtl/>
                <w:lang w:eastAsia="he-IL"/>
              </w:rPr>
            </w:pPr>
          </w:p>
        </w:tc>
      </w:tr>
      <w:tr w:rsidR="006F0323" w:rsidRPr="001C5B8F" w14:paraId="28D5E98C" w14:textId="77777777" w:rsidTr="00AD4463">
        <w:trPr>
          <w:trHeight w:val="495"/>
        </w:trPr>
        <w:tc>
          <w:tcPr>
            <w:tcW w:w="1418" w:type="dxa"/>
          </w:tcPr>
          <w:p w14:paraId="449FBFBB" w14:textId="77777777" w:rsidR="006F0323" w:rsidRPr="001C5B8F" w:rsidRDefault="006F0323" w:rsidP="00AD4463">
            <w:pPr>
              <w:suppressLineNumbers/>
              <w:overflowPunct w:val="0"/>
              <w:autoSpaceDE w:val="0"/>
              <w:autoSpaceDN w:val="0"/>
              <w:adjustRightInd w:val="0"/>
              <w:spacing w:line="256" w:lineRule="auto"/>
              <w:rPr>
                <w:b/>
                <w:bCs/>
                <w:sz w:val="22"/>
                <w:rtl/>
                <w:lang w:eastAsia="he-IL"/>
              </w:rPr>
            </w:pPr>
            <w:bookmarkStart w:id="0" w:name="LastJudge"/>
            <w:bookmarkEnd w:id="0"/>
          </w:p>
        </w:tc>
        <w:tc>
          <w:tcPr>
            <w:tcW w:w="4868" w:type="dxa"/>
            <w:gridSpan w:val="2"/>
          </w:tcPr>
          <w:p w14:paraId="3F8B343D"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p>
        </w:tc>
        <w:tc>
          <w:tcPr>
            <w:tcW w:w="2361" w:type="dxa"/>
          </w:tcPr>
          <w:p w14:paraId="5A5FD0B1" w14:textId="77777777" w:rsidR="006F0323" w:rsidRPr="001C5B8F" w:rsidRDefault="006F0323" w:rsidP="00AD4463">
            <w:pPr>
              <w:suppressLineNumbers/>
              <w:overflowPunct w:val="0"/>
              <w:autoSpaceDE w:val="0"/>
              <w:autoSpaceDN w:val="0"/>
              <w:adjustRightInd w:val="0"/>
              <w:spacing w:line="256" w:lineRule="auto"/>
              <w:rPr>
                <w:b/>
                <w:bCs/>
                <w:sz w:val="22"/>
                <w:szCs w:val="26"/>
                <w:rtl/>
                <w:lang w:eastAsia="he-IL"/>
              </w:rPr>
            </w:pPr>
          </w:p>
        </w:tc>
      </w:tr>
      <w:tr w:rsidR="006F0323" w:rsidRPr="001C5B8F" w14:paraId="39D1CF9E" w14:textId="77777777" w:rsidTr="00AD4463">
        <w:trPr>
          <w:trHeight w:val="105"/>
        </w:trPr>
        <w:tc>
          <w:tcPr>
            <w:tcW w:w="1418" w:type="dxa"/>
          </w:tcPr>
          <w:p w14:paraId="316D7222" w14:textId="77777777" w:rsidR="006F0323" w:rsidRPr="001C5B8F" w:rsidRDefault="006F0323" w:rsidP="00AD4463">
            <w:pPr>
              <w:suppressLineNumbers/>
              <w:overflowPunct w:val="0"/>
              <w:autoSpaceDE w:val="0"/>
              <w:autoSpaceDN w:val="0"/>
              <w:adjustRightInd w:val="0"/>
              <w:spacing w:line="256" w:lineRule="auto"/>
              <w:rPr>
                <w:b/>
                <w:bCs/>
                <w:sz w:val="22"/>
                <w:rtl/>
                <w:lang w:eastAsia="he-IL"/>
              </w:rPr>
            </w:pPr>
          </w:p>
        </w:tc>
        <w:tc>
          <w:tcPr>
            <w:tcW w:w="4868" w:type="dxa"/>
            <w:gridSpan w:val="2"/>
          </w:tcPr>
          <w:p w14:paraId="4EC046C3"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r w:rsidRPr="001C5B8F">
              <w:rPr>
                <w:b/>
                <w:bCs/>
                <w:sz w:val="22"/>
                <w:rtl/>
                <w:lang w:eastAsia="he-IL"/>
              </w:rPr>
              <w:t>מדינת ישראל</w:t>
            </w:r>
          </w:p>
        </w:tc>
        <w:tc>
          <w:tcPr>
            <w:tcW w:w="2361" w:type="dxa"/>
          </w:tcPr>
          <w:p w14:paraId="41677A76" w14:textId="77777777" w:rsidR="006F0323" w:rsidRPr="001C5B8F" w:rsidRDefault="006F0323" w:rsidP="00AD4463">
            <w:pPr>
              <w:suppressLineNumbers/>
              <w:overflowPunct w:val="0"/>
              <w:autoSpaceDE w:val="0"/>
              <w:autoSpaceDN w:val="0"/>
              <w:adjustRightInd w:val="0"/>
              <w:spacing w:line="256" w:lineRule="auto"/>
              <w:rPr>
                <w:b/>
                <w:bCs/>
                <w:sz w:val="22"/>
                <w:szCs w:val="26"/>
                <w:rtl/>
                <w:lang w:eastAsia="he-IL"/>
              </w:rPr>
            </w:pPr>
          </w:p>
        </w:tc>
      </w:tr>
      <w:tr w:rsidR="006F0323" w:rsidRPr="001C5B8F" w14:paraId="4227AC6B" w14:textId="77777777" w:rsidTr="00AD4463">
        <w:tc>
          <w:tcPr>
            <w:tcW w:w="1418" w:type="dxa"/>
          </w:tcPr>
          <w:p w14:paraId="4116B691" w14:textId="77777777" w:rsidR="006F0323" w:rsidRPr="001C5B8F" w:rsidRDefault="006F0323" w:rsidP="00AD4463">
            <w:pPr>
              <w:suppressLineNumbers/>
              <w:overflowPunct w:val="0"/>
              <w:autoSpaceDE w:val="0"/>
              <w:autoSpaceDN w:val="0"/>
              <w:adjustRightInd w:val="0"/>
              <w:spacing w:line="256" w:lineRule="auto"/>
              <w:rPr>
                <w:b/>
                <w:bCs/>
                <w:sz w:val="22"/>
                <w:rtl/>
                <w:lang w:eastAsia="he-IL"/>
              </w:rPr>
            </w:pPr>
            <w:bookmarkStart w:id="1" w:name="FirstAppellant" w:colFirst="0" w:colLast="0"/>
            <w:bookmarkStart w:id="2" w:name="FirstLawyer"/>
          </w:p>
        </w:tc>
        <w:tc>
          <w:tcPr>
            <w:tcW w:w="3451" w:type="dxa"/>
          </w:tcPr>
          <w:p w14:paraId="1F66AE2C" w14:textId="77777777" w:rsidR="006F0323" w:rsidRPr="001C5B8F" w:rsidRDefault="006F0323" w:rsidP="00AD4463">
            <w:pPr>
              <w:suppressLineNumbers/>
              <w:overflowPunct w:val="0"/>
              <w:autoSpaceDE w:val="0"/>
              <w:autoSpaceDN w:val="0"/>
              <w:adjustRightInd w:val="0"/>
              <w:spacing w:line="256" w:lineRule="auto"/>
              <w:rPr>
                <w:b/>
                <w:bCs/>
                <w:sz w:val="22"/>
                <w:szCs w:val="22"/>
                <w:rtl/>
                <w:lang w:eastAsia="he-IL"/>
              </w:rPr>
            </w:pPr>
            <w:r w:rsidRPr="001C5B8F">
              <w:rPr>
                <w:sz w:val="22"/>
                <w:szCs w:val="22"/>
                <w:rtl/>
                <w:lang w:eastAsia="he-IL"/>
              </w:rPr>
              <w:t>ע"י ב"כ עו"ד משה אייל [פמח"פ]</w:t>
            </w:r>
          </w:p>
        </w:tc>
        <w:tc>
          <w:tcPr>
            <w:tcW w:w="1417" w:type="dxa"/>
          </w:tcPr>
          <w:p w14:paraId="41348B20" w14:textId="77777777" w:rsidR="006F0323" w:rsidRPr="001C5B8F" w:rsidRDefault="006F0323" w:rsidP="00AD4463">
            <w:pPr>
              <w:suppressLineNumbers/>
              <w:overflowPunct w:val="0"/>
              <w:autoSpaceDE w:val="0"/>
              <w:autoSpaceDN w:val="0"/>
              <w:adjustRightInd w:val="0"/>
              <w:spacing w:line="256" w:lineRule="auto"/>
              <w:rPr>
                <w:sz w:val="22"/>
                <w:szCs w:val="22"/>
                <w:rtl/>
                <w:lang w:eastAsia="he-IL"/>
              </w:rPr>
            </w:pPr>
          </w:p>
        </w:tc>
        <w:tc>
          <w:tcPr>
            <w:tcW w:w="2361" w:type="dxa"/>
          </w:tcPr>
          <w:p w14:paraId="17CA2CDC" w14:textId="77777777" w:rsidR="006F0323" w:rsidRPr="001C5B8F" w:rsidRDefault="006F0323" w:rsidP="00AD4463">
            <w:pPr>
              <w:suppressLineNumbers/>
              <w:overflowPunct w:val="0"/>
              <w:autoSpaceDE w:val="0"/>
              <w:autoSpaceDN w:val="0"/>
              <w:adjustRightInd w:val="0"/>
              <w:spacing w:line="256" w:lineRule="auto"/>
              <w:rPr>
                <w:b/>
                <w:bCs/>
                <w:sz w:val="22"/>
                <w:szCs w:val="26"/>
                <w:rtl/>
                <w:lang w:eastAsia="he-IL"/>
              </w:rPr>
            </w:pPr>
            <w:r w:rsidRPr="001C5B8F">
              <w:rPr>
                <w:b/>
                <w:bCs/>
                <w:sz w:val="22"/>
                <w:szCs w:val="22"/>
                <w:rtl/>
                <w:lang w:eastAsia="he-IL"/>
              </w:rPr>
              <w:t>המאשימה</w:t>
            </w:r>
          </w:p>
        </w:tc>
      </w:tr>
      <w:bookmarkEnd w:id="2"/>
      <w:tr w:rsidR="006F0323" w:rsidRPr="001C5B8F" w14:paraId="02E660B3" w14:textId="77777777" w:rsidTr="00AD4463">
        <w:trPr>
          <w:trHeight w:val="652"/>
        </w:trPr>
        <w:tc>
          <w:tcPr>
            <w:tcW w:w="1418" w:type="dxa"/>
          </w:tcPr>
          <w:p w14:paraId="070E5D11" w14:textId="77777777" w:rsidR="006F0323" w:rsidRPr="001C5B8F" w:rsidRDefault="006F0323" w:rsidP="00AD4463">
            <w:pPr>
              <w:suppressLineNumbers/>
              <w:overflowPunct w:val="0"/>
              <w:autoSpaceDE w:val="0"/>
              <w:autoSpaceDN w:val="0"/>
              <w:adjustRightInd w:val="0"/>
              <w:spacing w:before="600" w:line="256" w:lineRule="auto"/>
              <w:jc w:val="center"/>
              <w:rPr>
                <w:b/>
                <w:bCs/>
                <w:sz w:val="22"/>
                <w:rtl/>
                <w:lang w:eastAsia="he-IL"/>
              </w:rPr>
            </w:pPr>
          </w:p>
        </w:tc>
        <w:tc>
          <w:tcPr>
            <w:tcW w:w="4868" w:type="dxa"/>
            <w:gridSpan w:val="2"/>
            <w:vAlign w:val="center"/>
          </w:tcPr>
          <w:p w14:paraId="4D1500A2" w14:textId="77777777" w:rsidR="006F0323" w:rsidRPr="001C5B8F" w:rsidRDefault="006F0323" w:rsidP="00AD4463">
            <w:pPr>
              <w:suppressLineNumbers/>
              <w:overflowPunct w:val="0"/>
              <w:autoSpaceDE w:val="0"/>
              <w:autoSpaceDN w:val="0"/>
              <w:adjustRightInd w:val="0"/>
              <w:spacing w:line="256" w:lineRule="auto"/>
              <w:jc w:val="center"/>
              <w:rPr>
                <w:b/>
                <w:bCs/>
                <w:sz w:val="22"/>
                <w:rtl/>
                <w:lang w:eastAsia="he-IL"/>
              </w:rPr>
            </w:pPr>
            <w:r w:rsidRPr="001C5B8F">
              <w:rPr>
                <w:b/>
                <w:bCs/>
                <w:sz w:val="22"/>
                <w:rtl/>
                <w:lang w:eastAsia="he-IL"/>
              </w:rPr>
              <w:t>נגד</w:t>
            </w:r>
          </w:p>
        </w:tc>
        <w:tc>
          <w:tcPr>
            <w:tcW w:w="2361" w:type="dxa"/>
          </w:tcPr>
          <w:p w14:paraId="39C62E2E" w14:textId="77777777" w:rsidR="006F0323" w:rsidRPr="001C5B8F" w:rsidRDefault="006F0323" w:rsidP="00AD4463">
            <w:pPr>
              <w:suppressLineNumbers/>
              <w:overflowPunct w:val="0"/>
              <w:autoSpaceDE w:val="0"/>
              <w:autoSpaceDN w:val="0"/>
              <w:adjustRightInd w:val="0"/>
              <w:spacing w:line="256" w:lineRule="auto"/>
              <w:rPr>
                <w:b/>
                <w:bCs/>
                <w:sz w:val="22"/>
                <w:rtl/>
                <w:lang w:eastAsia="he-IL"/>
              </w:rPr>
            </w:pPr>
          </w:p>
        </w:tc>
      </w:tr>
      <w:bookmarkEnd w:id="1"/>
      <w:tr w:rsidR="006F0323" w:rsidRPr="001C5B8F" w14:paraId="3052B4E4" w14:textId="77777777" w:rsidTr="00AD4463">
        <w:trPr>
          <w:trHeight w:val="4302"/>
        </w:trPr>
        <w:tc>
          <w:tcPr>
            <w:tcW w:w="1418" w:type="dxa"/>
          </w:tcPr>
          <w:p w14:paraId="5B18592A" w14:textId="77777777" w:rsidR="006F0323" w:rsidRPr="001C5B8F" w:rsidRDefault="006F0323" w:rsidP="00AD4463">
            <w:pPr>
              <w:suppressLineNumbers/>
              <w:overflowPunct w:val="0"/>
              <w:autoSpaceDE w:val="0"/>
              <w:autoSpaceDN w:val="0"/>
              <w:adjustRightInd w:val="0"/>
              <w:spacing w:line="256" w:lineRule="auto"/>
              <w:rPr>
                <w:b/>
                <w:bCs/>
                <w:sz w:val="22"/>
                <w:rtl/>
                <w:lang w:eastAsia="he-IL"/>
              </w:rPr>
            </w:pPr>
          </w:p>
        </w:tc>
        <w:tc>
          <w:tcPr>
            <w:tcW w:w="4868" w:type="dxa"/>
            <w:gridSpan w:val="2"/>
          </w:tcPr>
          <w:p w14:paraId="50218B8F"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r w:rsidRPr="001C5B8F">
              <w:rPr>
                <w:b/>
                <w:bCs/>
                <w:sz w:val="22"/>
                <w:rtl/>
                <w:lang w:eastAsia="he-IL"/>
              </w:rPr>
              <w:t>1. פארס (בן עלי) מברשם</w:t>
            </w:r>
          </w:p>
          <w:p w14:paraId="31F3BBA0" w14:textId="77777777" w:rsidR="006F0323" w:rsidRPr="001C5B8F" w:rsidRDefault="006F0323" w:rsidP="00AD4463">
            <w:pPr>
              <w:suppressLineNumbers/>
              <w:overflowPunct w:val="0"/>
              <w:autoSpaceDE w:val="0"/>
              <w:autoSpaceDN w:val="0"/>
              <w:adjustRightInd w:val="0"/>
              <w:spacing w:line="360" w:lineRule="auto"/>
              <w:rPr>
                <w:sz w:val="22"/>
                <w:szCs w:val="22"/>
                <w:rtl/>
                <w:lang w:eastAsia="he-IL"/>
              </w:rPr>
            </w:pPr>
            <w:r w:rsidRPr="001C5B8F">
              <w:rPr>
                <w:b/>
                <w:bCs/>
                <w:sz w:val="22"/>
                <w:rtl/>
                <w:lang w:eastAsia="he-IL"/>
              </w:rPr>
              <w:t xml:space="preserve">    </w:t>
            </w:r>
            <w:r w:rsidRPr="001C5B8F">
              <w:rPr>
                <w:sz w:val="22"/>
                <w:szCs w:val="22"/>
                <w:rtl/>
                <w:lang w:eastAsia="he-IL"/>
              </w:rPr>
              <w:t xml:space="preserve">ת"ז </w:t>
            </w:r>
            <w:r w:rsidR="001C5B8F">
              <w:rPr>
                <w:sz w:val="22"/>
                <w:szCs w:val="22"/>
                <w:lang w:eastAsia="he-IL"/>
              </w:rPr>
              <w:t>xxx</w:t>
            </w:r>
            <w:r w:rsidRPr="001C5B8F">
              <w:rPr>
                <w:sz w:val="22"/>
                <w:szCs w:val="22"/>
                <w:lang w:eastAsia="he-IL"/>
              </w:rPr>
              <w:t>xxxxxx</w:t>
            </w:r>
            <w:r w:rsidRPr="001C5B8F">
              <w:rPr>
                <w:sz w:val="22"/>
                <w:szCs w:val="22"/>
                <w:rtl/>
                <w:lang w:eastAsia="he-IL"/>
              </w:rPr>
              <w:t xml:space="preserve"> יליד שנת 1986</w:t>
            </w:r>
          </w:p>
          <w:p w14:paraId="6E71B852"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p>
          <w:p w14:paraId="1BB921C5"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r w:rsidRPr="001C5B8F">
              <w:rPr>
                <w:b/>
                <w:bCs/>
                <w:sz w:val="22"/>
                <w:rtl/>
                <w:lang w:eastAsia="he-IL"/>
              </w:rPr>
              <w:t>2.  מוחמד (בן נאפז) סעדי</w:t>
            </w:r>
          </w:p>
          <w:p w14:paraId="28513F56" w14:textId="77777777" w:rsidR="006F0323" w:rsidRPr="001C5B8F" w:rsidRDefault="006F0323" w:rsidP="00AD4463">
            <w:pPr>
              <w:suppressLineNumbers/>
              <w:overflowPunct w:val="0"/>
              <w:autoSpaceDE w:val="0"/>
              <w:autoSpaceDN w:val="0"/>
              <w:adjustRightInd w:val="0"/>
              <w:spacing w:line="360" w:lineRule="auto"/>
              <w:rPr>
                <w:sz w:val="22"/>
                <w:szCs w:val="22"/>
                <w:rtl/>
                <w:lang w:eastAsia="he-IL"/>
              </w:rPr>
            </w:pPr>
            <w:r w:rsidRPr="001C5B8F">
              <w:rPr>
                <w:sz w:val="22"/>
                <w:szCs w:val="22"/>
                <w:rtl/>
                <w:lang w:eastAsia="he-IL"/>
              </w:rPr>
              <w:t xml:space="preserve">     ת"ז </w:t>
            </w:r>
            <w:r w:rsidR="001C5B8F">
              <w:rPr>
                <w:sz w:val="22"/>
                <w:szCs w:val="22"/>
                <w:lang w:eastAsia="he-IL"/>
              </w:rPr>
              <w:t>xxx</w:t>
            </w:r>
            <w:r w:rsidRPr="001C5B8F">
              <w:rPr>
                <w:sz w:val="22"/>
                <w:szCs w:val="22"/>
                <w:lang w:eastAsia="he-IL"/>
              </w:rPr>
              <w:t>xxxxxx</w:t>
            </w:r>
            <w:r w:rsidRPr="001C5B8F">
              <w:rPr>
                <w:sz w:val="22"/>
                <w:szCs w:val="22"/>
                <w:rtl/>
                <w:lang w:eastAsia="he-IL"/>
              </w:rPr>
              <w:t xml:space="preserve"> יליד שנת 1996</w:t>
            </w:r>
          </w:p>
          <w:p w14:paraId="4FF785A2" w14:textId="77777777" w:rsidR="006F0323" w:rsidRPr="001C5B8F" w:rsidRDefault="006F0323" w:rsidP="00AD4463">
            <w:pPr>
              <w:suppressLineNumbers/>
              <w:overflowPunct w:val="0"/>
              <w:autoSpaceDE w:val="0"/>
              <w:autoSpaceDN w:val="0"/>
              <w:adjustRightInd w:val="0"/>
              <w:spacing w:line="360" w:lineRule="auto"/>
              <w:rPr>
                <w:sz w:val="22"/>
                <w:szCs w:val="22"/>
                <w:rtl/>
                <w:lang w:eastAsia="he-IL"/>
              </w:rPr>
            </w:pPr>
            <w:r w:rsidRPr="001C5B8F">
              <w:rPr>
                <w:sz w:val="22"/>
                <w:szCs w:val="22"/>
                <w:rtl/>
                <w:lang w:eastAsia="he-IL"/>
              </w:rPr>
              <w:t xml:space="preserve">     ע"י ב"כ עו"ד זוהר ארבל</w:t>
            </w:r>
          </w:p>
          <w:p w14:paraId="65CE64F3"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p>
          <w:p w14:paraId="3A03BAF5"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r w:rsidRPr="001C5B8F">
              <w:rPr>
                <w:b/>
                <w:bCs/>
                <w:sz w:val="22"/>
                <w:rtl/>
                <w:lang w:eastAsia="he-IL"/>
              </w:rPr>
              <w:t>3.  סימנדו (בן רוברט) סימנדוייב</w:t>
            </w:r>
          </w:p>
          <w:p w14:paraId="3C282C6F" w14:textId="77777777" w:rsidR="006F0323" w:rsidRPr="001C5B8F" w:rsidRDefault="006F0323" w:rsidP="00AD4463">
            <w:pPr>
              <w:suppressLineNumbers/>
              <w:overflowPunct w:val="0"/>
              <w:autoSpaceDE w:val="0"/>
              <w:autoSpaceDN w:val="0"/>
              <w:adjustRightInd w:val="0"/>
              <w:spacing w:line="360" w:lineRule="auto"/>
              <w:rPr>
                <w:sz w:val="22"/>
                <w:szCs w:val="22"/>
                <w:rtl/>
                <w:lang w:eastAsia="he-IL"/>
              </w:rPr>
            </w:pPr>
            <w:r w:rsidRPr="001C5B8F">
              <w:rPr>
                <w:sz w:val="22"/>
                <w:szCs w:val="22"/>
                <w:rtl/>
                <w:lang w:eastAsia="he-IL"/>
              </w:rPr>
              <w:t xml:space="preserve">      ת"ז </w:t>
            </w:r>
            <w:r w:rsidR="001C5B8F">
              <w:rPr>
                <w:sz w:val="22"/>
                <w:szCs w:val="22"/>
                <w:lang w:eastAsia="he-IL"/>
              </w:rPr>
              <w:t>xxx</w:t>
            </w:r>
            <w:r w:rsidRPr="001C5B8F">
              <w:rPr>
                <w:sz w:val="22"/>
                <w:szCs w:val="22"/>
                <w:lang w:eastAsia="he-IL"/>
              </w:rPr>
              <w:t>xxxxxx</w:t>
            </w:r>
            <w:r w:rsidRPr="001C5B8F">
              <w:rPr>
                <w:sz w:val="22"/>
                <w:szCs w:val="22"/>
                <w:rtl/>
                <w:lang w:eastAsia="he-IL"/>
              </w:rPr>
              <w:t xml:space="preserve"> יליד שנת 1999</w:t>
            </w:r>
          </w:p>
          <w:p w14:paraId="6C3D7996"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p>
          <w:p w14:paraId="0D6E527A" w14:textId="77777777" w:rsidR="006F0323" w:rsidRPr="001C5B8F" w:rsidRDefault="006F0323" w:rsidP="00AD4463">
            <w:pPr>
              <w:suppressLineNumbers/>
              <w:overflowPunct w:val="0"/>
              <w:autoSpaceDE w:val="0"/>
              <w:autoSpaceDN w:val="0"/>
              <w:adjustRightInd w:val="0"/>
              <w:spacing w:line="360" w:lineRule="auto"/>
              <w:rPr>
                <w:b/>
                <w:bCs/>
                <w:sz w:val="22"/>
                <w:rtl/>
                <w:lang w:eastAsia="he-IL"/>
              </w:rPr>
            </w:pPr>
            <w:r w:rsidRPr="001C5B8F">
              <w:rPr>
                <w:b/>
                <w:bCs/>
                <w:sz w:val="22"/>
                <w:rtl/>
                <w:lang w:eastAsia="he-IL"/>
              </w:rPr>
              <w:t>4.  עבדאללה (בן עבאס) זכור</w:t>
            </w:r>
          </w:p>
          <w:p w14:paraId="5C5EC3D9" w14:textId="77777777" w:rsidR="006F0323" w:rsidRPr="001C5B8F" w:rsidRDefault="006F0323" w:rsidP="00AD4463">
            <w:pPr>
              <w:suppressLineNumbers/>
              <w:overflowPunct w:val="0"/>
              <w:autoSpaceDE w:val="0"/>
              <w:autoSpaceDN w:val="0"/>
              <w:adjustRightInd w:val="0"/>
              <w:spacing w:line="360" w:lineRule="auto"/>
              <w:rPr>
                <w:sz w:val="22"/>
                <w:szCs w:val="22"/>
                <w:rtl/>
                <w:lang w:eastAsia="he-IL"/>
              </w:rPr>
            </w:pPr>
            <w:r w:rsidRPr="001C5B8F">
              <w:rPr>
                <w:sz w:val="22"/>
                <w:szCs w:val="22"/>
                <w:rtl/>
                <w:lang w:eastAsia="he-IL"/>
              </w:rPr>
              <w:t xml:space="preserve">     ת"ז </w:t>
            </w:r>
            <w:r w:rsidR="001C5B8F">
              <w:rPr>
                <w:sz w:val="22"/>
                <w:szCs w:val="22"/>
                <w:lang w:eastAsia="he-IL"/>
              </w:rPr>
              <w:t>xxx</w:t>
            </w:r>
            <w:r w:rsidRPr="001C5B8F">
              <w:rPr>
                <w:sz w:val="22"/>
                <w:szCs w:val="22"/>
                <w:lang w:eastAsia="he-IL"/>
              </w:rPr>
              <w:t>xxxxxx</w:t>
            </w:r>
          </w:p>
        </w:tc>
        <w:tc>
          <w:tcPr>
            <w:tcW w:w="2361" w:type="dxa"/>
          </w:tcPr>
          <w:p w14:paraId="3A8C3825" w14:textId="77777777" w:rsidR="006F0323" w:rsidRPr="001C5B8F" w:rsidRDefault="006F0323" w:rsidP="00AD4463">
            <w:pPr>
              <w:suppressLineNumbers/>
              <w:overflowPunct w:val="0"/>
              <w:autoSpaceDE w:val="0"/>
              <w:autoSpaceDN w:val="0"/>
              <w:adjustRightInd w:val="0"/>
              <w:spacing w:line="256" w:lineRule="auto"/>
              <w:rPr>
                <w:b/>
                <w:bCs/>
                <w:sz w:val="22"/>
                <w:szCs w:val="26"/>
                <w:lang w:eastAsia="he-IL"/>
              </w:rPr>
            </w:pPr>
          </w:p>
        </w:tc>
      </w:tr>
      <w:tr w:rsidR="006F0323" w:rsidRPr="001C5B8F" w14:paraId="0D6F3509" w14:textId="77777777" w:rsidTr="00AD4463">
        <w:tc>
          <w:tcPr>
            <w:tcW w:w="1418" w:type="dxa"/>
          </w:tcPr>
          <w:p w14:paraId="6FF2534F" w14:textId="77777777" w:rsidR="006F0323" w:rsidRPr="001C5B8F" w:rsidRDefault="006F0323" w:rsidP="00AD4463">
            <w:pPr>
              <w:suppressLineNumbers/>
              <w:overflowPunct w:val="0"/>
              <w:autoSpaceDE w:val="0"/>
              <w:autoSpaceDN w:val="0"/>
              <w:adjustRightInd w:val="0"/>
              <w:spacing w:line="256" w:lineRule="auto"/>
              <w:rPr>
                <w:b/>
                <w:bCs/>
                <w:sz w:val="22"/>
                <w:rtl/>
                <w:lang w:eastAsia="he-IL"/>
              </w:rPr>
            </w:pPr>
          </w:p>
        </w:tc>
        <w:tc>
          <w:tcPr>
            <w:tcW w:w="3451" w:type="dxa"/>
          </w:tcPr>
          <w:p w14:paraId="3E72FEA7" w14:textId="77777777" w:rsidR="006F0323" w:rsidRPr="001C5B8F" w:rsidRDefault="006F0323" w:rsidP="00AD4463">
            <w:pPr>
              <w:suppressLineNumbers/>
              <w:overflowPunct w:val="0"/>
              <w:autoSpaceDE w:val="0"/>
              <w:autoSpaceDN w:val="0"/>
              <w:adjustRightInd w:val="0"/>
              <w:spacing w:line="256" w:lineRule="auto"/>
              <w:rPr>
                <w:b/>
                <w:bCs/>
                <w:sz w:val="22"/>
                <w:szCs w:val="22"/>
                <w:rtl/>
                <w:lang w:eastAsia="he-IL"/>
              </w:rPr>
            </w:pPr>
          </w:p>
        </w:tc>
        <w:tc>
          <w:tcPr>
            <w:tcW w:w="1417" w:type="dxa"/>
          </w:tcPr>
          <w:p w14:paraId="5CA0175F" w14:textId="77777777" w:rsidR="006F0323" w:rsidRPr="001C5B8F" w:rsidRDefault="006F0323" w:rsidP="00AD4463">
            <w:pPr>
              <w:suppressLineNumbers/>
              <w:overflowPunct w:val="0"/>
              <w:autoSpaceDE w:val="0"/>
              <w:autoSpaceDN w:val="0"/>
              <w:adjustRightInd w:val="0"/>
              <w:spacing w:line="256" w:lineRule="auto"/>
              <w:rPr>
                <w:sz w:val="22"/>
                <w:szCs w:val="22"/>
                <w:rtl/>
                <w:lang w:eastAsia="he-IL"/>
              </w:rPr>
            </w:pPr>
            <w:r w:rsidRPr="001C5B8F">
              <w:rPr>
                <w:sz w:val="22"/>
                <w:szCs w:val="22"/>
                <w:rtl/>
                <w:lang w:eastAsia="he-IL"/>
              </w:rPr>
              <w:t xml:space="preserve"> </w:t>
            </w:r>
          </w:p>
        </w:tc>
        <w:tc>
          <w:tcPr>
            <w:tcW w:w="2361" w:type="dxa"/>
          </w:tcPr>
          <w:p w14:paraId="04AD7507" w14:textId="77777777" w:rsidR="006F0323" w:rsidRPr="001C5B8F" w:rsidRDefault="006F0323" w:rsidP="00AD4463">
            <w:pPr>
              <w:suppressLineNumbers/>
              <w:overflowPunct w:val="0"/>
              <w:autoSpaceDE w:val="0"/>
              <w:autoSpaceDN w:val="0"/>
              <w:adjustRightInd w:val="0"/>
              <w:spacing w:line="256" w:lineRule="auto"/>
              <w:rPr>
                <w:b/>
                <w:bCs/>
                <w:sz w:val="22"/>
                <w:szCs w:val="26"/>
                <w:rtl/>
                <w:lang w:eastAsia="he-IL"/>
              </w:rPr>
            </w:pPr>
            <w:r w:rsidRPr="001C5B8F">
              <w:rPr>
                <w:b/>
                <w:bCs/>
                <w:sz w:val="22"/>
                <w:szCs w:val="22"/>
                <w:rtl/>
                <w:lang w:eastAsia="he-IL"/>
              </w:rPr>
              <w:t>הנאשמים</w:t>
            </w:r>
          </w:p>
        </w:tc>
      </w:tr>
    </w:tbl>
    <w:p w14:paraId="7E52432D" w14:textId="77777777" w:rsidR="00E91671" w:rsidRDefault="00E91671" w:rsidP="00E91671">
      <w:pPr>
        <w:spacing w:after="160" w:line="256" w:lineRule="auto"/>
        <w:jc w:val="center"/>
        <w:rPr>
          <w:rFonts w:ascii="David" w:eastAsia="Calibri" w:hAnsi="David"/>
          <w:sz w:val="28"/>
          <w:szCs w:val="28"/>
          <w:rtl/>
        </w:rPr>
      </w:pPr>
      <w:bookmarkStart w:id="3" w:name="LawTable"/>
      <w:bookmarkEnd w:id="3"/>
    </w:p>
    <w:p w14:paraId="34E81C4B" w14:textId="77777777" w:rsidR="00E91671" w:rsidRPr="00E91671" w:rsidRDefault="00E91671" w:rsidP="00E91671">
      <w:pPr>
        <w:spacing w:before="120" w:after="120" w:line="240" w:lineRule="exact"/>
        <w:ind w:left="283" w:hanging="283"/>
        <w:jc w:val="both"/>
        <w:rPr>
          <w:rFonts w:ascii="FrankRuehl" w:eastAsia="Calibri" w:hAnsi="FrankRuehl" w:cs="FrankRuehl"/>
          <w:rtl/>
        </w:rPr>
      </w:pPr>
    </w:p>
    <w:p w14:paraId="47924854" w14:textId="77777777" w:rsidR="00E91671" w:rsidRPr="00E91671" w:rsidRDefault="00E91671" w:rsidP="00E91671">
      <w:pPr>
        <w:spacing w:before="120" w:after="120" w:line="240" w:lineRule="exact"/>
        <w:ind w:left="283" w:hanging="283"/>
        <w:jc w:val="both"/>
        <w:rPr>
          <w:rFonts w:ascii="FrankRuehl" w:eastAsia="Calibri" w:hAnsi="FrankRuehl" w:cs="FrankRuehl"/>
          <w:rtl/>
        </w:rPr>
      </w:pPr>
    </w:p>
    <w:p w14:paraId="51EDAB9C" w14:textId="77777777" w:rsidR="00E91671" w:rsidRPr="00E91671" w:rsidRDefault="00E91671" w:rsidP="00E91671">
      <w:pPr>
        <w:spacing w:before="120" w:after="120" w:line="240" w:lineRule="exact"/>
        <w:ind w:left="283" w:hanging="283"/>
        <w:jc w:val="both"/>
        <w:rPr>
          <w:rFonts w:ascii="FrankRuehl" w:eastAsia="Calibri" w:hAnsi="FrankRuehl" w:cs="FrankRuehl"/>
          <w:rtl/>
        </w:rPr>
      </w:pPr>
      <w:r w:rsidRPr="00E91671">
        <w:rPr>
          <w:rFonts w:ascii="FrankRuehl" w:eastAsia="Calibri" w:hAnsi="FrankRuehl" w:cs="FrankRuehl"/>
          <w:rtl/>
        </w:rPr>
        <w:t xml:space="preserve">חקיקה שאוזכרה: </w:t>
      </w:r>
    </w:p>
    <w:p w14:paraId="25DD6B7F" w14:textId="77777777" w:rsidR="00E91671" w:rsidRPr="00E91671" w:rsidRDefault="00E91671" w:rsidP="00E91671">
      <w:pPr>
        <w:spacing w:before="120" w:after="120" w:line="240" w:lineRule="exact"/>
        <w:ind w:left="283" w:hanging="283"/>
        <w:jc w:val="both"/>
        <w:rPr>
          <w:rFonts w:ascii="FrankRuehl" w:eastAsia="Calibri" w:hAnsi="FrankRuehl" w:cs="FrankRuehl"/>
          <w:rtl/>
        </w:rPr>
      </w:pPr>
      <w:hyperlink r:id="rId6" w:history="1">
        <w:r w:rsidRPr="00E91671">
          <w:rPr>
            <w:rFonts w:ascii="FrankRuehl" w:eastAsia="Calibri" w:hAnsi="FrankRuehl" w:cs="FrankRuehl"/>
            <w:color w:val="0000FF"/>
            <w:rtl/>
          </w:rPr>
          <w:t>חוק העונשין, תשל"ז-1977</w:t>
        </w:r>
      </w:hyperlink>
      <w:r w:rsidRPr="00E91671">
        <w:rPr>
          <w:rFonts w:ascii="FrankRuehl" w:eastAsia="Calibri" w:hAnsi="FrankRuehl" w:cs="FrankRuehl"/>
          <w:rtl/>
        </w:rPr>
        <w:t xml:space="preserve">: סע'  </w:t>
      </w:r>
      <w:hyperlink r:id="rId7" w:history="1">
        <w:r w:rsidRPr="00E91671">
          <w:rPr>
            <w:rFonts w:ascii="FrankRuehl" w:eastAsia="Calibri" w:hAnsi="FrankRuehl" w:cs="FrankRuehl"/>
            <w:color w:val="0000FF"/>
            <w:rtl/>
          </w:rPr>
          <w:t>31</w:t>
        </w:r>
      </w:hyperlink>
      <w:r w:rsidRPr="00E91671">
        <w:rPr>
          <w:rFonts w:ascii="FrankRuehl" w:eastAsia="Calibri" w:hAnsi="FrankRuehl" w:cs="FrankRuehl"/>
          <w:rtl/>
        </w:rPr>
        <w:t xml:space="preserve">, </w:t>
      </w:r>
      <w:hyperlink r:id="rId8" w:history="1">
        <w:r w:rsidRPr="00E91671">
          <w:rPr>
            <w:rFonts w:ascii="FrankRuehl" w:eastAsia="Calibri" w:hAnsi="FrankRuehl" w:cs="FrankRuehl"/>
            <w:color w:val="0000FF"/>
            <w:rtl/>
          </w:rPr>
          <w:t>32</w:t>
        </w:r>
      </w:hyperlink>
      <w:r w:rsidRPr="00E91671">
        <w:rPr>
          <w:rFonts w:ascii="FrankRuehl" w:eastAsia="Calibri" w:hAnsi="FrankRuehl" w:cs="FrankRuehl"/>
          <w:rtl/>
        </w:rPr>
        <w:t xml:space="preserve">, </w:t>
      </w:r>
      <w:hyperlink r:id="rId9" w:history="1">
        <w:r w:rsidRPr="00E91671">
          <w:rPr>
            <w:rFonts w:ascii="FrankRuehl" w:eastAsia="Calibri" w:hAnsi="FrankRuehl" w:cs="FrankRuehl"/>
            <w:color w:val="0000FF"/>
            <w:rtl/>
          </w:rPr>
          <w:t>40ד(א)</w:t>
        </w:r>
      </w:hyperlink>
      <w:r w:rsidRPr="00E91671">
        <w:rPr>
          <w:rFonts w:ascii="FrankRuehl" w:eastAsia="Calibri" w:hAnsi="FrankRuehl" w:cs="FrankRuehl"/>
          <w:rtl/>
        </w:rPr>
        <w:t xml:space="preserve">, </w:t>
      </w:r>
      <w:hyperlink r:id="rId10" w:history="1">
        <w:r w:rsidRPr="00E91671">
          <w:rPr>
            <w:rFonts w:ascii="FrankRuehl" w:eastAsia="Calibri" w:hAnsi="FrankRuehl" w:cs="FrankRuehl"/>
            <w:color w:val="0000FF"/>
            <w:rtl/>
          </w:rPr>
          <w:t>40ט'</w:t>
        </w:r>
      </w:hyperlink>
      <w:r w:rsidRPr="00E91671">
        <w:rPr>
          <w:rFonts w:ascii="FrankRuehl" w:eastAsia="Calibri" w:hAnsi="FrankRuehl" w:cs="FrankRuehl"/>
          <w:rtl/>
        </w:rPr>
        <w:t xml:space="preserve">, </w:t>
      </w:r>
      <w:hyperlink r:id="rId11" w:history="1">
        <w:r w:rsidRPr="00E91671">
          <w:rPr>
            <w:rFonts w:ascii="FrankRuehl" w:eastAsia="Calibri" w:hAnsi="FrankRuehl" w:cs="FrankRuehl"/>
            <w:color w:val="0000FF"/>
            <w:rtl/>
          </w:rPr>
          <w:t>144(ב2)</w:t>
        </w:r>
      </w:hyperlink>
    </w:p>
    <w:p w14:paraId="3A71A939" w14:textId="77777777" w:rsidR="00E91671" w:rsidRPr="00E91671" w:rsidRDefault="00E91671" w:rsidP="00E91671">
      <w:pPr>
        <w:spacing w:after="160" w:line="256" w:lineRule="auto"/>
        <w:jc w:val="center"/>
        <w:rPr>
          <w:rFonts w:ascii="David" w:eastAsia="Calibri" w:hAnsi="David"/>
          <w:sz w:val="28"/>
          <w:szCs w:val="28"/>
          <w:rtl/>
        </w:rPr>
      </w:pPr>
      <w:bookmarkStart w:id="4" w:name="LawTable_End"/>
      <w:bookmarkEnd w:id="4"/>
    </w:p>
    <w:p w14:paraId="3575D17D" w14:textId="77777777" w:rsidR="001C5B8F" w:rsidRPr="00EF786B" w:rsidRDefault="001C5B8F" w:rsidP="00EF786B">
      <w:pPr>
        <w:spacing w:after="160" w:line="256" w:lineRule="auto"/>
        <w:jc w:val="center"/>
        <w:rPr>
          <w:rFonts w:ascii="David" w:eastAsia="Calibri" w:hAnsi="David"/>
          <w:sz w:val="28"/>
          <w:szCs w:val="28"/>
          <w:rtl/>
        </w:rPr>
      </w:pPr>
    </w:p>
    <w:p w14:paraId="03F283D4" w14:textId="77777777" w:rsidR="001C5B8F" w:rsidRPr="001C5B8F" w:rsidRDefault="001C5B8F" w:rsidP="001C5B8F">
      <w:pPr>
        <w:spacing w:after="160" w:line="256" w:lineRule="auto"/>
        <w:jc w:val="center"/>
        <w:rPr>
          <w:rFonts w:ascii="David" w:eastAsia="Calibri" w:hAnsi="David"/>
          <w:b/>
          <w:bCs/>
          <w:sz w:val="28"/>
          <w:szCs w:val="28"/>
          <w:rtl/>
        </w:rPr>
      </w:pPr>
      <w:bookmarkStart w:id="5" w:name="PsakDin"/>
      <w:r w:rsidRPr="001C5B8F">
        <w:rPr>
          <w:rFonts w:ascii="David" w:eastAsia="Calibri" w:hAnsi="David"/>
          <w:b/>
          <w:bCs/>
          <w:sz w:val="28"/>
          <w:szCs w:val="28"/>
          <w:rtl/>
        </w:rPr>
        <w:t>גזר דין</w:t>
      </w:r>
    </w:p>
    <w:bookmarkEnd w:id="5"/>
    <w:p w14:paraId="09B80036" w14:textId="77777777" w:rsidR="006F0323" w:rsidRPr="00784338" w:rsidRDefault="006F0323" w:rsidP="006F0323">
      <w:pPr>
        <w:spacing w:after="160" w:line="256" w:lineRule="auto"/>
        <w:jc w:val="center"/>
        <w:rPr>
          <w:rFonts w:ascii="David" w:eastAsia="Calibri" w:hAnsi="David"/>
          <w:sz w:val="22"/>
          <w:szCs w:val="22"/>
          <w:rtl/>
        </w:rPr>
      </w:pPr>
      <w:r w:rsidRPr="00784338">
        <w:rPr>
          <w:rFonts w:ascii="David" w:eastAsia="Calibri" w:hAnsi="David"/>
          <w:sz w:val="22"/>
          <w:szCs w:val="22"/>
          <w:rtl/>
        </w:rPr>
        <w:t>(בעניינו של הנאשם מס' 2 – מוחמד סעדי)</w:t>
      </w:r>
    </w:p>
    <w:p w14:paraId="72ECC0D3" w14:textId="77777777" w:rsidR="006F0323" w:rsidRPr="00784338" w:rsidRDefault="006F0323" w:rsidP="006F0323">
      <w:pPr>
        <w:spacing w:line="360" w:lineRule="auto"/>
        <w:ind w:left="567" w:hanging="567"/>
        <w:jc w:val="both"/>
        <w:rPr>
          <w:rFonts w:ascii="David" w:eastAsia="Calibri" w:hAnsi="David"/>
        </w:rPr>
      </w:pPr>
    </w:p>
    <w:p w14:paraId="7FAE5B1B" w14:textId="77777777" w:rsidR="006F0323" w:rsidRPr="00784338" w:rsidRDefault="006F0323" w:rsidP="006F0323">
      <w:pPr>
        <w:spacing w:line="360" w:lineRule="auto"/>
        <w:ind w:left="340" w:hanging="567"/>
        <w:jc w:val="both"/>
        <w:rPr>
          <w:rFonts w:ascii="David" w:eastAsia="Calibri" w:hAnsi="David"/>
          <w:b/>
          <w:bCs/>
        </w:rPr>
      </w:pPr>
      <w:r w:rsidRPr="00784338">
        <w:rPr>
          <w:rFonts w:ascii="David" w:eastAsia="Calibri" w:hAnsi="David"/>
          <w:b/>
          <w:bCs/>
          <w:rtl/>
        </w:rPr>
        <w:lastRenderedPageBreak/>
        <w:t>א. ההליך</w:t>
      </w:r>
    </w:p>
    <w:p w14:paraId="5EEA0FC5" w14:textId="77777777" w:rsidR="006F0323" w:rsidRPr="00784338" w:rsidRDefault="006F0323" w:rsidP="006F0323">
      <w:pPr>
        <w:spacing w:line="360" w:lineRule="auto"/>
        <w:ind w:left="567" w:hanging="567"/>
        <w:jc w:val="both"/>
        <w:rPr>
          <w:rFonts w:ascii="David" w:eastAsia="Calibri" w:hAnsi="David"/>
          <w:rtl/>
        </w:rPr>
      </w:pPr>
    </w:p>
    <w:p w14:paraId="546BE73C"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1.</w:t>
      </w:r>
      <w:r w:rsidRPr="00784338">
        <w:rPr>
          <w:rFonts w:ascii="David" w:eastAsia="Calibri" w:hAnsi="David"/>
          <w:sz w:val="22"/>
          <w:szCs w:val="22"/>
          <w:rtl/>
        </w:rPr>
        <w:tab/>
        <w:t>בעקבות הסדר טיעון שנעשה עם הנאשם מס' 2, (מוחמד בן נאפז סעדי, ולהלן – "</w:t>
      </w:r>
      <w:r w:rsidRPr="00784338">
        <w:rPr>
          <w:rFonts w:ascii="David" w:eastAsia="Calibri" w:hAnsi="David"/>
          <w:b/>
          <w:bCs/>
          <w:sz w:val="22"/>
          <w:szCs w:val="22"/>
          <w:rtl/>
        </w:rPr>
        <w:t>הנאשם</w:t>
      </w:r>
      <w:r w:rsidRPr="00784338">
        <w:rPr>
          <w:rFonts w:ascii="David" w:eastAsia="Calibri" w:hAnsi="David"/>
          <w:sz w:val="22"/>
          <w:szCs w:val="22"/>
          <w:rtl/>
        </w:rPr>
        <w:t>"), הוגש נגדו כתב אישום מתוקן (אשר סומן ה"ט/1). הנאשם הודה בעובדות המפורטות בכתב האישום המתוקן, והורשע על פי הודאתו, ועתה בא אני לגזור את דינו.</w:t>
      </w:r>
    </w:p>
    <w:p w14:paraId="4A92CD80" w14:textId="77777777" w:rsidR="006F0323" w:rsidRPr="00784338" w:rsidRDefault="006F0323" w:rsidP="006F0323">
      <w:pPr>
        <w:spacing w:line="360" w:lineRule="auto"/>
        <w:ind w:left="567" w:hanging="567"/>
        <w:jc w:val="both"/>
        <w:rPr>
          <w:rFonts w:ascii="David" w:eastAsia="Calibri" w:hAnsi="David"/>
          <w:sz w:val="22"/>
          <w:szCs w:val="22"/>
          <w:rtl/>
        </w:rPr>
      </w:pPr>
    </w:p>
    <w:p w14:paraId="7CE28622" w14:textId="77777777" w:rsidR="006F0323" w:rsidRPr="00784338" w:rsidRDefault="006F0323" w:rsidP="006F0323">
      <w:pPr>
        <w:spacing w:line="360" w:lineRule="auto"/>
        <w:ind w:left="567" w:hanging="567"/>
        <w:jc w:val="both"/>
        <w:rPr>
          <w:rFonts w:ascii="David" w:eastAsia="Calibri" w:hAnsi="David"/>
          <w:sz w:val="22"/>
          <w:szCs w:val="22"/>
          <w:rtl/>
        </w:rPr>
      </w:pPr>
    </w:p>
    <w:p w14:paraId="1940B001"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2.</w:t>
      </w:r>
      <w:r w:rsidRPr="00784338">
        <w:rPr>
          <w:rFonts w:ascii="David" w:eastAsia="Calibri" w:hAnsi="David"/>
          <w:sz w:val="22"/>
          <w:szCs w:val="22"/>
          <w:rtl/>
        </w:rPr>
        <w:tab/>
        <w:t xml:space="preserve">כתב האישום הוגש נגד ארבעה נאשמים, ומתוארת בו עסקת נשק, שנעשתה בתאריך 15.1.2020. על פי כתב האישום, בו הודה הנאשם, אדם בשם ירין ביטון פנה אל הנאשם ואל הנאשם מס' 4, וביקש ממנו לסייע לו לרכוש נשק ואמצעי לחימה. בתאריך הנזכר (15.1.2020), אדם בשם יוסף עלון והנאשם מס' 3 הגיעו לתחנת דלק בישוב ג'דיידה – מכר. הנאשם מס' 2 הצטרף אליהם והובילם לביתו של הנאשם מס' 1. הנאשמים 2 ו- 3 נכנסו לביתו של הנאשם מס' 1, ושם בנוכחות הנאשם מס' 2 מכר הנאשם מס' 1 לנאשם מס' 3 (עבור ירין ביטון) אקדח ארוך, מחסנית עם כדורים בקוטר 9 מ"מ לאקדח, לבנת חבלה ונפץ. </w:t>
      </w:r>
    </w:p>
    <w:p w14:paraId="61ACCE55" w14:textId="77777777" w:rsidR="006F0323" w:rsidRPr="00784338" w:rsidRDefault="006F0323" w:rsidP="006F0323">
      <w:pPr>
        <w:spacing w:line="360" w:lineRule="auto"/>
        <w:ind w:left="567" w:hanging="567"/>
        <w:jc w:val="both"/>
        <w:rPr>
          <w:rFonts w:ascii="David" w:eastAsia="Calibri" w:hAnsi="David"/>
          <w:sz w:val="22"/>
          <w:szCs w:val="22"/>
          <w:rtl/>
        </w:rPr>
      </w:pPr>
    </w:p>
    <w:p w14:paraId="3D748705"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ab/>
        <w:t>בכתב האישום מואשם אפוא הנאשם בעבי</w:t>
      </w:r>
      <w:r>
        <w:rPr>
          <w:rFonts w:ascii="David" w:eastAsia="Calibri" w:hAnsi="David" w:hint="cs"/>
          <w:sz w:val="22"/>
          <w:szCs w:val="22"/>
          <w:rtl/>
        </w:rPr>
        <w:t>ר</w:t>
      </w:r>
      <w:r w:rsidRPr="00784338">
        <w:rPr>
          <w:rFonts w:ascii="David" w:eastAsia="Calibri" w:hAnsi="David"/>
          <w:sz w:val="22"/>
          <w:szCs w:val="22"/>
          <w:rtl/>
        </w:rPr>
        <w:t xml:space="preserve">ה </w:t>
      </w:r>
      <w:r>
        <w:rPr>
          <w:rFonts w:ascii="David" w:eastAsia="Calibri" w:hAnsi="David"/>
          <w:sz w:val="22"/>
          <w:szCs w:val="22"/>
          <w:rtl/>
        </w:rPr>
        <w:t>של סיוע לבצע עסקה בנשק, עבירה ל</w:t>
      </w:r>
      <w:r w:rsidRPr="00784338">
        <w:rPr>
          <w:rFonts w:ascii="David" w:eastAsia="Calibri" w:hAnsi="David"/>
          <w:sz w:val="22"/>
          <w:szCs w:val="22"/>
          <w:rtl/>
        </w:rPr>
        <w:t xml:space="preserve">פי </w:t>
      </w:r>
      <w:hyperlink r:id="rId12" w:history="1">
        <w:r w:rsidR="00EF786B" w:rsidRPr="00EF786B">
          <w:rPr>
            <w:rStyle w:val="Hyperlink"/>
            <w:rFonts w:ascii="David" w:eastAsia="Calibri" w:hAnsi="David"/>
            <w:sz w:val="22"/>
            <w:szCs w:val="22"/>
            <w:rtl/>
          </w:rPr>
          <w:t>סעיף 144(ב2)</w:t>
        </w:r>
      </w:hyperlink>
      <w:r w:rsidRPr="00784338">
        <w:rPr>
          <w:rFonts w:ascii="David" w:eastAsia="Calibri" w:hAnsi="David"/>
          <w:sz w:val="22"/>
          <w:szCs w:val="22"/>
          <w:rtl/>
        </w:rPr>
        <w:t xml:space="preserve"> ל</w:t>
      </w:r>
      <w:hyperlink r:id="rId13" w:history="1">
        <w:r w:rsidR="001C5B8F" w:rsidRPr="001C5B8F">
          <w:rPr>
            <w:rFonts w:ascii="David" w:eastAsia="Calibri" w:hAnsi="David"/>
            <w:color w:val="0000FF"/>
            <w:sz w:val="22"/>
            <w:szCs w:val="22"/>
            <w:u w:val="single"/>
            <w:rtl/>
          </w:rPr>
          <w:t>חוק העונשין</w:t>
        </w:r>
      </w:hyperlink>
      <w:r w:rsidRPr="00784338">
        <w:rPr>
          <w:rFonts w:ascii="David" w:eastAsia="Calibri" w:hAnsi="David"/>
          <w:sz w:val="22"/>
          <w:szCs w:val="22"/>
          <w:rtl/>
        </w:rPr>
        <w:t xml:space="preserve">, תשל"ז – 1977, בצירוף </w:t>
      </w:r>
      <w:hyperlink r:id="rId14" w:history="1">
        <w:r w:rsidR="00EF786B" w:rsidRPr="00EF786B">
          <w:rPr>
            <w:rStyle w:val="Hyperlink"/>
            <w:rFonts w:ascii="David" w:eastAsia="Calibri" w:hAnsi="David"/>
            <w:sz w:val="22"/>
            <w:szCs w:val="22"/>
            <w:rtl/>
          </w:rPr>
          <w:t>סעיף 31</w:t>
        </w:r>
      </w:hyperlink>
      <w:r w:rsidRPr="00784338">
        <w:rPr>
          <w:rFonts w:ascii="David" w:eastAsia="Calibri" w:hAnsi="David"/>
          <w:sz w:val="22"/>
          <w:szCs w:val="22"/>
          <w:rtl/>
        </w:rPr>
        <w:t xml:space="preserve"> ו- </w:t>
      </w:r>
      <w:hyperlink r:id="rId15" w:history="1">
        <w:r w:rsidR="00EF786B" w:rsidRPr="00EF786B">
          <w:rPr>
            <w:rStyle w:val="Hyperlink"/>
            <w:rFonts w:ascii="David" w:eastAsia="Calibri" w:hAnsi="David"/>
            <w:sz w:val="22"/>
            <w:szCs w:val="22"/>
            <w:rtl/>
          </w:rPr>
          <w:t>32</w:t>
        </w:r>
      </w:hyperlink>
      <w:r w:rsidRPr="00784338">
        <w:rPr>
          <w:rFonts w:ascii="David" w:eastAsia="Calibri" w:hAnsi="David"/>
          <w:sz w:val="22"/>
          <w:szCs w:val="22"/>
          <w:rtl/>
        </w:rPr>
        <w:t xml:space="preserve"> לחוק זה.</w:t>
      </w:r>
    </w:p>
    <w:p w14:paraId="3A6C931F" w14:textId="77777777" w:rsidR="006F0323" w:rsidRPr="00784338" w:rsidRDefault="006F0323" w:rsidP="006F0323">
      <w:pPr>
        <w:spacing w:line="360" w:lineRule="auto"/>
        <w:ind w:left="567" w:hanging="567"/>
        <w:jc w:val="both"/>
        <w:rPr>
          <w:rFonts w:ascii="David" w:eastAsia="Calibri" w:hAnsi="David"/>
          <w:sz w:val="22"/>
          <w:szCs w:val="22"/>
          <w:rtl/>
        </w:rPr>
      </w:pPr>
    </w:p>
    <w:p w14:paraId="7254F0F6" w14:textId="77777777" w:rsidR="006F0323" w:rsidRPr="00784338" w:rsidRDefault="006F0323" w:rsidP="006F0323">
      <w:pPr>
        <w:spacing w:line="360" w:lineRule="auto"/>
        <w:ind w:left="567" w:hanging="567"/>
        <w:jc w:val="both"/>
        <w:rPr>
          <w:rFonts w:ascii="David" w:eastAsia="Calibri" w:hAnsi="David"/>
          <w:sz w:val="22"/>
          <w:szCs w:val="22"/>
          <w:rtl/>
        </w:rPr>
      </w:pPr>
    </w:p>
    <w:p w14:paraId="3FAD125E" w14:textId="77777777" w:rsidR="006F0323" w:rsidRPr="00784338" w:rsidRDefault="006F0323" w:rsidP="006F0323">
      <w:pPr>
        <w:spacing w:line="360" w:lineRule="auto"/>
        <w:ind w:left="340" w:hanging="567"/>
        <w:jc w:val="both"/>
        <w:rPr>
          <w:rFonts w:ascii="David" w:eastAsia="Calibri" w:hAnsi="David"/>
          <w:b/>
          <w:bCs/>
          <w:sz w:val="22"/>
          <w:szCs w:val="22"/>
          <w:rtl/>
        </w:rPr>
      </w:pPr>
      <w:r w:rsidRPr="00784338">
        <w:rPr>
          <w:rFonts w:ascii="David" w:eastAsia="Calibri" w:hAnsi="David"/>
          <w:b/>
          <w:bCs/>
          <w:sz w:val="22"/>
          <w:szCs w:val="22"/>
          <w:rtl/>
        </w:rPr>
        <w:t xml:space="preserve">ב. טענות באי כוח הצדדים </w:t>
      </w:r>
    </w:p>
    <w:p w14:paraId="6DA66382" w14:textId="77777777" w:rsidR="006F0323" w:rsidRPr="00784338" w:rsidRDefault="006F0323" w:rsidP="006F0323">
      <w:pPr>
        <w:spacing w:line="360" w:lineRule="auto"/>
        <w:ind w:left="567" w:hanging="567"/>
        <w:jc w:val="both"/>
        <w:rPr>
          <w:rFonts w:ascii="David" w:eastAsia="Calibri" w:hAnsi="David"/>
          <w:sz w:val="22"/>
          <w:szCs w:val="22"/>
          <w:rtl/>
        </w:rPr>
      </w:pPr>
    </w:p>
    <w:p w14:paraId="23445762"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3.</w:t>
      </w:r>
      <w:r w:rsidRPr="00784338">
        <w:rPr>
          <w:rFonts w:ascii="David" w:eastAsia="Calibri" w:hAnsi="David"/>
          <w:sz w:val="22"/>
          <w:szCs w:val="22"/>
          <w:rtl/>
        </w:rPr>
        <w:tab/>
        <w:t>בא כוח המאשימה עמד על חומרת העבירה ועל הפגיעה בערכים המוגנים מפני סחר בלתי חוקי בנשק, וכן עמד על המגמה להחמיר בעונשיהם של אלה הסוחרים בנשק. בא כוח המאשימה הוסיף, כי יש להביא בחשבון הן את התכנון המוקדם והן את טיב כלי הנשק שנמכרו במסגרת העסקה שהנאשם סייע לבצע. לטענת בא כוח המאשימה, מתחם העונש ההולם בעניינו של הנאשם נע בין שנתיים וחצי ל- 5 שנות מאסר בפועל. בא כוח המאשימה תמך את טיעונו באס</w:t>
      </w:r>
      <w:r>
        <w:rPr>
          <w:rFonts w:ascii="David" w:eastAsia="Calibri" w:hAnsi="David" w:hint="cs"/>
          <w:sz w:val="22"/>
          <w:szCs w:val="22"/>
          <w:rtl/>
        </w:rPr>
        <w:t>ו</w:t>
      </w:r>
      <w:r w:rsidRPr="00784338">
        <w:rPr>
          <w:rFonts w:ascii="David" w:eastAsia="Calibri" w:hAnsi="David"/>
          <w:sz w:val="22"/>
          <w:szCs w:val="22"/>
          <w:rtl/>
        </w:rPr>
        <w:t>פה של פסקי דין, אך פסקי הדין שהציג עוסקים באנשים שנדונו בגין עבירות של סחר בנשק.</w:t>
      </w:r>
    </w:p>
    <w:p w14:paraId="0FD90679" w14:textId="77777777" w:rsidR="006F0323" w:rsidRPr="00784338" w:rsidRDefault="006F0323" w:rsidP="006F0323">
      <w:pPr>
        <w:spacing w:line="360" w:lineRule="auto"/>
        <w:ind w:left="567" w:hanging="567"/>
        <w:jc w:val="both"/>
        <w:rPr>
          <w:rFonts w:ascii="David" w:eastAsia="Calibri" w:hAnsi="David"/>
          <w:sz w:val="22"/>
          <w:szCs w:val="22"/>
          <w:rtl/>
        </w:rPr>
      </w:pPr>
    </w:p>
    <w:p w14:paraId="13DA0875" w14:textId="77777777" w:rsidR="006F0323" w:rsidRPr="00784338" w:rsidRDefault="006F0323" w:rsidP="006F0323">
      <w:pPr>
        <w:spacing w:line="360" w:lineRule="auto"/>
        <w:ind w:left="567" w:hanging="567"/>
        <w:jc w:val="both"/>
        <w:rPr>
          <w:rFonts w:ascii="David" w:eastAsia="Calibri" w:hAnsi="David"/>
          <w:sz w:val="22"/>
          <w:szCs w:val="22"/>
          <w:rtl/>
        </w:rPr>
      </w:pPr>
    </w:p>
    <w:p w14:paraId="2E832255"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4.</w:t>
      </w:r>
      <w:r w:rsidRPr="00784338">
        <w:rPr>
          <w:rFonts w:ascii="David" w:eastAsia="Calibri" w:hAnsi="David"/>
          <w:sz w:val="22"/>
          <w:szCs w:val="22"/>
          <w:rtl/>
        </w:rPr>
        <w:tab/>
        <w:t>לעומת בא כוח המאשימה, טען בא כוח הנאשם, כי מדובר בסיוע ברמה נמוכה. בא כוח הנאשם הוסיף, כי יש להתחשב בכך שהנאשם נטל אחריות והודה במיוחס לו. עוד הוסיף בא כוח הנאשם ופרט נסיבותיו האישיות של הנאשם. לטענת בא כוח הנאשם, יש להסתפק בעונש מאסר החופף את התקופה בה הנאשם היה נתון במעצר (מאז 15.1.2020 ועד היום). כמו בא כוח המאשימה, אף בא כוח הנאשם תמך את טיעונו באסופה של פסקי דין שהציג.</w:t>
      </w:r>
    </w:p>
    <w:p w14:paraId="77C8E8B3" w14:textId="77777777" w:rsidR="006F0323" w:rsidRPr="00784338" w:rsidRDefault="006F0323" w:rsidP="006F0323">
      <w:pPr>
        <w:spacing w:line="360" w:lineRule="auto"/>
        <w:ind w:left="567" w:hanging="567"/>
        <w:jc w:val="both"/>
        <w:rPr>
          <w:rFonts w:ascii="David" w:eastAsia="Calibri" w:hAnsi="David"/>
          <w:sz w:val="22"/>
          <w:szCs w:val="22"/>
          <w:rtl/>
        </w:rPr>
      </w:pPr>
    </w:p>
    <w:p w14:paraId="7194025A" w14:textId="77777777" w:rsidR="006F0323" w:rsidRPr="00784338" w:rsidRDefault="006F0323" w:rsidP="006F0323">
      <w:pPr>
        <w:spacing w:line="360" w:lineRule="auto"/>
        <w:ind w:left="567" w:hanging="567"/>
        <w:jc w:val="both"/>
        <w:rPr>
          <w:rFonts w:ascii="David" w:eastAsia="Calibri" w:hAnsi="David"/>
          <w:sz w:val="22"/>
          <w:szCs w:val="22"/>
          <w:rtl/>
        </w:rPr>
      </w:pPr>
    </w:p>
    <w:p w14:paraId="562B231E" w14:textId="77777777" w:rsidR="006F0323" w:rsidRPr="00784338" w:rsidRDefault="006F0323" w:rsidP="006F0323">
      <w:pPr>
        <w:spacing w:line="360" w:lineRule="auto"/>
        <w:ind w:left="340" w:hanging="567"/>
        <w:jc w:val="both"/>
        <w:rPr>
          <w:rFonts w:ascii="David" w:eastAsia="Calibri" w:hAnsi="David"/>
          <w:b/>
          <w:bCs/>
          <w:sz w:val="22"/>
          <w:szCs w:val="22"/>
          <w:rtl/>
        </w:rPr>
      </w:pPr>
      <w:r w:rsidRPr="00784338">
        <w:rPr>
          <w:rFonts w:ascii="David" w:eastAsia="Calibri" w:hAnsi="David"/>
          <w:b/>
          <w:bCs/>
          <w:sz w:val="22"/>
          <w:szCs w:val="22"/>
          <w:rtl/>
        </w:rPr>
        <w:t>ג. דבר הנאשם</w:t>
      </w:r>
    </w:p>
    <w:p w14:paraId="4FEF0971" w14:textId="77777777" w:rsidR="006F0323" w:rsidRPr="00784338" w:rsidRDefault="006F0323" w:rsidP="006F0323">
      <w:pPr>
        <w:spacing w:line="360" w:lineRule="auto"/>
        <w:ind w:left="567" w:hanging="567"/>
        <w:jc w:val="both"/>
        <w:rPr>
          <w:rFonts w:ascii="David" w:eastAsia="Calibri" w:hAnsi="David"/>
          <w:sz w:val="22"/>
          <w:szCs w:val="22"/>
          <w:rtl/>
        </w:rPr>
      </w:pPr>
    </w:p>
    <w:p w14:paraId="204A2233"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5.</w:t>
      </w:r>
      <w:r w:rsidRPr="00784338">
        <w:rPr>
          <w:rFonts w:ascii="David" w:eastAsia="Calibri" w:hAnsi="David"/>
          <w:sz w:val="22"/>
          <w:szCs w:val="22"/>
          <w:rtl/>
        </w:rPr>
        <w:tab/>
        <w:t xml:space="preserve">הנאשם הביע חרטה על מעשיו, והצהיר כי לא ישוב לעשות מעשים </w:t>
      </w:r>
      <w:r>
        <w:rPr>
          <w:rFonts w:ascii="David" w:eastAsia="Calibri" w:hAnsi="David"/>
          <w:sz w:val="22"/>
          <w:szCs w:val="22"/>
          <w:rtl/>
        </w:rPr>
        <w:t>שכאלה, וכי לא ייראה יותר בין כת</w:t>
      </w:r>
      <w:r w:rsidRPr="00784338">
        <w:rPr>
          <w:rFonts w:ascii="David" w:eastAsia="Calibri" w:hAnsi="David"/>
          <w:sz w:val="22"/>
          <w:szCs w:val="22"/>
          <w:rtl/>
        </w:rPr>
        <w:t>לי בית המשפט.</w:t>
      </w:r>
    </w:p>
    <w:p w14:paraId="570EB274" w14:textId="77777777" w:rsidR="006F0323" w:rsidRPr="00784338" w:rsidRDefault="006F0323" w:rsidP="006F0323">
      <w:pPr>
        <w:spacing w:line="360" w:lineRule="auto"/>
        <w:ind w:left="567" w:hanging="567"/>
        <w:jc w:val="both"/>
        <w:rPr>
          <w:rFonts w:ascii="David" w:eastAsia="Calibri" w:hAnsi="David"/>
          <w:sz w:val="22"/>
          <w:szCs w:val="22"/>
          <w:rtl/>
        </w:rPr>
      </w:pPr>
    </w:p>
    <w:p w14:paraId="69E0E142" w14:textId="77777777" w:rsidR="006F0323" w:rsidRPr="00784338" w:rsidRDefault="006F0323" w:rsidP="006F0323">
      <w:pPr>
        <w:spacing w:line="360" w:lineRule="auto"/>
        <w:ind w:left="567" w:hanging="567"/>
        <w:jc w:val="both"/>
        <w:rPr>
          <w:rFonts w:ascii="David" w:eastAsia="Calibri" w:hAnsi="David"/>
          <w:sz w:val="22"/>
          <w:szCs w:val="22"/>
          <w:rtl/>
        </w:rPr>
      </w:pPr>
    </w:p>
    <w:p w14:paraId="732E8800" w14:textId="77777777" w:rsidR="006F0323" w:rsidRPr="00784338" w:rsidRDefault="006F0323" w:rsidP="006F0323">
      <w:pPr>
        <w:spacing w:line="360" w:lineRule="auto"/>
        <w:ind w:left="340" w:hanging="567"/>
        <w:jc w:val="both"/>
        <w:rPr>
          <w:rFonts w:ascii="David" w:eastAsia="Calibri" w:hAnsi="David"/>
          <w:b/>
          <w:bCs/>
          <w:sz w:val="22"/>
          <w:szCs w:val="22"/>
          <w:rtl/>
        </w:rPr>
      </w:pPr>
      <w:r w:rsidRPr="00784338">
        <w:rPr>
          <w:rFonts w:ascii="David" w:eastAsia="Calibri" w:hAnsi="David"/>
          <w:b/>
          <w:bCs/>
          <w:sz w:val="22"/>
          <w:szCs w:val="22"/>
          <w:rtl/>
        </w:rPr>
        <w:lastRenderedPageBreak/>
        <w:t>ד.  מתחם העונש ההולם:</w:t>
      </w:r>
    </w:p>
    <w:p w14:paraId="5B245ED6" w14:textId="77777777" w:rsidR="006F0323" w:rsidRPr="00784338" w:rsidRDefault="006F0323" w:rsidP="006F0323">
      <w:pPr>
        <w:spacing w:line="360" w:lineRule="auto"/>
        <w:ind w:left="567" w:hanging="567"/>
        <w:jc w:val="both"/>
        <w:rPr>
          <w:rFonts w:ascii="David" w:eastAsia="Calibri" w:hAnsi="David"/>
          <w:sz w:val="22"/>
          <w:szCs w:val="22"/>
          <w:rtl/>
        </w:rPr>
      </w:pPr>
    </w:p>
    <w:p w14:paraId="1D5714E1"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6.</w:t>
      </w:r>
      <w:r w:rsidRPr="00784338">
        <w:rPr>
          <w:rFonts w:ascii="David" w:eastAsia="Calibri" w:hAnsi="David"/>
          <w:sz w:val="22"/>
          <w:szCs w:val="22"/>
          <w:rtl/>
        </w:rPr>
        <w:tab/>
        <w:t xml:space="preserve">העיקרון המנחה בקביעת "מתחם העונש ההולם" הוא "עיקרון ההלימה". על פי עיקרון זה יש לקיים יחס הולם בין חומרת המעשה, בנסיבותיו, ומידת אשמו של הנאשם, מחד גיסא, ובין סוג ומידת העונש המוטל עליו, מאידך גיסא. בקביעת מתחם העונש ההולם, על בית המשפט להתחשב במידת הפגיעה בערך החברתי שנפגע כתוצאה מביצוע העבירה, ובמידת הענישה הנהוגה בנסיבות הקשורות בביצוע העבירה על ידי הנאשם. בשלב זה בית המשפט אינו מתייחס לנסיבותיו האישיות של הנאשם, שכן השלב בו בית המשפט מתחשב בנסיבותיו האישיות של הנאשם, יהיה השלב בו יבוא בית המשפט לקבוע את עונשו של הנאשם, בתוך מתחם העונש ההולם. </w:t>
      </w:r>
    </w:p>
    <w:p w14:paraId="30C8CD1D" w14:textId="77777777" w:rsidR="006F0323" w:rsidRPr="00784338" w:rsidRDefault="006F0323" w:rsidP="006F0323">
      <w:pPr>
        <w:spacing w:line="360" w:lineRule="auto"/>
        <w:ind w:left="567" w:hanging="567"/>
        <w:jc w:val="both"/>
        <w:rPr>
          <w:rFonts w:ascii="David" w:eastAsia="Calibri" w:hAnsi="David"/>
          <w:sz w:val="22"/>
          <w:szCs w:val="22"/>
          <w:rtl/>
        </w:rPr>
      </w:pPr>
    </w:p>
    <w:p w14:paraId="22718F0E" w14:textId="77777777" w:rsidR="006F0323" w:rsidRPr="00784338" w:rsidRDefault="006F0323" w:rsidP="006F0323">
      <w:pPr>
        <w:spacing w:line="360" w:lineRule="auto"/>
        <w:ind w:left="567" w:hanging="567"/>
        <w:jc w:val="both"/>
        <w:rPr>
          <w:rFonts w:ascii="David" w:eastAsia="Calibri" w:hAnsi="David"/>
          <w:sz w:val="22"/>
          <w:szCs w:val="22"/>
          <w:rtl/>
        </w:rPr>
      </w:pPr>
    </w:p>
    <w:p w14:paraId="7989C46E"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7.</w:t>
      </w:r>
      <w:r w:rsidRPr="00784338">
        <w:rPr>
          <w:rFonts w:ascii="David" w:eastAsia="Calibri" w:hAnsi="David"/>
          <w:sz w:val="22"/>
          <w:szCs w:val="22"/>
          <w:rtl/>
        </w:rPr>
        <w:tab/>
      </w:r>
      <w:hyperlink r:id="rId16" w:history="1">
        <w:r w:rsidR="00EF786B" w:rsidRPr="00EF786B">
          <w:rPr>
            <w:rStyle w:val="Hyperlink"/>
            <w:rFonts w:ascii="David" w:eastAsia="Calibri" w:hAnsi="David"/>
            <w:sz w:val="22"/>
            <w:szCs w:val="22"/>
            <w:rtl/>
          </w:rPr>
          <w:t>בסעיף 40ט'</w:t>
        </w:r>
      </w:hyperlink>
      <w:r w:rsidRPr="00784338">
        <w:rPr>
          <w:rFonts w:ascii="David" w:eastAsia="Calibri" w:hAnsi="David"/>
          <w:sz w:val="22"/>
          <w:szCs w:val="22"/>
          <w:rtl/>
        </w:rPr>
        <w:t xml:space="preserve"> ל</w:t>
      </w:r>
      <w:hyperlink r:id="rId17" w:history="1">
        <w:r w:rsidR="001C5B8F" w:rsidRPr="001C5B8F">
          <w:rPr>
            <w:rFonts w:ascii="David" w:eastAsia="Calibri" w:hAnsi="David"/>
            <w:color w:val="0000FF"/>
            <w:sz w:val="22"/>
            <w:szCs w:val="22"/>
            <w:u w:val="single"/>
            <w:rtl/>
          </w:rPr>
          <w:t>חוק העונשין</w:t>
        </w:r>
      </w:hyperlink>
      <w:r w:rsidRPr="00784338">
        <w:rPr>
          <w:rFonts w:ascii="David" w:eastAsia="Calibri" w:hAnsi="David"/>
          <w:sz w:val="22"/>
          <w:szCs w:val="22"/>
          <w:rtl/>
        </w:rPr>
        <w:t>, פורטו נסיבות שונות, שאינן מהוות רשימה סגורה, שעל בית המשפט להתחשב בה</w:t>
      </w:r>
      <w:r>
        <w:rPr>
          <w:rFonts w:ascii="David" w:eastAsia="Calibri" w:hAnsi="David" w:hint="cs"/>
          <w:sz w:val="22"/>
          <w:szCs w:val="22"/>
          <w:rtl/>
        </w:rPr>
        <w:t>ן</w:t>
      </w:r>
      <w:r w:rsidRPr="00784338">
        <w:rPr>
          <w:rFonts w:ascii="David" w:eastAsia="Calibri" w:hAnsi="David"/>
          <w:sz w:val="22"/>
          <w:szCs w:val="22"/>
          <w:rtl/>
        </w:rPr>
        <w:t>, ככל שבית המשפט סבור שהן משפיעות על חומרת המעשה ועל אשמו של הנאשם. חוק העונשין אסר על עשיית עסקאות בכלי נשק כדי להגן על שלמות גופם וביטחונם של אנשים. מי שמבצע עסקאות בנשק, ובוודאי עסקה בלבנת חבלה, הוא אדם הפוגע בערכים מוגנים אלה, ומכך יש לגז</w:t>
      </w:r>
      <w:r>
        <w:rPr>
          <w:rFonts w:ascii="David" w:eastAsia="Calibri" w:hAnsi="David" w:hint="cs"/>
          <w:sz w:val="22"/>
          <w:szCs w:val="22"/>
          <w:rtl/>
        </w:rPr>
        <w:t>ו</w:t>
      </w:r>
      <w:r w:rsidRPr="00784338">
        <w:rPr>
          <w:rFonts w:ascii="David" w:eastAsia="Calibri" w:hAnsi="David"/>
          <w:sz w:val="22"/>
          <w:szCs w:val="22"/>
          <w:rtl/>
        </w:rPr>
        <w:t>ר את חומרת עבירת הסיוע המיוחסת לנאשם. עב</w:t>
      </w:r>
      <w:r>
        <w:rPr>
          <w:rFonts w:ascii="David" w:eastAsia="Calibri" w:hAnsi="David" w:hint="cs"/>
          <w:sz w:val="22"/>
          <w:szCs w:val="22"/>
          <w:rtl/>
        </w:rPr>
        <w:t>י</w:t>
      </w:r>
      <w:r w:rsidRPr="00784338">
        <w:rPr>
          <w:rFonts w:ascii="David" w:eastAsia="Calibri" w:hAnsi="David"/>
          <w:sz w:val="22"/>
          <w:szCs w:val="22"/>
          <w:rtl/>
        </w:rPr>
        <w:t>רות בנשק הן עבירות חמורות, הפוגעות באופן חמור בערכים המוגנים, ויש אפוא לזקוף לחובת הנאשם כי סייע לביצוע עבירה שכזאת. כמו כן יש לזקוף לחובתו את התכנון המוקדם.</w:t>
      </w:r>
    </w:p>
    <w:p w14:paraId="3541A094" w14:textId="77777777" w:rsidR="006F0323" w:rsidRPr="00784338" w:rsidRDefault="006F0323" w:rsidP="006F0323">
      <w:pPr>
        <w:spacing w:line="360" w:lineRule="auto"/>
        <w:ind w:left="567" w:hanging="567"/>
        <w:jc w:val="both"/>
        <w:rPr>
          <w:rFonts w:ascii="David" w:eastAsia="Calibri" w:hAnsi="David"/>
          <w:sz w:val="22"/>
          <w:szCs w:val="22"/>
          <w:rtl/>
        </w:rPr>
      </w:pPr>
    </w:p>
    <w:p w14:paraId="31BA27E8" w14:textId="77777777" w:rsidR="006F0323" w:rsidRPr="00784338" w:rsidRDefault="006F0323" w:rsidP="006F0323">
      <w:pPr>
        <w:spacing w:line="360" w:lineRule="auto"/>
        <w:ind w:left="567" w:hanging="567"/>
        <w:jc w:val="both"/>
        <w:rPr>
          <w:rFonts w:ascii="David" w:eastAsia="Calibri" w:hAnsi="David"/>
          <w:sz w:val="22"/>
          <w:szCs w:val="22"/>
          <w:rtl/>
        </w:rPr>
      </w:pPr>
    </w:p>
    <w:p w14:paraId="4D99B676"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8.</w:t>
      </w:r>
      <w:r w:rsidRPr="00784338">
        <w:rPr>
          <w:rFonts w:ascii="David" w:eastAsia="Calibri" w:hAnsi="David"/>
          <w:sz w:val="22"/>
          <w:szCs w:val="22"/>
          <w:rtl/>
        </w:rPr>
        <w:tab/>
        <w:t>פסיקת בתי המשפט מגלה בשנים האחרונות מגמה להחמיר עם אנשים המבצעים עבירות בנשק. מגמת ההחמרה מובנת, על רקע התגברות העבריינות בתחום זה.  כך למשל נקבע ב</w:t>
      </w:r>
      <w:hyperlink r:id="rId18" w:history="1">
        <w:r w:rsidR="001C5B8F" w:rsidRPr="001C5B8F">
          <w:rPr>
            <w:rFonts w:ascii="David" w:eastAsia="Calibri" w:hAnsi="David"/>
            <w:color w:val="0000FF"/>
            <w:sz w:val="22"/>
            <w:szCs w:val="22"/>
            <w:u w:val="single"/>
            <w:rtl/>
          </w:rPr>
          <w:t>ע"פ 3877/16</w:t>
        </w:r>
      </w:hyperlink>
      <w:r w:rsidRPr="00784338">
        <w:rPr>
          <w:rFonts w:ascii="David" w:eastAsia="Calibri" w:hAnsi="David"/>
          <w:sz w:val="22"/>
          <w:szCs w:val="22"/>
          <w:rtl/>
        </w:rPr>
        <w:t xml:space="preserve"> </w:t>
      </w:r>
      <w:r w:rsidRPr="00784338">
        <w:rPr>
          <w:rFonts w:ascii="David" w:eastAsia="Calibri" w:hAnsi="David"/>
          <w:b/>
          <w:bCs/>
          <w:sz w:val="22"/>
          <w:szCs w:val="22"/>
          <w:rtl/>
        </w:rPr>
        <w:t>ג'באלי נ' מדינת ישראל</w:t>
      </w:r>
      <w:r w:rsidRPr="00784338">
        <w:rPr>
          <w:rFonts w:ascii="David" w:eastAsia="Calibri" w:hAnsi="David"/>
          <w:sz w:val="22"/>
          <w:szCs w:val="22"/>
          <w:rtl/>
        </w:rPr>
        <w:t xml:space="preserve"> (17.11.2016) מפי כב' השופטת (כתוארה אז) א' חיות:</w:t>
      </w:r>
    </w:p>
    <w:p w14:paraId="1CF9BC23" w14:textId="77777777" w:rsidR="006F0323" w:rsidRPr="00784338" w:rsidRDefault="006F0323" w:rsidP="006F0323">
      <w:pPr>
        <w:spacing w:line="360" w:lineRule="auto"/>
        <w:ind w:left="567" w:hanging="567"/>
        <w:jc w:val="both"/>
        <w:rPr>
          <w:rFonts w:ascii="David" w:eastAsia="Calibri" w:hAnsi="David"/>
          <w:sz w:val="22"/>
          <w:szCs w:val="22"/>
          <w:rtl/>
        </w:rPr>
      </w:pPr>
    </w:p>
    <w:p w14:paraId="33B35A71" w14:textId="77777777" w:rsidR="006F0323" w:rsidRPr="00784338" w:rsidRDefault="006F0323" w:rsidP="006F0323">
      <w:pPr>
        <w:spacing w:line="360" w:lineRule="auto"/>
        <w:ind w:left="1247" w:right="567" w:hanging="113"/>
        <w:jc w:val="both"/>
        <w:rPr>
          <w:rFonts w:ascii="David" w:eastAsia="Calibri" w:hAnsi="David"/>
          <w:sz w:val="22"/>
          <w:szCs w:val="22"/>
          <w:rtl/>
        </w:rPr>
      </w:pPr>
      <w:r w:rsidRPr="00784338">
        <w:rPr>
          <w:rFonts w:ascii="David" w:eastAsia="Calibri" w:hAnsi="David"/>
          <w:sz w:val="22"/>
          <w:szCs w:val="22"/>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w:t>
      </w:r>
      <w:hyperlink r:id="rId19" w:history="1">
        <w:r w:rsidR="001C5B8F" w:rsidRPr="001C5B8F">
          <w:rPr>
            <w:rFonts w:ascii="David" w:eastAsia="Calibri" w:hAnsi="David"/>
            <w:color w:val="0000FF"/>
            <w:sz w:val="22"/>
            <w:szCs w:val="22"/>
            <w:u w:val="single"/>
            <w:rtl/>
          </w:rPr>
          <w:t>ע"פ 5120/11</w:t>
        </w:r>
      </w:hyperlink>
      <w:r w:rsidRPr="00784338">
        <w:rPr>
          <w:rFonts w:ascii="David" w:eastAsia="Calibri" w:hAnsi="David"/>
          <w:sz w:val="22"/>
          <w:szCs w:val="22"/>
          <w:rtl/>
        </w:rPr>
        <w:t xml:space="preserve"> </w:t>
      </w:r>
      <w:r w:rsidRPr="00784338">
        <w:rPr>
          <w:rFonts w:ascii="David" w:eastAsia="Calibri" w:hAnsi="David"/>
          <w:b/>
          <w:bCs/>
          <w:sz w:val="22"/>
          <w:szCs w:val="22"/>
          <w:rtl/>
        </w:rPr>
        <w:t>שתיווי נ' מדינת ישראל</w:t>
      </w:r>
      <w:r w:rsidRPr="00784338">
        <w:rPr>
          <w:rFonts w:ascii="David" w:eastAsia="Calibri" w:hAnsi="David"/>
          <w:sz w:val="22"/>
          <w:szCs w:val="22"/>
          <w:rtl/>
        </w:rPr>
        <w:t xml:space="preserve"> (18.12.2011); </w:t>
      </w:r>
      <w:hyperlink r:id="rId20" w:history="1">
        <w:r w:rsidR="001C5B8F" w:rsidRPr="001C5B8F">
          <w:rPr>
            <w:rFonts w:ascii="David" w:eastAsia="Calibri" w:hAnsi="David"/>
            <w:color w:val="0000FF"/>
            <w:sz w:val="22"/>
            <w:szCs w:val="22"/>
            <w:u w:val="single"/>
            <w:rtl/>
          </w:rPr>
          <w:t>ע"פ 4329/10</w:t>
        </w:r>
      </w:hyperlink>
      <w:r w:rsidRPr="00784338">
        <w:rPr>
          <w:rFonts w:ascii="David" w:eastAsia="Calibri" w:hAnsi="David"/>
          <w:sz w:val="22"/>
          <w:szCs w:val="22"/>
          <w:rtl/>
        </w:rPr>
        <w:t xml:space="preserve"> </w:t>
      </w:r>
      <w:r w:rsidRPr="00784338">
        <w:rPr>
          <w:rFonts w:ascii="David" w:eastAsia="Calibri" w:hAnsi="David"/>
          <w:b/>
          <w:bCs/>
          <w:sz w:val="22"/>
          <w:szCs w:val="22"/>
          <w:rtl/>
        </w:rPr>
        <w:t>פלוני נ' מדינת ישראל</w:t>
      </w:r>
      <w:r w:rsidRPr="00784338">
        <w:rPr>
          <w:rFonts w:ascii="David" w:eastAsia="Calibri" w:hAnsi="David"/>
          <w:sz w:val="22"/>
          <w:szCs w:val="22"/>
          <w:rtl/>
        </w:rPr>
        <w:t xml:space="preserve"> (25.10.2010). עוד נפסק כי חומרתן שך העבירות בנשק אינה מסתכמת רק בנזק שאירע בפועל, כי אם בפוטנציאל הנזק הנובע מאותן עבירות (</w:t>
      </w:r>
      <w:hyperlink r:id="rId21" w:history="1">
        <w:r w:rsidR="00F313E8" w:rsidRPr="00F313E8">
          <w:rPr>
            <w:rFonts w:ascii="David" w:eastAsia="Calibri" w:hAnsi="David"/>
            <w:color w:val="0000FF"/>
            <w:sz w:val="22"/>
            <w:szCs w:val="22"/>
            <w:u w:val="single"/>
            <w:rtl/>
          </w:rPr>
          <w:t xml:space="preserve">ע""פ 116/13 </w:t>
        </w:r>
      </w:hyperlink>
      <w:r w:rsidRPr="00784338">
        <w:rPr>
          <w:rFonts w:ascii="David" w:eastAsia="Calibri" w:hAnsi="David"/>
          <w:sz w:val="22"/>
          <w:szCs w:val="22"/>
          <w:rtl/>
        </w:rPr>
        <w:t xml:space="preserve"> </w:t>
      </w:r>
      <w:r w:rsidRPr="00784338">
        <w:rPr>
          <w:rFonts w:ascii="David" w:eastAsia="Calibri" w:hAnsi="David"/>
          <w:b/>
          <w:bCs/>
          <w:sz w:val="22"/>
          <w:szCs w:val="22"/>
          <w:rtl/>
        </w:rPr>
        <w:t>וקנין נ' מדינת ישראל</w:t>
      </w:r>
      <w:r w:rsidRPr="00784338">
        <w:rPr>
          <w:rFonts w:ascii="David" w:eastAsia="Calibri" w:hAnsi="David"/>
          <w:sz w:val="22"/>
          <w:szCs w:val="22"/>
          <w:rtl/>
        </w:rPr>
        <w:t xml:space="preserve"> (31.7.2013)."</w:t>
      </w:r>
    </w:p>
    <w:p w14:paraId="02A15EB9" w14:textId="77777777" w:rsidR="006F0323" w:rsidRPr="00784338" w:rsidRDefault="006F0323" w:rsidP="006F0323">
      <w:pPr>
        <w:spacing w:line="360" w:lineRule="auto"/>
        <w:ind w:left="567" w:hanging="567"/>
        <w:jc w:val="both"/>
        <w:rPr>
          <w:rFonts w:ascii="David" w:eastAsia="Calibri" w:hAnsi="David"/>
          <w:sz w:val="22"/>
          <w:szCs w:val="22"/>
          <w:rtl/>
        </w:rPr>
      </w:pPr>
    </w:p>
    <w:p w14:paraId="03BB7F21"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ab/>
        <w:t xml:space="preserve">לעניין הצורך להחמיר עם מי שביצעו עבירות בנשק ראו גם </w:t>
      </w:r>
      <w:hyperlink r:id="rId22" w:history="1">
        <w:r w:rsidR="001C5B8F" w:rsidRPr="001C5B8F">
          <w:rPr>
            <w:rFonts w:ascii="David" w:eastAsia="Calibri" w:hAnsi="David"/>
            <w:color w:val="0000FF"/>
            <w:sz w:val="22"/>
            <w:szCs w:val="22"/>
            <w:u w:val="single"/>
            <w:rtl/>
          </w:rPr>
          <w:t>ע"פ 2368/11</w:t>
        </w:r>
      </w:hyperlink>
      <w:r w:rsidRPr="00784338">
        <w:rPr>
          <w:rFonts w:ascii="David" w:eastAsia="Calibri" w:hAnsi="David"/>
          <w:sz w:val="22"/>
          <w:szCs w:val="22"/>
          <w:rtl/>
        </w:rPr>
        <w:t xml:space="preserve"> </w:t>
      </w:r>
      <w:r w:rsidRPr="00784338">
        <w:rPr>
          <w:rFonts w:ascii="David" w:eastAsia="Calibri" w:hAnsi="David"/>
          <w:b/>
          <w:bCs/>
          <w:sz w:val="22"/>
          <w:szCs w:val="22"/>
          <w:rtl/>
        </w:rPr>
        <w:t>מדינת ישראל נ' נפעא</w:t>
      </w:r>
      <w:r w:rsidRPr="00784338">
        <w:rPr>
          <w:rFonts w:ascii="David" w:eastAsia="Calibri" w:hAnsi="David"/>
          <w:sz w:val="22"/>
          <w:szCs w:val="22"/>
          <w:rtl/>
        </w:rPr>
        <w:t xml:space="preserve"> (4.12.2011).</w:t>
      </w:r>
    </w:p>
    <w:p w14:paraId="4B08D701" w14:textId="77777777" w:rsidR="006F0323" w:rsidRPr="00784338" w:rsidRDefault="006F0323" w:rsidP="006F0323">
      <w:pPr>
        <w:spacing w:line="360" w:lineRule="auto"/>
        <w:ind w:left="567" w:hanging="567"/>
        <w:jc w:val="both"/>
        <w:rPr>
          <w:rFonts w:ascii="David" w:eastAsia="Calibri" w:hAnsi="David"/>
          <w:sz w:val="22"/>
          <w:szCs w:val="22"/>
          <w:rtl/>
        </w:rPr>
      </w:pPr>
    </w:p>
    <w:p w14:paraId="2D2D0CCF" w14:textId="77777777" w:rsidR="006F0323" w:rsidRPr="00784338" w:rsidRDefault="006F0323" w:rsidP="006F0323">
      <w:pPr>
        <w:spacing w:line="360" w:lineRule="auto"/>
        <w:ind w:left="567" w:hanging="567"/>
        <w:jc w:val="both"/>
        <w:rPr>
          <w:rFonts w:ascii="David" w:eastAsia="Calibri" w:hAnsi="David"/>
          <w:sz w:val="22"/>
          <w:szCs w:val="22"/>
          <w:rtl/>
        </w:rPr>
      </w:pPr>
    </w:p>
    <w:p w14:paraId="34512862"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9.</w:t>
      </w:r>
      <w:r w:rsidRPr="00784338">
        <w:rPr>
          <w:rFonts w:ascii="David" w:eastAsia="Calibri" w:hAnsi="David"/>
          <w:sz w:val="22"/>
          <w:szCs w:val="22"/>
          <w:rtl/>
        </w:rPr>
        <w:tab/>
        <w:t>בעניינו, חלקו של הנאשם בא לידי ביטוי בכך שהוא הוביל את "הקונה" למקום ביצוע העסקה, והיה נוכח בעת ביצועה. במידה רבה מעורב</w:t>
      </w:r>
      <w:r>
        <w:rPr>
          <w:rFonts w:ascii="David" w:eastAsia="Calibri" w:hAnsi="David" w:hint="cs"/>
          <w:sz w:val="22"/>
          <w:szCs w:val="22"/>
          <w:rtl/>
        </w:rPr>
        <w:t>ו</w:t>
      </w:r>
      <w:r w:rsidRPr="00784338">
        <w:rPr>
          <w:rFonts w:ascii="David" w:eastAsia="Calibri" w:hAnsi="David"/>
          <w:sz w:val="22"/>
          <w:szCs w:val="22"/>
          <w:rtl/>
        </w:rPr>
        <w:t>תו של הנאשם שלפני דומה למעורבותו של המערער ב</w:t>
      </w:r>
      <w:hyperlink r:id="rId23" w:history="1">
        <w:r w:rsidR="001C5B8F" w:rsidRPr="001C5B8F">
          <w:rPr>
            <w:rFonts w:ascii="David" w:eastAsia="Calibri" w:hAnsi="David"/>
            <w:color w:val="0000FF"/>
            <w:sz w:val="22"/>
            <w:szCs w:val="22"/>
            <w:u w:val="single"/>
            <w:rtl/>
          </w:rPr>
          <w:t>ע"פ  2802/18</w:t>
        </w:r>
      </w:hyperlink>
      <w:r w:rsidRPr="00784338">
        <w:rPr>
          <w:rFonts w:ascii="David" w:eastAsia="Calibri" w:hAnsi="David"/>
          <w:sz w:val="22"/>
          <w:szCs w:val="22"/>
          <w:rtl/>
        </w:rPr>
        <w:t xml:space="preserve"> </w:t>
      </w:r>
      <w:r w:rsidRPr="00784338">
        <w:rPr>
          <w:rFonts w:ascii="David" w:eastAsia="Calibri" w:hAnsi="David"/>
          <w:b/>
          <w:bCs/>
          <w:sz w:val="22"/>
          <w:szCs w:val="22"/>
          <w:rtl/>
        </w:rPr>
        <w:t>איוב ג'ואמיס נ' מדינת ישראל</w:t>
      </w:r>
      <w:r w:rsidRPr="00784338">
        <w:rPr>
          <w:rFonts w:ascii="David" w:eastAsia="Calibri" w:hAnsi="David"/>
          <w:sz w:val="22"/>
          <w:szCs w:val="22"/>
          <w:rtl/>
        </w:rPr>
        <w:t xml:space="preserve"> (26.7.2018). אותו מערער הורשע בעבירה של סיוע לסחר בנשק, והסיוע היה בכך </w:t>
      </w:r>
      <w:r>
        <w:rPr>
          <w:rFonts w:ascii="David" w:eastAsia="Calibri" w:hAnsi="David" w:hint="cs"/>
          <w:sz w:val="22"/>
          <w:szCs w:val="22"/>
          <w:rtl/>
        </w:rPr>
        <w:t>ש</w:t>
      </w:r>
      <w:r w:rsidRPr="00784338">
        <w:rPr>
          <w:rFonts w:ascii="David" w:eastAsia="Calibri" w:hAnsi="David"/>
          <w:sz w:val="22"/>
          <w:szCs w:val="22"/>
          <w:rtl/>
        </w:rPr>
        <w:t>הוא "הגיע ברכבו למקום המפגש שסוכם, יחד עם אחר שהוביל את הנשק, וכי נכח בכל שלבי ביצוע העסקה." המערער (ג'ואמיס) נדון ל- 15 חודשי מאסר בפועל, ובערעור עונשו הופחת והועמד על 9 חודשי מאסר לריצוי בפועל "נוכח נסיבותיו האישיות החריגות", תסקירים חיוביים של שירות המבחן וסיכויי שיקום גבוהים.</w:t>
      </w:r>
    </w:p>
    <w:p w14:paraId="28870082" w14:textId="77777777" w:rsidR="006F0323" w:rsidRPr="00784338" w:rsidRDefault="006F0323" w:rsidP="006F0323">
      <w:pPr>
        <w:spacing w:line="360" w:lineRule="auto"/>
        <w:ind w:left="567" w:hanging="567"/>
        <w:jc w:val="both"/>
        <w:rPr>
          <w:rFonts w:ascii="David" w:eastAsia="Calibri" w:hAnsi="David"/>
          <w:sz w:val="22"/>
          <w:szCs w:val="22"/>
          <w:rtl/>
        </w:rPr>
      </w:pPr>
    </w:p>
    <w:p w14:paraId="5E2B4AF3"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ab/>
        <w:t xml:space="preserve">שקלתי נימוקי בית המשפט העליון בהפחיתו את העונש בערעור הנזכר, ולדעתי המצב שלפני שונה. בערעור הנ"ל, באירוע המתייחס למערער ג'ואמיס, נעשתה עסקה ברובה מסוג </w:t>
      </w:r>
      <w:r w:rsidRPr="00784338">
        <w:rPr>
          <w:rFonts w:ascii="David" w:eastAsia="Calibri" w:hAnsi="David"/>
          <w:sz w:val="22"/>
          <w:szCs w:val="22"/>
        </w:rPr>
        <w:t>M-16</w:t>
      </w:r>
      <w:r w:rsidRPr="00784338">
        <w:rPr>
          <w:rFonts w:ascii="David" w:eastAsia="Calibri" w:hAnsi="David"/>
          <w:sz w:val="22"/>
          <w:szCs w:val="22"/>
          <w:rtl/>
        </w:rPr>
        <w:t>. לעומת זאת, בעניין שלפנינו העסקה כללה מכר של לבנת חבלה ונפץ. בשונה מפגיעתו הרעה של ירי מרובה, פגיעתה של לבנת חבלה חמורה עשרות מונים, והיא עלולה לפגוע באנשים רבים ללא הבחנה ולגרום נזק כבד מאוד הן לחיי אדם והן לרכוש. מי שעוסק בסחר באמצעי לחימה מסוג שכזה, מבצע עבירה חמורה יותר מאשר מי שמכר רובה. כמובן, שחומרת העבירה העיקרית, משליכה על עבירת הסיוע, בה הורשע הנאשם שלפני. בנוסף, הפחתת העונש בעניין ג'ואמיס נעשתה על רקע "נסיבות אישיות חריגות", ולא שוכנעתי שנסיבותיו האישיות של הנאשם שלפני הן נסיבות חריגות.</w:t>
      </w:r>
    </w:p>
    <w:p w14:paraId="3DE7304F" w14:textId="77777777" w:rsidR="006F0323" w:rsidRPr="00784338" w:rsidRDefault="006F0323" w:rsidP="006F0323">
      <w:pPr>
        <w:spacing w:line="360" w:lineRule="auto"/>
        <w:ind w:left="567" w:hanging="567"/>
        <w:jc w:val="both"/>
        <w:rPr>
          <w:rFonts w:ascii="David" w:eastAsia="Calibri" w:hAnsi="David"/>
          <w:sz w:val="22"/>
          <w:szCs w:val="22"/>
          <w:rtl/>
        </w:rPr>
      </w:pPr>
    </w:p>
    <w:p w14:paraId="69350CFB" w14:textId="77777777" w:rsidR="006F0323" w:rsidRPr="00784338" w:rsidRDefault="006F0323" w:rsidP="006F0323">
      <w:pPr>
        <w:spacing w:line="360" w:lineRule="auto"/>
        <w:ind w:left="567" w:hanging="567"/>
        <w:jc w:val="both"/>
        <w:rPr>
          <w:rFonts w:ascii="David" w:eastAsia="Calibri" w:hAnsi="David"/>
          <w:sz w:val="22"/>
          <w:szCs w:val="22"/>
          <w:rtl/>
        </w:rPr>
      </w:pPr>
    </w:p>
    <w:p w14:paraId="333FE18F"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10.</w:t>
      </w:r>
      <w:r w:rsidRPr="00784338">
        <w:rPr>
          <w:rFonts w:ascii="David" w:eastAsia="Calibri" w:hAnsi="David"/>
          <w:sz w:val="22"/>
          <w:szCs w:val="22"/>
          <w:rtl/>
        </w:rPr>
        <w:tab/>
        <w:t>לפיכך, לאחר ששקלתי טענות באי כוח הצדדים, הנני סבור, כי בנסיבות העניין, ולאור תרומתו הקטנה יחסית של הנאשם לביצוע העבירה העיקרית, מתחם העונש ההולם בעניינו נע בין 12 חודשי מאסר ל- 24 חודשי מאסר לריצוי בפועל.</w:t>
      </w:r>
    </w:p>
    <w:p w14:paraId="34BD05C3" w14:textId="77777777" w:rsidR="006F0323" w:rsidRPr="00784338" w:rsidRDefault="006F0323" w:rsidP="006F0323">
      <w:pPr>
        <w:spacing w:line="360" w:lineRule="auto"/>
        <w:ind w:left="567" w:hanging="567"/>
        <w:jc w:val="both"/>
        <w:rPr>
          <w:rFonts w:ascii="David" w:eastAsia="Calibri" w:hAnsi="David"/>
          <w:sz w:val="22"/>
          <w:szCs w:val="22"/>
          <w:rtl/>
        </w:rPr>
      </w:pPr>
    </w:p>
    <w:p w14:paraId="5292E95F" w14:textId="77777777" w:rsidR="006F0323" w:rsidRPr="00784338" w:rsidRDefault="006F0323" w:rsidP="006F0323">
      <w:pPr>
        <w:spacing w:line="360" w:lineRule="auto"/>
        <w:ind w:left="567" w:hanging="567"/>
        <w:jc w:val="both"/>
        <w:rPr>
          <w:rFonts w:ascii="David" w:eastAsia="Calibri" w:hAnsi="David"/>
          <w:sz w:val="22"/>
          <w:szCs w:val="22"/>
          <w:rtl/>
        </w:rPr>
      </w:pPr>
    </w:p>
    <w:p w14:paraId="690FD20D" w14:textId="77777777" w:rsidR="006F0323" w:rsidRPr="00784338" w:rsidRDefault="006F0323" w:rsidP="006F0323">
      <w:pPr>
        <w:spacing w:line="360" w:lineRule="auto"/>
        <w:ind w:left="340" w:hanging="567"/>
        <w:jc w:val="both"/>
        <w:rPr>
          <w:rFonts w:ascii="David" w:eastAsia="Calibri" w:hAnsi="David"/>
          <w:b/>
          <w:bCs/>
          <w:sz w:val="22"/>
          <w:szCs w:val="22"/>
          <w:rtl/>
        </w:rPr>
      </w:pPr>
      <w:r w:rsidRPr="00784338">
        <w:rPr>
          <w:rFonts w:ascii="David" w:eastAsia="Calibri" w:hAnsi="David"/>
          <w:b/>
          <w:bCs/>
          <w:sz w:val="22"/>
          <w:szCs w:val="22"/>
          <w:rtl/>
        </w:rPr>
        <w:t>ה. סטייה ממתחם העונש ההולם</w:t>
      </w:r>
    </w:p>
    <w:p w14:paraId="1EFA362F" w14:textId="77777777" w:rsidR="006F0323" w:rsidRPr="00784338" w:rsidRDefault="006F0323" w:rsidP="006F0323">
      <w:pPr>
        <w:spacing w:line="360" w:lineRule="auto"/>
        <w:ind w:left="567" w:hanging="567"/>
        <w:jc w:val="both"/>
        <w:rPr>
          <w:rFonts w:ascii="David" w:eastAsia="Calibri" w:hAnsi="David"/>
          <w:sz w:val="22"/>
          <w:szCs w:val="22"/>
          <w:rtl/>
        </w:rPr>
      </w:pPr>
    </w:p>
    <w:p w14:paraId="7FFD6D68"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11.</w:t>
      </w:r>
      <w:r w:rsidRPr="00784338">
        <w:rPr>
          <w:rFonts w:ascii="David" w:eastAsia="Calibri" w:hAnsi="David"/>
          <w:sz w:val="22"/>
          <w:szCs w:val="22"/>
          <w:rtl/>
        </w:rPr>
        <w:tab/>
        <w:t xml:space="preserve">על פי </w:t>
      </w:r>
      <w:hyperlink r:id="rId24" w:history="1">
        <w:r w:rsidR="00EF786B" w:rsidRPr="00EF786B">
          <w:rPr>
            <w:rStyle w:val="Hyperlink"/>
            <w:rFonts w:ascii="David" w:eastAsia="Calibri" w:hAnsi="David"/>
            <w:sz w:val="22"/>
            <w:szCs w:val="22"/>
            <w:rtl/>
          </w:rPr>
          <w:t>סעיף 40ד(א)</w:t>
        </w:r>
      </w:hyperlink>
      <w:r w:rsidRPr="00784338">
        <w:rPr>
          <w:rFonts w:ascii="David" w:eastAsia="Calibri" w:hAnsi="David"/>
          <w:sz w:val="22"/>
          <w:szCs w:val="22"/>
          <w:rtl/>
        </w:rPr>
        <w:t xml:space="preserve"> ל</w:t>
      </w:r>
      <w:hyperlink r:id="rId25" w:history="1">
        <w:r w:rsidR="001C5B8F" w:rsidRPr="001C5B8F">
          <w:rPr>
            <w:rFonts w:ascii="David" w:eastAsia="Calibri" w:hAnsi="David"/>
            <w:color w:val="0000FF"/>
            <w:sz w:val="22"/>
            <w:szCs w:val="22"/>
            <w:u w:val="single"/>
            <w:rtl/>
          </w:rPr>
          <w:t>חוק העונשין</w:t>
        </w:r>
      </w:hyperlink>
      <w:r w:rsidRPr="00784338">
        <w:rPr>
          <w:rFonts w:ascii="David" w:eastAsia="Calibri" w:hAnsi="David"/>
          <w:sz w:val="22"/>
          <w:szCs w:val="22"/>
          <w:rtl/>
        </w:rPr>
        <w:t xml:space="preserve">, בית המשפט רשאי לחרוג ממתחם העונש ההולם אם מצא, כי יש סיכוי של ממש לשיקומו של הנאשם. במקרה שכזה, רשאי בית המשפט לקבוע את עונשו של הנאשם "לפי שיקולי שיקומו", וכן מוסמך בית המשפט להורות על נקיטת אמצעי שיקום, לרבות העמדת הנאשם במבחן. עם זאת, לא ניתן לחרוג ממתחם העונש ההולם, גם כאשר יש סיכוי של ממש לשיקומו של הנאשם, אם מעשה העבירה ומידת אשמו של הנאשם הם "בעלי חומרה יתרה". </w:t>
      </w:r>
    </w:p>
    <w:p w14:paraId="385B21CC" w14:textId="77777777" w:rsidR="006F0323" w:rsidRPr="00784338" w:rsidRDefault="006F0323" w:rsidP="006F0323">
      <w:pPr>
        <w:spacing w:line="360" w:lineRule="auto"/>
        <w:ind w:left="567" w:hanging="567"/>
        <w:jc w:val="both"/>
        <w:rPr>
          <w:rFonts w:ascii="David" w:eastAsia="Calibri" w:hAnsi="David"/>
          <w:sz w:val="22"/>
          <w:szCs w:val="22"/>
          <w:rtl/>
        </w:rPr>
      </w:pPr>
    </w:p>
    <w:p w14:paraId="1B2C620F"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12.</w:t>
      </w:r>
      <w:r w:rsidRPr="00784338">
        <w:rPr>
          <w:rFonts w:ascii="David" w:eastAsia="Calibri" w:hAnsi="David"/>
          <w:sz w:val="22"/>
          <w:szCs w:val="22"/>
          <w:rtl/>
        </w:rPr>
        <w:tab/>
        <w:t>בנסיבותיו של הנאשם, לא מצאתי ששיקולי שיקומו מצדיקים סטייה ממתחם העונש ההולם.</w:t>
      </w:r>
    </w:p>
    <w:p w14:paraId="10BA8FDA" w14:textId="77777777" w:rsidR="006F0323" w:rsidRPr="00784338" w:rsidRDefault="006F0323" w:rsidP="006F0323">
      <w:pPr>
        <w:spacing w:line="360" w:lineRule="auto"/>
        <w:ind w:left="567" w:hanging="567"/>
        <w:jc w:val="both"/>
        <w:rPr>
          <w:rFonts w:ascii="David" w:eastAsia="Calibri" w:hAnsi="David"/>
          <w:sz w:val="22"/>
          <w:szCs w:val="22"/>
          <w:rtl/>
        </w:rPr>
      </w:pPr>
    </w:p>
    <w:p w14:paraId="602D4CB9" w14:textId="77777777" w:rsidR="006F0323" w:rsidRPr="00784338" w:rsidRDefault="006F0323" w:rsidP="006F0323">
      <w:pPr>
        <w:spacing w:line="360" w:lineRule="auto"/>
        <w:ind w:left="567" w:hanging="567"/>
        <w:jc w:val="both"/>
        <w:rPr>
          <w:rFonts w:ascii="David" w:eastAsia="Calibri" w:hAnsi="David"/>
          <w:sz w:val="22"/>
          <w:szCs w:val="22"/>
          <w:rtl/>
        </w:rPr>
      </w:pPr>
    </w:p>
    <w:p w14:paraId="44E54DB1" w14:textId="77777777" w:rsidR="006F0323" w:rsidRPr="00784338" w:rsidRDefault="006F0323" w:rsidP="006F0323">
      <w:pPr>
        <w:spacing w:line="360" w:lineRule="auto"/>
        <w:ind w:left="340" w:hanging="567"/>
        <w:jc w:val="both"/>
        <w:rPr>
          <w:rFonts w:ascii="David" w:eastAsia="Calibri" w:hAnsi="David"/>
          <w:b/>
          <w:bCs/>
          <w:sz w:val="22"/>
          <w:szCs w:val="22"/>
          <w:rtl/>
        </w:rPr>
      </w:pPr>
      <w:r w:rsidRPr="00784338">
        <w:rPr>
          <w:rFonts w:ascii="David" w:eastAsia="Calibri" w:hAnsi="David"/>
          <w:b/>
          <w:bCs/>
          <w:sz w:val="22"/>
          <w:szCs w:val="22"/>
          <w:rtl/>
        </w:rPr>
        <w:t>ו. קביעת העונש</w:t>
      </w:r>
    </w:p>
    <w:p w14:paraId="2BE25C23" w14:textId="77777777" w:rsidR="006F0323" w:rsidRPr="00784338" w:rsidRDefault="006F0323" w:rsidP="006F0323">
      <w:pPr>
        <w:spacing w:line="360" w:lineRule="auto"/>
        <w:ind w:left="567" w:hanging="567"/>
        <w:jc w:val="both"/>
        <w:rPr>
          <w:rFonts w:ascii="David" w:eastAsia="Calibri" w:hAnsi="David"/>
          <w:sz w:val="22"/>
          <w:szCs w:val="22"/>
          <w:rtl/>
        </w:rPr>
      </w:pPr>
    </w:p>
    <w:p w14:paraId="25F58694"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13.</w:t>
      </w:r>
      <w:r w:rsidRPr="00784338">
        <w:rPr>
          <w:rFonts w:ascii="David" w:eastAsia="Calibri" w:hAnsi="David"/>
          <w:sz w:val="22"/>
          <w:szCs w:val="22"/>
          <w:rtl/>
        </w:rPr>
        <w:tab/>
        <w:t>הנאשם יליד שנת 1996, והוא כבן 24 שנים. לחובת הנאשם הרשעה קודמת משנת 2017 בעבירה של הצתת כלי רכב, בעטיה נדון ל- 10 חודשי מאסר בפועל, והרשעה קודמת נוספת משנת 2018, בעבירת איומים, בעטיה נדון לחודש מאסר. הנאשם רווק, ולדבריו, לאחר שיסיים ריצוי עונשו, בכוונתו לשאת אישה. קודם שהנאשם נעצר, בעקבות העבירה בה הורשע בכתב האישום שלפני, הנאשם עבד כטבח במסעדה בעיר עכו. לחובת הנאשם יש להביא בחשבון את חומרת העבירה וטיבה ההרסני של לבנת החבלה שנמכרה במסגרת העסקה.  לזכות הנאשם יש להביא את מעורבותו הקטנה יחסית, ואת העובדה כי נטל אחריות, הודה בביצוע העבירה והביע חרטה על מעשיו. כמו כן אביא לזכות הנאשם את רצונו להשתקם ולהקים משפחה ואת נסיבותיו האישיות שתוארו על ידי הסניגור.</w:t>
      </w:r>
    </w:p>
    <w:p w14:paraId="5738A9C4" w14:textId="77777777" w:rsidR="006F0323" w:rsidRPr="00784338" w:rsidRDefault="006F0323" w:rsidP="006F0323">
      <w:pPr>
        <w:spacing w:line="360" w:lineRule="auto"/>
        <w:ind w:left="567" w:hanging="567"/>
        <w:jc w:val="both"/>
        <w:rPr>
          <w:rFonts w:ascii="David" w:eastAsia="Calibri" w:hAnsi="David"/>
          <w:sz w:val="22"/>
          <w:szCs w:val="22"/>
          <w:rtl/>
        </w:rPr>
      </w:pPr>
    </w:p>
    <w:p w14:paraId="33D5A16A" w14:textId="77777777" w:rsidR="006F0323" w:rsidRPr="00784338" w:rsidRDefault="006F0323" w:rsidP="006F0323">
      <w:pPr>
        <w:spacing w:line="360" w:lineRule="auto"/>
        <w:ind w:left="567" w:hanging="567"/>
        <w:jc w:val="both"/>
        <w:rPr>
          <w:rFonts w:ascii="David" w:eastAsia="Calibri" w:hAnsi="David"/>
          <w:sz w:val="22"/>
          <w:szCs w:val="22"/>
          <w:rtl/>
        </w:rPr>
      </w:pPr>
    </w:p>
    <w:p w14:paraId="259E37DA" w14:textId="77777777" w:rsidR="006F0323" w:rsidRPr="00784338" w:rsidRDefault="006F0323" w:rsidP="006F0323">
      <w:pPr>
        <w:spacing w:line="360" w:lineRule="auto"/>
        <w:ind w:left="567" w:hanging="567"/>
        <w:jc w:val="both"/>
        <w:rPr>
          <w:rFonts w:ascii="David" w:eastAsia="Calibri" w:hAnsi="David"/>
          <w:sz w:val="22"/>
          <w:szCs w:val="22"/>
          <w:rtl/>
        </w:rPr>
      </w:pPr>
      <w:r w:rsidRPr="00784338">
        <w:rPr>
          <w:rFonts w:ascii="David" w:eastAsia="Calibri" w:hAnsi="David"/>
          <w:sz w:val="22"/>
          <w:szCs w:val="22"/>
          <w:rtl/>
        </w:rPr>
        <w:t>14.</w:t>
      </w:r>
      <w:r w:rsidRPr="00784338">
        <w:rPr>
          <w:rFonts w:ascii="David" w:eastAsia="Calibri" w:hAnsi="David"/>
          <w:sz w:val="22"/>
          <w:szCs w:val="22"/>
          <w:rtl/>
        </w:rPr>
        <w:tab/>
        <w:t>על כן, לאחר ששקלתי את טענות באי כוח הצדדים ואת כל הנסיבות הצריכות לעניין, הנני דן את הנאשם ל- 18 (שמונה עשר) חודשי מאסר לריצוי בפועל, ובנוסף לכך עונש מאסר על תנאי.</w:t>
      </w:r>
    </w:p>
    <w:p w14:paraId="41D15F97" w14:textId="77777777" w:rsidR="006F0323" w:rsidRPr="00784338" w:rsidRDefault="006F0323" w:rsidP="006F0323">
      <w:pPr>
        <w:spacing w:line="360" w:lineRule="auto"/>
        <w:ind w:left="340" w:hanging="567"/>
        <w:jc w:val="both"/>
        <w:rPr>
          <w:rFonts w:ascii="David" w:eastAsia="Calibri" w:hAnsi="David"/>
          <w:sz w:val="22"/>
          <w:szCs w:val="22"/>
          <w:rtl/>
        </w:rPr>
      </w:pPr>
    </w:p>
    <w:p w14:paraId="184D02F1" w14:textId="77777777" w:rsidR="006F0323" w:rsidRPr="00784338" w:rsidRDefault="006F0323" w:rsidP="006F0323">
      <w:pPr>
        <w:spacing w:line="360" w:lineRule="auto"/>
        <w:ind w:left="340" w:hanging="567"/>
        <w:jc w:val="both"/>
        <w:rPr>
          <w:rFonts w:ascii="David" w:eastAsia="Calibri" w:hAnsi="David"/>
          <w:sz w:val="22"/>
          <w:szCs w:val="22"/>
          <w:rtl/>
        </w:rPr>
      </w:pPr>
    </w:p>
    <w:p w14:paraId="5D769E48" w14:textId="77777777" w:rsidR="006F0323" w:rsidRPr="00784338" w:rsidRDefault="006F0323" w:rsidP="006F0323">
      <w:pPr>
        <w:spacing w:line="360" w:lineRule="auto"/>
        <w:ind w:left="340" w:hanging="567"/>
        <w:jc w:val="both"/>
        <w:rPr>
          <w:rFonts w:ascii="David" w:eastAsia="Calibri" w:hAnsi="David"/>
          <w:b/>
          <w:bCs/>
          <w:sz w:val="22"/>
          <w:szCs w:val="22"/>
          <w:rtl/>
        </w:rPr>
      </w:pPr>
      <w:r w:rsidRPr="00784338">
        <w:rPr>
          <w:rFonts w:ascii="David" w:eastAsia="Calibri" w:hAnsi="David"/>
          <w:b/>
          <w:bCs/>
          <w:sz w:val="22"/>
          <w:szCs w:val="22"/>
          <w:rtl/>
        </w:rPr>
        <w:t>ז. סוף דבר</w:t>
      </w:r>
    </w:p>
    <w:p w14:paraId="2AA31BFB" w14:textId="77777777" w:rsidR="006F0323" w:rsidRPr="00784338" w:rsidRDefault="006F0323" w:rsidP="006F0323">
      <w:pPr>
        <w:spacing w:line="360" w:lineRule="auto"/>
        <w:ind w:left="567" w:hanging="567"/>
        <w:jc w:val="both"/>
        <w:rPr>
          <w:rFonts w:ascii="David" w:eastAsia="Calibri" w:hAnsi="David"/>
          <w:sz w:val="22"/>
          <w:szCs w:val="22"/>
          <w:rtl/>
        </w:rPr>
      </w:pPr>
    </w:p>
    <w:p w14:paraId="4E752E45" w14:textId="77777777" w:rsidR="006F0323" w:rsidRPr="00784338" w:rsidRDefault="006F0323" w:rsidP="006F0323">
      <w:pPr>
        <w:spacing w:line="360" w:lineRule="auto"/>
        <w:ind w:left="567" w:hanging="567"/>
        <w:jc w:val="both"/>
        <w:rPr>
          <w:rFonts w:ascii="David" w:eastAsia="Calibri" w:hAnsi="David"/>
          <w:b/>
          <w:bCs/>
          <w:sz w:val="22"/>
          <w:szCs w:val="22"/>
          <w:rtl/>
        </w:rPr>
      </w:pPr>
      <w:r w:rsidRPr="00784338">
        <w:rPr>
          <w:rFonts w:ascii="David" w:eastAsia="Calibri" w:hAnsi="David"/>
          <w:sz w:val="22"/>
          <w:szCs w:val="22"/>
          <w:rtl/>
        </w:rPr>
        <w:t>15.</w:t>
      </w:r>
      <w:r w:rsidRPr="00784338">
        <w:rPr>
          <w:rFonts w:ascii="David" w:eastAsia="Calibri" w:hAnsi="David"/>
          <w:sz w:val="22"/>
          <w:szCs w:val="22"/>
          <w:rtl/>
        </w:rPr>
        <w:tab/>
      </w:r>
      <w:r w:rsidRPr="00784338">
        <w:rPr>
          <w:rFonts w:ascii="David" w:eastAsia="Calibri" w:hAnsi="David"/>
          <w:b/>
          <w:bCs/>
          <w:sz w:val="22"/>
          <w:szCs w:val="22"/>
          <w:rtl/>
        </w:rPr>
        <w:t>אשר על כל האמור לעיל, הנני מחליט כדלקמן:</w:t>
      </w:r>
    </w:p>
    <w:p w14:paraId="007CEEDA" w14:textId="77777777" w:rsidR="006F0323" w:rsidRPr="00784338" w:rsidRDefault="006F0323" w:rsidP="006F0323">
      <w:pPr>
        <w:spacing w:line="360" w:lineRule="auto"/>
        <w:ind w:left="567" w:hanging="567"/>
        <w:jc w:val="both"/>
        <w:rPr>
          <w:rFonts w:ascii="David" w:eastAsia="Calibri" w:hAnsi="David"/>
          <w:sz w:val="22"/>
          <w:szCs w:val="22"/>
          <w:rtl/>
        </w:rPr>
      </w:pPr>
    </w:p>
    <w:p w14:paraId="53E3D63E" w14:textId="77777777" w:rsidR="006F0323" w:rsidRPr="00784338" w:rsidRDefault="006F0323" w:rsidP="006F0323">
      <w:pPr>
        <w:spacing w:line="360" w:lineRule="auto"/>
        <w:ind w:left="1134" w:hanging="567"/>
        <w:jc w:val="both"/>
        <w:rPr>
          <w:rFonts w:ascii="David" w:eastAsia="Calibri" w:hAnsi="David"/>
          <w:sz w:val="22"/>
          <w:szCs w:val="22"/>
          <w:rtl/>
        </w:rPr>
      </w:pPr>
      <w:r w:rsidRPr="00784338">
        <w:rPr>
          <w:rFonts w:ascii="David" w:eastAsia="Calibri" w:hAnsi="David"/>
          <w:sz w:val="22"/>
          <w:szCs w:val="22"/>
          <w:rtl/>
        </w:rPr>
        <w:t>(א)</w:t>
      </w:r>
      <w:r w:rsidRPr="00784338">
        <w:rPr>
          <w:rFonts w:ascii="David" w:eastAsia="Calibri" w:hAnsi="David"/>
          <w:sz w:val="22"/>
          <w:szCs w:val="22"/>
          <w:rtl/>
        </w:rPr>
        <w:tab/>
        <w:t>הנני דן את הנאשם מס' 2, מוחמד (בן נאפז) סעדי, ל- 28 (עשרים ושמונה) חודשי מאסר, מתוכם 18 (שמונה עשר) חודשים לריצוי בפועל, והיתר, 10 (עשרה) חודשים, לריצוי על תנאי, והתנאי הוא, שבמשך 3 (שלוש) שנים לא יעבור הנאשם עבירה בנשק.</w:t>
      </w:r>
    </w:p>
    <w:p w14:paraId="669EF971" w14:textId="77777777" w:rsidR="006F0323" w:rsidRPr="00784338" w:rsidRDefault="006F0323" w:rsidP="006F0323">
      <w:pPr>
        <w:spacing w:line="360" w:lineRule="auto"/>
        <w:ind w:left="1134" w:hanging="567"/>
        <w:jc w:val="both"/>
        <w:rPr>
          <w:rFonts w:ascii="David" w:eastAsia="Calibri" w:hAnsi="David"/>
          <w:sz w:val="22"/>
          <w:szCs w:val="22"/>
          <w:rtl/>
        </w:rPr>
      </w:pPr>
    </w:p>
    <w:p w14:paraId="7BD43F16" w14:textId="77777777" w:rsidR="006F0323" w:rsidRPr="00784338" w:rsidRDefault="006F0323" w:rsidP="006F0323">
      <w:pPr>
        <w:spacing w:line="360" w:lineRule="auto"/>
        <w:ind w:left="1134" w:hanging="567"/>
        <w:jc w:val="both"/>
        <w:rPr>
          <w:rFonts w:ascii="David" w:eastAsia="Calibri" w:hAnsi="David"/>
          <w:sz w:val="22"/>
          <w:szCs w:val="22"/>
          <w:rtl/>
        </w:rPr>
      </w:pPr>
      <w:r w:rsidRPr="00784338">
        <w:rPr>
          <w:rFonts w:ascii="David" w:eastAsia="Calibri" w:hAnsi="David"/>
          <w:sz w:val="22"/>
          <w:szCs w:val="22"/>
          <w:rtl/>
        </w:rPr>
        <w:t>(ב)</w:t>
      </w:r>
      <w:r w:rsidRPr="00784338">
        <w:rPr>
          <w:rFonts w:ascii="David" w:eastAsia="Calibri" w:hAnsi="David"/>
          <w:sz w:val="22"/>
          <w:szCs w:val="22"/>
          <w:rtl/>
        </w:rPr>
        <w:tab/>
        <w:t>מעונש המאסר בפועל, שעל הנאשם לרצות על פי האמור בסעיף קטן (א) שלעיל, תנוכה התקופה בה היה הנאשם נתון במעצר (מתאריך 15.1.2020 ועד היום).</w:t>
      </w:r>
    </w:p>
    <w:p w14:paraId="1885236F" w14:textId="77777777" w:rsidR="006F0323" w:rsidRPr="00784338" w:rsidRDefault="006F0323" w:rsidP="006F0323">
      <w:pPr>
        <w:spacing w:line="360" w:lineRule="auto"/>
        <w:ind w:left="1134" w:hanging="567"/>
        <w:jc w:val="both"/>
        <w:rPr>
          <w:rFonts w:ascii="David" w:eastAsia="Calibri" w:hAnsi="David"/>
          <w:sz w:val="22"/>
          <w:szCs w:val="22"/>
          <w:rtl/>
        </w:rPr>
      </w:pPr>
    </w:p>
    <w:p w14:paraId="46AD174A" w14:textId="77777777" w:rsidR="006F0323" w:rsidRPr="00784338" w:rsidRDefault="001C5B8F" w:rsidP="006F0323">
      <w:pPr>
        <w:spacing w:line="360" w:lineRule="auto"/>
        <w:ind w:left="1134" w:hanging="567"/>
        <w:jc w:val="both"/>
        <w:rPr>
          <w:rFonts w:ascii="David" w:eastAsia="Calibri" w:hAnsi="David"/>
          <w:sz w:val="22"/>
          <w:szCs w:val="22"/>
          <w:rtl/>
        </w:rPr>
      </w:pPr>
      <w:bookmarkStart w:id="6" w:name="Nitan"/>
      <w:r>
        <w:rPr>
          <w:rFonts w:ascii="David" w:eastAsia="Calibri" w:hAnsi="David"/>
          <w:b/>
          <w:bCs/>
          <w:sz w:val="22"/>
          <w:szCs w:val="22"/>
          <w:rtl/>
        </w:rPr>
        <w:t xml:space="preserve">ניתן היום, ח' בכסלו, התשפ"א, 24.11.2020, והודע בפומבי. </w:t>
      </w:r>
      <w:bookmarkEnd w:id="6"/>
    </w:p>
    <w:p w14:paraId="79635409" w14:textId="77777777" w:rsidR="006F0323" w:rsidRPr="00F21539" w:rsidRDefault="001C5B8F" w:rsidP="006F0323">
      <w:pPr>
        <w:spacing w:line="360" w:lineRule="auto"/>
        <w:ind w:left="567" w:hanging="567"/>
        <w:jc w:val="both"/>
        <w:rPr>
          <w:rFonts w:ascii="David" w:eastAsia="Calibri" w:hAnsi="David"/>
          <w:sz w:val="22"/>
          <w:szCs w:val="22"/>
          <w:rtl/>
        </w:rPr>
      </w:pPr>
      <w:r>
        <w:rPr>
          <w:rFonts w:ascii="David" w:eastAsia="Calibri" w:hAnsi="David"/>
          <w:sz w:val="22"/>
          <w:szCs w:val="22"/>
          <w:rtl/>
        </w:rPr>
        <w:t xml:space="preserve"> הודע לנאשם כי הוא זכאי לערער על פסק הדין בתוך 45 ימים מהיום, לפני בית המשפט העליון, </w:t>
      </w:r>
      <w:r w:rsidR="006F0323" w:rsidRPr="00784338">
        <w:rPr>
          <w:rFonts w:ascii="David" w:eastAsia="Calibri" w:hAnsi="David"/>
          <w:sz w:val="22"/>
          <w:szCs w:val="22"/>
          <w:rtl/>
        </w:rPr>
        <w:t>בירושלים.</w:t>
      </w:r>
    </w:p>
    <w:p w14:paraId="729BDB85" w14:textId="77777777" w:rsidR="006F0323" w:rsidRPr="001C5B8F" w:rsidRDefault="001C5B8F" w:rsidP="006F0323">
      <w:pPr>
        <w:spacing w:line="360" w:lineRule="auto"/>
        <w:ind w:left="567" w:hanging="567"/>
        <w:jc w:val="both"/>
        <w:rPr>
          <w:rFonts w:ascii="David" w:eastAsia="Calibri" w:hAnsi="David"/>
          <w:color w:val="FFFFFF"/>
          <w:sz w:val="2"/>
          <w:szCs w:val="2"/>
          <w:rtl/>
        </w:rPr>
      </w:pPr>
      <w:r w:rsidRPr="001C5B8F">
        <w:rPr>
          <w:rFonts w:ascii="David" w:eastAsia="Calibri" w:hAnsi="David"/>
          <w:color w:val="FFFFFF"/>
          <w:sz w:val="2"/>
          <w:szCs w:val="2"/>
          <w:rtl/>
        </w:rPr>
        <w:t>5129371</w:t>
      </w:r>
    </w:p>
    <w:tbl>
      <w:tblPr>
        <w:bidiVisual/>
        <w:tblW w:w="0" w:type="auto"/>
        <w:jc w:val="right"/>
        <w:tblLook w:val="01E0" w:firstRow="1" w:lastRow="1" w:firstColumn="1" w:lastColumn="1" w:noHBand="0" w:noVBand="0"/>
      </w:tblPr>
      <w:tblGrid>
        <w:gridCol w:w="2576"/>
      </w:tblGrid>
      <w:tr w:rsidR="006F0323" w14:paraId="4BDAE4AA" w14:textId="77777777" w:rsidTr="006F0323">
        <w:trPr>
          <w:jc w:val="right"/>
        </w:trPr>
        <w:tc>
          <w:tcPr>
            <w:tcW w:w="2576" w:type="dxa"/>
            <w:tcBorders>
              <w:top w:val="nil"/>
              <w:left w:val="nil"/>
              <w:bottom w:val="single" w:sz="4" w:space="0" w:color="auto"/>
              <w:right w:val="nil"/>
            </w:tcBorders>
            <w:shd w:val="clear" w:color="auto" w:fill="auto"/>
            <w:vAlign w:val="bottom"/>
          </w:tcPr>
          <w:p w14:paraId="60418011" w14:textId="77777777" w:rsidR="006F0323" w:rsidRPr="001C5B8F" w:rsidRDefault="001C5B8F" w:rsidP="006F0323">
            <w:pPr>
              <w:jc w:val="center"/>
              <w:rPr>
                <w:rFonts w:ascii="Courier New" w:hAnsi="Courier New"/>
                <w:b/>
                <w:bCs/>
                <w:color w:val="FFFFFF"/>
                <w:sz w:val="2"/>
                <w:szCs w:val="2"/>
                <w:rtl/>
              </w:rPr>
            </w:pPr>
            <w:r w:rsidRPr="001C5B8F">
              <w:rPr>
                <w:rFonts w:ascii="Courier New" w:hAnsi="Courier New"/>
                <w:b/>
                <w:bCs/>
                <w:color w:val="FFFFFF"/>
                <w:sz w:val="2"/>
                <w:szCs w:val="2"/>
                <w:rtl/>
              </w:rPr>
              <w:t>54678313</w:t>
            </w:r>
          </w:p>
        </w:tc>
      </w:tr>
      <w:tr w:rsidR="006F0323" w14:paraId="5F153607" w14:textId="77777777" w:rsidTr="006F0323">
        <w:trPr>
          <w:jc w:val="right"/>
        </w:trPr>
        <w:tc>
          <w:tcPr>
            <w:tcW w:w="2576" w:type="dxa"/>
            <w:tcBorders>
              <w:top w:val="single" w:sz="4" w:space="0" w:color="auto"/>
              <w:left w:val="nil"/>
              <w:bottom w:val="nil"/>
              <w:right w:val="nil"/>
            </w:tcBorders>
            <w:shd w:val="clear" w:color="auto" w:fill="auto"/>
          </w:tcPr>
          <w:p w14:paraId="27833B74" w14:textId="77777777" w:rsidR="006F0323" w:rsidRPr="006F0323" w:rsidRDefault="006F0323" w:rsidP="006F0323">
            <w:pPr>
              <w:jc w:val="center"/>
              <w:rPr>
                <w:b/>
                <w:bCs/>
                <w:sz w:val="22"/>
                <w:szCs w:val="22"/>
                <w:rtl/>
              </w:rPr>
            </w:pPr>
            <w:r w:rsidRPr="006F0323">
              <w:rPr>
                <w:b/>
                <w:bCs/>
                <w:sz w:val="22"/>
                <w:szCs w:val="22"/>
                <w:rtl/>
              </w:rPr>
              <w:t>יצחק כהן, שופט</w:t>
            </w:r>
          </w:p>
          <w:p w14:paraId="708CA7FB" w14:textId="77777777" w:rsidR="006F0323" w:rsidRPr="006F0323" w:rsidRDefault="006F0323" w:rsidP="006F0323">
            <w:pPr>
              <w:jc w:val="center"/>
              <w:rPr>
                <w:b/>
                <w:bCs/>
                <w:rtl/>
              </w:rPr>
            </w:pPr>
            <w:r w:rsidRPr="006F0323">
              <w:rPr>
                <w:b/>
                <w:bCs/>
                <w:sz w:val="22"/>
                <w:szCs w:val="22"/>
                <w:rtl/>
              </w:rPr>
              <w:t>סגן נשיא</w:t>
            </w:r>
          </w:p>
        </w:tc>
      </w:tr>
    </w:tbl>
    <w:p w14:paraId="4BC68F79" w14:textId="77777777" w:rsidR="006F0323" w:rsidRPr="00EF786B" w:rsidRDefault="00EF786B" w:rsidP="006F0323">
      <w:pPr>
        <w:spacing w:line="360" w:lineRule="auto"/>
        <w:ind w:left="567" w:hanging="567"/>
        <w:jc w:val="both"/>
        <w:rPr>
          <w:rFonts w:ascii="David" w:eastAsia="Calibri" w:hAnsi="David"/>
          <w:color w:val="FFFFFF"/>
          <w:sz w:val="2"/>
          <w:szCs w:val="2"/>
          <w:rtl/>
        </w:rPr>
      </w:pPr>
      <w:r w:rsidRPr="00EF786B">
        <w:rPr>
          <w:rFonts w:ascii="David" w:eastAsia="Calibri" w:hAnsi="David"/>
          <w:color w:val="FFFFFF"/>
          <w:sz w:val="2"/>
          <w:szCs w:val="2"/>
          <w:rtl/>
        </w:rPr>
        <w:t>5129371</w:t>
      </w:r>
    </w:p>
    <w:p w14:paraId="1B7AE223" w14:textId="77777777" w:rsidR="00B04392" w:rsidRPr="00EF786B" w:rsidRDefault="00EF786B" w:rsidP="001C5B8F">
      <w:pPr>
        <w:keepNext/>
        <w:rPr>
          <w:rFonts w:ascii="David" w:hAnsi="David"/>
          <w:color w:val="FFFFFF"/>
          <w:sz w:val="2"/>
          <w:szCs w:val="2"/>
          <w:rtl/>
        </w:rPr>
      </w:pPr>
      <w:r w:rsidRPr="00EF786B">
        <w:rPr>
          <w:rFonts w:ascii="David" w:hAnsi="David"/>
          <w:color w:val="FFFFFF"/>
          <w:sz w:val="2"/>
          <w:szCs w:val="2"/>
          <w:rtl/>
        </w:rPr>
        <w:t>54678313</w:t>
      </w:r>
    </w:p>
    <w:p w14:paraId="54420FA3" w14:textId="77777777" w:rsidR="001C5B8F" w:rsidRPr="001C5B8F" w:rsidRDefault="001C5B8F" w:rsidP="001C5B8F">
      <w:pPr>
        <w:keepNext/>
        <w:rPr>
          <w:rFonts w:ascii="David" w:hAnsi="David"/>
          <w:color w:val="000000"/>
          <w:sz w:val="22"/>
          <w:szCs w:val="22"/>
          <w:rtl/>
        </w:rPr>
      </w:pPr>
      <w:r w:rsidRPr="001C5B8F">
        <w:rPr>
          <w:rFonts w:ascii="David" w:hAnsi="David"/>
          <w:color w:val="000000"/>
          <w:sz w:val="22"/>
          <w:szCs w:val="22"/>
          <w:rtl/>
        </w:rPr>
        <w:t>יצחק כהן 54678313</w:t>
      </w:r>
    </w:p>
    <w:p w14:paraId="055EBF87" w14:textId="77777777" w:rsidR="001C5B8F" w:rsidRDefault="001C5B8F" w:rsidP="001C5B8F">
      <w:r w:rsidRPr="001C5B8F">
        <w:rPr>
          <w:color w:val="000000"/>
          <w:rtl/>
        </w:rPr>
        <w:t>נוסח מסמך זה כפוף לשינויי ניסוח ועריכה</w:t>
      </w:r>
    </w:p>
    <w:p w14:paraId="1EE65352" w14:textId="77777777" w:rsidR="001C5B8F" w:rsidRDefault="001C5B8F" w:rsidP="001C5B8F">
      <w:pPr>
        <w:rPr>
          <w:rtl/>
        </w:rPr>
      </w:pPr>
    </w:p>
    <w:p w14:paraId="051729E3" w14:textId="77777777" w:rsidR="001C5B8F" w:rsidRDefault="001C5B8F" w:rsidP="001C5B8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4AEACAC" w14:textId="77777777" w:rsidR="00EF786B" w:rsidRPr="00EF786B" w:rsidRDefault="00EF786B" w:rsidP="00EF786B">
      <w:pPr>
        <w:keepNext/>
        <w:rPr>
          <w:rFonts w:ascii="David" w:hAnsi="David"/>
          <w:color w:val="000000"/>
          <w:sz w:val="22"/>
          <w:szCs w:val="22"/>
          <w:rtl/>
        </w:rPr>
      </w:pPr>
    </w:p>
    <w:sectPr w:rsidR="00EF786B" w:rsidRPr="00EF786B" w:rsidSect="00EF786B">
      <w:headerReference w:type="even" r:id="rId27"/>
      <w:headerReference w:type="default" r:id="rId28"/>
      <w:footerReference w:type="even" r:id="rId29"/>
      <w:footerReference w:type="default" r:id="rId30"/>
      <w:pgSz w:w="11907" w:h="16840" w:code="9"/>
      <w:pgMar w:top="1701" w:right="1701" w:bottom="1418" w:left="1701" w:header="68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ECC37" w14:textId="77777777" w:rsidR="007044C7" w:rsidRDefault="007044C7" w:rsidP="00D461F0">
      <w:r>
        <w:separator/>
      </w:r>
    </w:p>
  </w:endnote>
  <w:endnote w:type="continuationSeparator" w:id="0">
    <w:p w14:paraId="4F4451AF" w14:textId="77777777" w:rsidR="007044C7" w:rsidRDefault="007044C7" w:rsidP="00D4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C021" w14:textId="77777777" w:rsidR="00EF786B" w:rsidRDefault="00EF786B" w:rsidP="00EF78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3A77041" w14:textId="77777777" w:rsidR="00AD4463" w:rsidRPr="00EF786B" w:rsidRDefault="00EF786B" w:rsidP="00EF786B">
    <w:pPr>
      <w:pStyle w:val="a5"/>
      <w:pBdr>
        <w:top w:val="single" w:sz="4" w:space="1" w:color="auto"/>
        <w:between w:val="single" w:sz="4" w:space="0" w:color="auto"/>
      </w:pBdr>
      <w:spacing w:after="60"/>
      <w:jc w:val="center"/>
      <w:rPr>
        <w:rFonts w:ascii="FrankRuehl" w:hAnsi="FrankRuehl" w:cs="FrankRuehl"/>
        <w:color w:val="000000"/>
      </w:rPr>
    </w:pPr>
    <w:r w:rsidRPr="00EF78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A291" w14:textId="77777777" w:rsidR="00EF786B" w:rsidRDefault="00EF786B" w:rsidP="00EF78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0483">
      <w:rPr>
        <w:rFonts w:ascii="FrankRuehl" w:hAnsi="FrankRuehl" w:cs="FrankRuehl"/>
        <w:noProof/>
        <w:rtl/>
      </w:rPr>
      <w:t>1</w:t>
    </w:r>
    <w:r>
      <w:rPr>
        <w:rFonts w:ascii="FrankRuehl" w:hAnsi="FrankRuehl" w:cs="FrankRuehl"/>
        <w:rtl/>
      </w:rPr>
      <w:fldChar w:fldCharType="end"/>
    </w:r>
  </w:p>
  <w:p w14:paraId="2FB94C20" w14:textId="77777777" w:rsidR="00AD4463" w:rsidRPr="00EF786B" w:rsidRDefault="00EF786B" w:rsidP="00EF786B">
    <w:pPr>
      <w:pStyle w:val="a5"/>
      <w:pBdr>
        <w:top w:val="single" w:sz="4" w:space="1" w:color="auto"/>
        <w:between w:val="single" w:sz="4" w:space="0" w:color="auto"/>
      </w:pBdr>
      <w:spacing w:after="60"/>
      <w:jc w:val="center"/>
      <w:rPr>
        <w:rFonts w:ascii="FrankRuehl" w:hAnsi="FrankRuehl" w:cs="FrankRuehl"/>
        <w:color w:val="000000"/>
      </w:rPr>
    </w:pPr>
    <w:r w:rsidRPr="00EF786B">
      <w:rPr>
        <w:rFonts w:ascii="FrankRuehl" w:hAnsi="FrankRuehl" w:cs="FrankRuehl"/>
        <w:color w:val="000000"/>
      </w:rPr>
      <w:pict w14:anchorId="001BB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9024" w14:textId="77777777" w:rsidR="007044C7" w:rsidRDefault="007044C7" w:rsidP="00D461F0">
      <w:r>
        <w:separator/>
      </w:r>
    </w:p>
  </w:footnote>
  <w:footnote w:type="continuationSeparator" w:id="0">
    <w:p w14:paraId="329811F1" w14:textId="77777777" w:rsidR="007044C7" w:rsidRDefault="007044C7" w:rsidP="00D46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E43C1" w14:textId="77777777" w:rsidR="001C5B8F" w:rsidRPr="00EF786B" w:rsidRDefault="00EF786B" w:rsidP="00EF78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13270-02-20</w:t>
    </w:r>
    <w:r>
      <w:rPr>
        <w:rFonts w:ascii="David" w:hAnsi="David"/>
        <w:color w:val="000000"/>
        <w:sz w:val="22"/>
        <w:szCs w:val="22"/>
        <w:rtl/>
      </w:rPr>
      <w:tab/>
      <w:t xml:space="preserve"> מדינת ישראל נ' פארס (בן עלי) מברשם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576C" w14:textId="77777777" w:rsidR="001C5B8F" w:rsidRPr="00EF786B" w:rsidRDefault="00EF786B" w:rsidP="00EF78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13270-02-20</w:t>
    </w:r>
    <w:r>
      <w:rPr>
        <w:rFonts w:ascii="David" w:hAnsi="David"/>
        <w:color w:val="000000"/>
        <w:sz w:val="22"/>
        <w:szCs w:val="22"/>
        <w:rtl/>
      </w:rPr>
      <w:tab/>
      <w:t xml:space="preserve"> מדינת ישראל נ' פארס (בן עלי) מברשם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0323"/>
    <w:rsid w:val="000E0483"/>
    <w:rsid w:val="001C5B8F"/>
    <w:rsid w:val="00221FC4"/>
    <w:rsid w:val="003A33AF"/>
    <w:rsid w:val="006F0323"/>
    <w:rsid w:val="007044C7"/>
    <w:rsid w:val="00717DF2"/>
    <w:rsid w:val="00AD4463"/>
    <w:rsid w:val="00B04392"/>
    <w:rsid w:val="00D461F0"/>
    <w:rsid w:val="00D90613"/>
    <w:rsid w:val="00E437D1"/>
    <w:rsid w:val="00E91671"/>
    <w:rsid w:val="00EA00E1"/>
    <w:rsid w:val="00EF786B"/>
    <w:rsid w:val="00F313E8"/>
    <w:rsid w:val="00F40C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1B12EF"/>
  <w15:chartTrackingRefBased/>
  <w15:docId w15:val="{73F93626-29E8-46A1-ABD1-D046FABC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03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0323"/>
    <w:pPr>
      <w:tabs>
        <w:tab w:val="center" w:pos="4153"/>
        <w:tab w:val="right" w:pos="8306"/>
      </w:tabs>
    </w:pPr>
  </w:style>
  <w:style w:type="character" w:customStyle="1" w:styleId="a4">
    <w:name w:val="כותרת עליונה תו"/>
    <w:link w:val="a3"/>
    <w:rsid w:val="006F0323"/>
    <w:rPr>
      <w:rFonts w:ascii="Times New Roman" w:eastAsia="Times New Roman" w:hAnsi="Times New Roman" w:cs="David"/>
      <w:sz w:val="24"/>
      <w:szCs w:val="24"/>
    </w:rPr>
  </w:style>
  <w:style w:type="paragraph" w:styleId="a5">
    <w:name w:val="footer"/>
    <w:basedOn w:val="a"/>
    <w:link w:val="a6"/>
    <w:rsid w:val="006F0323"/>
    <w:pPr>
      <w:tabs>
        <w:tab w:val="center" w:pos="4153"/>
        <w:tab w:val="right" w:pos="8306"/>
      </w:tabs>
    </w:pPr>
  </w:style>
  <w:style w:type="character" w:customStyle="1" w:styleId="a6">
    <w:name w:val="כותרת תחתונה תו"/>
    <w:link w:val="a5"/>
    <w:rsid w:val="006F0323"/>
    <w:rPr>
      <w:rFonts w:ascii="Times New Roman" w:eastAsia="Times New Roman" w:hAnsi="Times New Roman" w:cs="David"/>
      <w:sz w:val="24"/>
      <w:szCs w:val="24"/>
    </w:rPr>
  </w:style>
  <w:style w:type="table" w:styleId="a7">
    <w:name w:val="Table Grid"/>
    <w:basedOn w:val="a1"/>
    <w:rsid w:val="006F03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0323"/>
  </w:style>
  <w:style w:type="character" w:styleId="a9">
    <w:name w:val="line number"/>
    <w:rsid w:val="006F0323"/>
  </w:style>
  <w:style w:type="character" w:styleId="Hyperlink">
    <w:name w:val="Hyperlink"/>
    <w:rsid w:val="001C5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2"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1474168"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5568354" TargetMode="External"/><Relationship Id="rId7" Type="http://schemas.openxmlformats.org/officeDocument/2006/relationships/hyperlink" Target="http://www.nevo.co.il/law/70301/3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40i" TargetMode="External"/><Relationship Id="rId20" Type="http://schemas.openxmlformats.org/officeDocument/2006/relationships/hyperlink" Target="http://www.nevo.co.il/case/5950172"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40d.a"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2" TargetMode="External"/><Relationship Id="rId23" Type="http://schemas.openxmlformats.org/officeDocument/2006/relationships/hyperlink" Target="http://www.nevo.co.il/case/23850962" TargetMode="External"/><Relationship Id="rId28" Type="http://schemas.openxmlformats.org/officeDocument/2006/relationships/header" Target="header2.xml"/><Relationship Id="rId10" Type="http://schemas.openxmlformats.org/officeDocument/2006/relationships/hyperlink" Target="http://www.nevo.co.il/law/70301/40i" TargetMode="External"/><Relationship Id="rId19" Type="http://schemas.openxmlformats.org/officeDocument/2006/relationships/hyperlink" Target="http://www.nevo.co.il/case/5995135"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d.a"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582132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1526</Words>
  <Characters>7632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9140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3932283</vt:i4>
      </vt:variant>
      <vt:variant>
        <vt:i4>51</vt:i4>
      </vt:variant>
      <vt:variant>
        <vt:i4>0</vt:i4>
      </vt:variant>
      <vt:variant>
        <vt:i4>5</vt:i4>
      </vt:variant>
      <vt:variant>
        <vt:lpwstr>http://www.nevo.co.il/case/23850962</vt:lpwstr>
      </vt:variant>
      <vt:variant>
        <vt:lpwstr/>
      </vt:variant>
      <vt:variant>
        <vt:i4>3932287</vt:i4>
      </vt:variant>
      <vt:variant>
        <vt:i4>48</vt:i4>
      </vt:variant>
      <vt:variant>
        <vt:i4>0</vt:i4>
      </vt:variant>
      <vt:variant>
        <vt:i4>5</vt:i4>
      </vt:variant>
      <vt:variant>
        <vt:lpwstr>http://www.nevo.co.il/case/5821328</vt:lpwstr>
      </vt:variant>
      <vt:variant>
        <vt:lpwstr/>
      </vt:variant>
      <vt:variant>
        <vt:i4>3407996</vt:i4>
      </vt:variant>
      <vt:variant>
        <vt:i4>45</vt:i4>
      </vt:variant>
      <vt:variant>
        <vt:i4>0</vt:i4>
      </vt:variant>
      <vt:variant>
        <vt:i4>5</vt:i4>
      </vt:variant>
      <vt:variant>
        <vt:lpwstr>http://www.nevo.co.il/case/5568354</vt:lpwstr>
      </vt:variant>
      <vt:variant>
        <vt:lpwstr/>
      </vt:variant>
      <vt:variant>
        <vt:i4>3342458</vt:i4>
      </vt:variant>
      <vt:variant>
        <vt:i4>42</vt:i4>
      </vt:variant>
      <vt:variant>
        <vt:i4>0</vt:i4>
      </vt:variant>
      <vt:variant>
        <vt:i4>5</vt:i4>
      </vt:variant>
      <vt:variant>
        <vt:lpwstr>http://www.nevo.co.il/case/5950172</vt:lpwstr>
      </vt:variant>
      <vt:variant>
        <vt:lpwstr/>
      </vt:variant>
      <vt:variant>
        <vt:i4>3670139</vt:i4>
      </vt:variant>
      <vt:variant>
        <vt:i4>39</vt:i4>
      </vt:variant>
      <vt:variant>
        <vt:i4>0</vt:i4>
      </vt:variant>
      <vt:variant>
        <vt:i4>5</vt:i4>
      </vt:variant>
      <vt:variant>
        <vt:lpwstr>http://www.nevo.co.il/case/5995135</vt:lpwstr>
      </vt:variant>
      <vt:variant>
        <vt:lpwstr/>
      </vt:variant>
      <vt:variant>
        <vt:i4>3407987</vt:i4>
      </vt:variant>
      <vt:variant>
        <vt:i4>36</vt:i4>
      </vt:variant>
      <vt:variant>
        <vt:i4>0</vt:i4>
      </vt:variant>
      <vt:variant>
        <vt:i4>5</vt:i4>
      </vt:variant>
      <vt:variant>
        <vt:lpwstr>http://www.nevo.co.il/case/21474168</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6750310</vt:i4>
      </vt:variant>
      <vt:variant>
        <vt:i4>27</vt:i4>
      </vt:variant>
      <vt:variant>
        <vt:i4>0</vt:i4>
      </vt:variant>
      <vt:variant>
        <vt:i4>5</vt:i4>
      </vt:variant>
      <vt:variant>
        <vt:lpwstr>http://www.nevo.co.il/law/70301/32</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2023-12-07T12:28:00Z</dcterms:created>
  <dcterms:modified xsi:type="dcterms:W3CDTF">2023-12-07T12:28:00Z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13270</vt:lpwstr>
  </property>
  <property fmtid="{D5CDD505-2E9C-101B-9397-08002B2CF9AE}" pid="6" name="NEWPARTB">
    <vt:lpwstr>02</vt:lpwstr>
  </property>
  <property fmtid="{D5CDD505-2E9C-101B-9397-08002B2CF9AE}" pid="7" name="NEWPARTC">
    <vt:lpwstr>20</vt:lpwstr>
  </property>
  <property fmtid="{D5CDD505-2E9C-101B-9397-08002B2CF9AE}" pid="8" name="APPELLEE">
    <vt:lpwstr>פארס (בן עלי) מברשם;מוחמד (בן נאפז) סעדי;סימנדו (בן רוברט) סימנדוייב;עבדאללה (בן עבאס) זכור</vt:lpwstr>
  </property>
  <property fmtid="{D5CDD505-2E9C-101B-9397-08002B2CF9AE}" pid="9" name="LAWYER">
    <vt:lpwstr>משה אייל;זוהר ארבל</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20201124</vt:lpwstr>
  </property>
  <property fmtid="{D5CDD505-2E9C-101B-9397-08002B2CF9AE}" pid="13" name="TYPE_N_DATE">
    <vt:lpwstr>39020201124</vt:lpwstr>
  </property>
  <property fmtid="{D5CDD505-2E9C-101B-9397-08002B2CF9AE}" pid="14" name="WORDNUMPAGES">
    <vt:lpwstr>5</vt:lpwstr>
  </property>
  <property fmtid="{D5CDD505-2E9C-101B-9397-08002B2CF9AE}" pid="15" name="TYPE_ABS_DATE">
    <vt:lpwstr>390020201124</vt:lpwstr>
  </property>
  <property fmtid="{D5CDD505-2E9C-101B-9397-08002B2CF9AE}" pid="16" name="APPELLANT">
    <vt:lpwstr>מדינת ישראל</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21474168;5995135;5950172;5568354;5821328;23850962</vt:lpwstr>
  </property>
  <property fmtid="{D5CDD505-2E9C-101B-9397-08002B2CF9AE}" pid="35" name="LAWLISTTMP1">
    <vt:lpwstr>70301/144.b2;031;032;040i;040d.a</vt:lpwstr>
  </property>
</Properties>
</file>