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55616F" w:rsidRPr="00E41849" w14:paraId="7E35B63F" w14:textId="77777777" w:rsidTr="004B2E5D">
        <w:trPr>
          <w:trHeight w:hRule="exact" w:val="418"/>
          <w:jc w:val="center"/>
        </w:trPr>
        <w:tc>
          <w:tcPr>
            <w:tcW w:w="8721" w:type="dxa"/>
            <w:gridSpan w:val="2"/>
          </w:tcPr>
          <w:p w14:paraId="68CC3C64" w14:textId="77777777" w:rsidR="0055616F" w:rsidRPr="00E41849" w:rsidRDefault="0055616F" w:rsidP="00E74876">
            <w:pPr>
              <w:pStyle w:val="a3"/>
              <w:jc w:val="center"/>
              <w:rPr>
                <w:rFonts w:ascii="Tahoma" w:hAnsi="Tahoma" w:cs="Tahoma"/>
                <w:color w:val="000080"/>
                <w:rtl/>
              </w:rPr>
            </w:pPr>
            <w:bookmarkStart w:id="0" w:name="LastJudge"/>
            <w:r w:rsidRPr="00E41849">
              <w:rPr>
                <w:rFonts w:ascii="David" w:hAnsi="David"/>
                <w:b/>
                <w:bCs/>
                <w:color w:val="000080"/>
                <w:sz w:val="28"/>
                <w:szCs w:val="28"/>
                <w:rtl/>
              </w:rPr>
              <w:t>בית משפט השלום בכפר סבא</w:t>
            </w:r>
          </w:p>
        </w:tc>
      </w:tr>
      <w:tr w:rsidR="0055616F" w:rsidRPr="00E41849" w14:paraId="6E2E2B58" w14:textId="77777777" w:rsidTr="004B2E5D">
        <w:trPr>
          <w:trHeight w:val="337"/>
          <w:jc w:val="center"/>
        </w:trPr>
        <w:tc>
          <w:tcPr>
            <w:tcW w:w="5059" w:type="dxa"/>
          </w:tcPr>
          <w:p w14:paraId="6D9D7AA2" w14:textId="77777777" w:rsidR="0055616F" w:rsidRPr="00E41849" w:rsidRDefault="0055616F" w:rsidP="00E74876">
            <w:pPr>
              <w:rPr>
                <w:rFonts w:cs="FrankRuehl"/>
                <w:sz w:val="28"/>
                <w:szCs w:val="28"/>
                <w:rtl/>
              </w:rPr>
            </w:pPr>
            <w:r w:rsidRPr="00E41849">
              <w:rPr>
                <w:rFonts w:cs="FrankRuehl"/>
                <w:sz w:val="28"/>
                <w:szCs w:val="28"/>
                <w:rtl/>
              </w:rPr>
              <w:t>ת"פ</w:t>
            </w:r>
            <w:r w:rsidRPr="00E41849">
              <w:rPr>
                <w:rFonts w:cs="FrankRuehl" w:hint="cs"/>
                <w:sz w:val="28"/>
                <w:szCs w:val="28"/>
                <w:rtl/>
              </w:rPr>
              <w:t xml:space="preserve"> </w:t>
            </w:r>
            <w:hyperlink r:id="rId6" w:history="1">
              <w:r w:rsidR="00377E41" w:rsidRPr="00377E41">
                <w:rPr>
                  <w:rFonts w:cs="FrankRuehl"/>
                  <w:color w:val="0000FF"/>
                  <w:sz w:val="28"/>
                  <w:szCs w:val="28"/>
                  <w:u w:val="single"/>
                  <w:rtl/>
                </w:rPr>
                <w:t>14044-03-20</w:t>
              </w:r>
            </w:hyperlink>
            <w:r w:rsidRPr="00E41849">
              <w:rPr>
                <w:rFonts w:cs="FrankRuehl" w:hint="cs"/>
                <w:sz w:val="28"/>
                <w:szCs w:val="28"/>
                <w:rtl/>
              </w:rPr>
              <w:t xml:space="preserve"> </w:t>
            </w:r>
            <w:r w:rsidRPr="00E41849">
              <w:rPr>
                <w:rFonts w:cs="FrankRuehl"/>
                <w:sz w:val="28"/>
                <w:szCs w:val="28"/>
                <w:rtl/>
              </w:rPr>
              <w:t>מדינת ישראל נ' קטאווי(עציר)</w:t>
            </w:r>
          </w:p>
          <w:p w14:paraId="4D767A7C" w14:textId="77777777" w:rsidR="0055616F" w:rsidRPr="00E41849" w:rsidRDefault="0055616F" w:rsidP="00E74876">
            <w:pPr>
              <w:pStyle w:val="a3"/>
              <w:jc w:val="both"/>
              <w:rPr>
                <w:rFonts w:cs="FrankRuehl"/>
                <w:sz w:val="28"/>
                <w:szCs w:val="28"/>
                <w:rtl/>
              </w:rPr>
            </w:pPr>
          </w:p>
        </w:tc>
        <w:tc>
          <w:tcPr>
            <w:tcW w:w="3662" w:type="dxa"/>
          </w:tcPr>
          <w:p w14:paraId="5545B499" w14:textId="77777777" w:rsidR="0055616F" w:rsidRPr="00E41849" w:rsidRDefault="0055616F" w:rsidP="00E74876">
            <w:pPr>
              <w:pStyle w:val="a3"/>
              <w:jc w:val="right"/>
              <w:rPr>
                <w:rFonts w:cs="FrankRuehl"/>
                <w:sz w:val="28"/>
                <w:szCs w:val="28"/>
                <w:rtl/>
              </w:rPr>
            </w:pPr>
          </w:p>
        </w:tc>
      </w:tr>
    </w:tbl>
    <w:p w14:paraId="7C41C008" w14:textId="77777777" w:rsidR="0055616F" w:rsidRPr="00E41849" w:rsidRDefault="0055616F" w:rsidP="0055616F">
      <w:pPr>
        <w:pStyle w:val="a3"/>
        <w:jc w:val="right"/>
        <w:rPr>
          <w:b/>
          <w:bCs/>
          <w:rtl/>
        </w:rPr>
      </w:pPr>
      <w:r w:rsidRPr="00E41849">
        <w:rPr>
          <w:rFonts w:hint="cs"/>
          <w:rtl/>
        </w:rPr>
        <w:t xml:space="preserve"> </w:t>
      </w:r>
      <w:r w:rsidRPr="00E41849">
        <w:rPr>
          <w:rFonts w:hint="cs"/>
          <w:b/>
          <w:bCs/>
          <w:rtl/>
        </w:rPr>
        <w:t>15.12.20</w:t>
      </w:r>
    </w:p>
    <w:p w14:paraId="0170F6DC" w14:textId="77777777" w:rsidR="0055616F" w:rsidRPr="00E41849" w:rsidRDefault="0055616F" w:rsidP="0055616F">
      <w:pPr>
        <w:spacing w:line="360" w:lineRule="auto"/>
        <w:jc w:val="both"/>
        <w:rPr>
          <w:rFonts w:ascii="David" w:hAnsi="David"/>
          <w:b/>
          <w:bCs/>
          <w:rtl/>
        </w:rPr>
      </w:pPr>
    </w:p>
    <w:p w14:paraId="65BB0473" w14:textId="77777777" w:rsidR="0055616F" w:rsidRPr="00E41849" w:rsidRDefault="0055616F" w:rsidP="0055616F">
      <w:pPr>
        <w:spacing w:line="360" w:lineRule="auto"/>
        <w:jc w:val="both"/>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55616F" w:rsidRPr="00E41849" w14:paraId="112CC7E4" w14:textId="77777777" w:rsidTr="0055616F">
        <w:trPr>
          <w:trHeight w:val="295"/>
          <w:jc w:val="center"/>
        </w:trPr>
        <w:tc>
          <w:tcPr>
            <w:tcW w:w="923" w:type="dxa"/>
            <w:tcBorders>
              <w:top w:val="nil"/>
              <w:left w:val="nil"/>
              <w:bottom w:val="nil"/>
              <w:right w:val="nil"/>
            </w:tcBorders>
            <w:shd w:val="clear" w:color="auto" w:fill="auto"/>
          </w:tcPr>
          <w:p w14:paraId="52A6A843" w14:textId="77777777" w:rsidR="0055616F" w:rsidRPr="00E41849" w:rsidRDefault="0055616F" w:rsidP="0055616F">
            <w:pPr>
              <w:spacing w:line="360" w:lineRule="auto"/>
              <w:jc w:val="both"/>
              <w:rPr>
                <w:rFonts w:ascii="David" w:hAnsi="David"/>
                <w:b/>
                <w:bCs/>
                <w:sz w:val="28"/>
                <w:szCs w:val="28"/>
              </w:rPr>
            </w:pPr>
            <w:r w:rsidRPr="00E41849">
              <w:rPr>
                <w:rFonts w:ascii="David" w:hAnsi="David"/>
                <w:b/>
                <w:bCs/>
                <w:sz w:val="28"/>
                <w:szCs w:val="28"/>
                <w:rtl/>
              </w:rPr>
              <w:t xml:space="preserve">לפני </w:t>
            </w:r>
          </w:p>
        </w:tc>
        <w:tc>
          <w:tcPr>
            <w:tcW w:w="7897" w:type="dxa"/>
            <w:tcBorders>
              <w:top w:val="nil"/>
              <w:left w:val="nil"/>
              <w:bottom w:val="nil"/>
              <w:right w:val="nil"/>
            </w:tcBorders>
            <w:shd w:val="clear" w:color="auto" w:fill="auto"/>
          </w:tcPr>
          <w:p w14:paraId="5E91FAA3" w14:textId="77777777" w:rsidR="0055616F" w:rsidRPr="00E41849" w:rsidRDefault="0055616F" w:rsidP="0055616F">
            <w:pPr>
              <w:spacing w:line="360" w:lineRule="auto"/>
              <w:rPr>
                <w:rFonts w:ascii="David" w:hAnsi="David"/>
                <w:b/>
                <w:bCs/>
                <w:sz w:val="28"/>
                <w:szCs w:val="28"/>
                <w:rtl/>
              </w:rPr>
            </w:pPr>
            <w:r w:rsidRPr="00E41849">
              <w:rPr>
                <w:rFonts w:ascii="David" w:hAnsi="David"/>
                <w:b/>
                <w:bCs/>
                <w:sz w:val="28"/>
                <w:szCs w:val="28"/>
                <w:rtl/>
              </w:rPr>
              <w:t>כבוד השופט אביב שרון</w:t>
            </w:r>
          </w:p>
          <w:p w14:paraId="2149396D" w14:textId="77777777" w:rsidR="0055616F" w:rsidRPr="00E41849" w:rsidRDefault="0055616F" w:rsidP="0055616F">
            <w:pPr>
              <w:spacing w:line="360" w:lineRule="auto"/>
              <w:jc w:val="both"/>
              <w:rPr>
                <w:rFonts w:ascii="David" w:hAnsi="David"/>
                <w:b/>
                <w:bCs/>
                <w:sz w:val="28"/>
                <w:szCs w:val="28"/>
              </w:rPr>
            </w:pPr>
          </w:p>
        </w:tc>
      </w:tr>
    </w:tbl>
    <w:p w14:paraId="7DFD3FA1" w14:textId="77777777" w:rsidR="0055616F" w:rsidRPr="00E41849" w:rsidRDefault="0055616F" w:rsidP="0055616F">
      <w:pPr>
        <w:spacing w:line="360" w:lineRule="auto"/>
        <w:jc w:val="both"/>
        <w:rPr>
          <w:rFonts w:ascii="David" w:hAnsi="David"/>
          <w:b/>
          <w:bCs/>
          <w:rtl/>
        </w:rPr>
      </w:pPr>
      <w:bookmarkStart w:id="1" w:name="FirstAppellant"/>
      <w:r w:rsidRPr="00E41849">
        <w:rPr>
          <w:rFonts w:ascii="David" w:hAnsi="David"/>
          <w:b/>
          <w:bCs/>
          <w:rtl/>
        </w:rPr>
        <w:t>בעניין</w:t>
      </w:r>
      <w:bookmarkEnd w:id="1"/>
      <w:r w:rsidRPr="00E41849">
        <w:rPr>
          <w:rFonts w:ascii="David" w:hAnsi="David"/>
          <w:b/>
          <w:bCs/>
          <w:rtl/>
        </w:rPr>
        <w:t>:</w:t>
      </w:r>
      <w:r w:rsidRPr="00E41849">
        <w:rPr>
          <w:rFonts w:ascii="David" w:hAnsi="David"/>
          <w:b/>
          <w:bCs/>
          <w:rtl/>
        </w:rPr>
        <w:tab/>
        <w:t>מדינת ישראל – פרקליטות מחוז מרכז</w:t>
      </w:r>
      <w:r w:rsidRPr="00E41849">
        <w:rPr>
          <w:rFonts w:ascii="David" w:hAnsi="David"/>
          <w:b/>
          <w:bCs/>
          <w:rtl/>
        </w:rPr>
        <w:tab/>
      </w:r>
      <w:r w:rsidRPr="00E41849">
        <w:rPr>
          <w:rFonts w:ascii="David" w:hAnsi="David"/>
          <w:b/>
          <w:bCs/>
          <w:rtl/>
        </w:rPr>
        <w:tab/>
      </w:r>
      <w:r w:rsidRPr="00E41849">
        <w:rPr>
          <w:rFonts w:ascii="David" w:hAnsi="David" w:hint="cs"/>
          <w:b/>
          <w:bCs/>
          <w:rtl/>
        </w:rPr>
        <w:t>המאשימה</w:t>
      </w:r>
    </w:p>
    <w:p w14:paraId="777F0077" w14:textId="77777777" w:rsidR="0055616F" w:rsidRPr="00E41849" w:rsidRDefault="0055616F" w:rsidP="0055616F">
      <w:pPr>
        <w:spacing w:line="360" w:lineRule="auto"/>
        <w:jc w:val="both"/>
        <w:rPr>
          <w:rFonts w:ascii="David" w:hAnsi="David"/>
          <w:rtl/>
        </w:rPr>
      </w:pPr>
      <w:r w:rsidRPr="00E41849">
        <w:rPr>
          <w:rFonts w:ascii="David" w:hAnsi="David"/>
          <w:rtl/>
        </w:rPr>
        <w:tab/>
        <w:t xml:space="preserve">ע"י </w:t>
      </w:r>
      <w:bookmarkStart w:id="2" w:name="FirstLawyer"/>
      <w:r w:rsidRPr="00E41849">
        <w:rPr>
          <w:rFonts w:ascii="David" w:hAnsi="David"/>
          <w:rtl/>
        </w:rPr>
        <w:t>ב"כ</w:t>
      </w:r>
      <w:bookmarkEnd w:id="2"/>
      <w:r w:rsidRPr="00E41849">
        <w:rPr>
          <w:rFonts w:ascii="David" w:hAnsi="David"/>
          <w:rtl/>
        </w:rPr>
        <w:t xml:space="preserve"> עו"ד שחר לדובסקי</w:t>
      </w:r>
    </w:p>
    <w:p w14:paraId="5E41D488" w14:textId="77777777" w:rsidR="0055616F" w:rsidRPr="00E41849" w:rsidRDefault="0055616F" w:rsidP="0055616F">
      <w:pPr>
        <w:spacing w:line="360" w:lineRule="auto"/>
        <w:jc w:val="both"/>
        <w:rPr>
          <w:rFonts w:ascii="David" w:hAnsi="David"/>
          <w:rtl/>
        </w:rPr>
      </w:pPr>
    </w:p>
    <w:p w14:paraId="1E8356A0" w14:textId="77777777" w:rsidR="0055616F" w:rsidRPr="00E41849" w:rsidRDefault="0055616F" w:rsidP="0055616F">
      <w:pPr>
        <w:spacing w:line="360" w:lineRule="auto"/>
        <w:jc w:val="both"/>
        <w:rPr>
          <w:rFonts w:ascii="David" w:hAnsi="David"/>
          <w:rtl/>
        </w:rPr>
      </w:pPr>
      <w:r w:rsidRPr="00E41849">
        <w:rPr>
          <w:rFonts w:ascii="David" w:hAnsi="David"/>
          <w:rtl/>
        </w:rPr>
        <w:tab/>
        <w:t>נ ג ד</w:t>
      </w:r>
    </w:p>
    <w:p w14:paraId="2F9EFD36" w14:textId="77777777" w:rsidR="0055616F" w:rsidRPr="00E41849" w:rsidRDefault="0055616F" w:rsidP="0055616F">
      <w:pPr>
        <w:spacing w:line="360" w:lineRule="auto"/>
        <w:jc w:val="both"/>
        <w:rPr>
          <w:rFonts w:ascii="David" w:hAnsi="David"/>
          <w:rtl/>
        </w:rPr>
      </w:pPr>
    </w:p>
    <w:p w14:paraId="0164C63B" w14:textId="77777777" w:rsidR="0055616F" w:rsidRPr="00E41849" w:rsidRDefault="0055616F" w:rsidP="0055616F">
      <w:pPr>
        <w:spacing w:line="360" w:lineRule="auto"/>
        <w:jc w:val="both"/>
        <w:rPr>
          <w:rFonts w:ascii="David" w:hAnsi="David"/>
          <w:b/>
          <w:bCs/>
          <w:rtl/>
        </w:rPr>
      </w:pPr>
      <w:r w:rsidRPr="00E41849">
        <w:rPr>
          <w:rFonts w:ascii="David" w:hAnsi="David"/>
          <w:b/>
          <w:bCs/>
          <w:rtl/>
        </w:rPr>
        <w:tab/>
        <w:t>עבד אל פאתח קטאווי</w:t>
      </w:r>
      <w:r w:rsidRPr="00E41849">
        <w:rPr>
          <w:rFonts w:ascii="David" w:hAnsi="David"/>
          <w:b/>
          <w:bCs/>
          <w:rtl/>
        </w:rPr>
        <w:tab/>
      </w:r>
      <w:r w:rsidRPr="00E41849">
        <w:rPr>
          <w:rFonts w:ascii="David" w:hAnsi="David"/>
          <w:b/>
          <w:bCs/>
          <w:rtl/>
        </w:rPr>
        <w:tab/>
      </w:r>
      <w:r w:rsidRPr="00E41849">
        <w:rPr>
          <w:rFonts w:ascii="David" w:hAnsi="David"/>
          <w:b/>
          <w:bCs/>
          <w:rtl/>
        </w:rPr>
        <w:tab/>
      </w:r>
      <w:r w:rsidRPr="00E41849">
        <w:rPr>
          <w:rFonts w:ascii="David" w:hAnsi="David"/>
          <w:b/>
          <w:bCs/>
          <w:rtl/>
        </w:rPr>
        <w:tab/>
      </w:r>
      <w:r w:rsidRPr="00E41849">
        <w:rPr>
          <w:rFonts w:ascii="David" w:hAnsi="David" w:hint="cs"/>
          <w:b/>
          <w:bCs/>
          <w:rtl/>
        </w:rPr>
        <w:t>הנאשם</w:t>
      </w:r>
    </w:p>
    <w:p w14:paraId="12156F19" w14:textId="77777777" w:rsidR="0055616F" w:rsidRPr="00E41849" w:rsidRDefault="0055616F" w:rsidP="0055616F">
      <w:pPr>
        <w:spacing w:line="360" w:lineRule="auto"/>
        <w:jc w:val="both"/>
        <w:rPr>
          <w:rFonts w:ascii="David" w:hAnsi="David"/>
          <w:rtl/>
        </w:rPr>
      </w:pPr>
      <w:r w:rsidRPr="00E41849">
        <w:rPr>
          <w:rFonts w:ascii="David" w:hAnsi="David"/>
          <w:rtl/>
        </w:rPr>
        <w:tab/>
        <w:t>ע"י ב"כ עו"ד אילן חכם</w:t>
      </w:r>
    </w:p>
    <w:p w14:paraId="5B53C542" w14:textId="77777777" w:rsidR="0055616F" w:rsidRPr="00E41849" w:rsidRDefault="0055616F" w:rsidP="0055616F">
      <w:pPr>
        <w:spacing w:line="360" w:lineRule="auto"/>
        <w:jc w:val="both"/>
        <w:rPr>
          <w:rFonts w:ascii="David" w:hAnsi="David"/>
          <w:rtl/>
        </w:rPr>
      </w:pPr>
    </w:p>
    <w:p w14:paraId="37C35CA4" w14:textId="77777777" w:rsidR="00377E41" w:rsidRPr="00377E41" w:rsidRDefault="00377E41" w:rsidP="00377E41">
      <w:pPr>
        <w:spacing w:before="120" w:after="120" w:line="240" w:lineRule="exact"/>
        <w:ind w:left="283" w:hanging="283"/>
        <w:jc w:val="both"/>
        <w:rPr>
          <w:rFonts w:ascii="FrankRuehl" w:hAnsi="FrankRuehl" w:cs="FrankRuehl"/>
          <w:rtl/>
        </w:rPr>
      </w:pPr>
    </w:p>
    <w:p w14:paraId="5CC5D1B3" w14:textId="77777777" w:rsidR="007102F8" w:rsidRDefault="007102F8" w:rsidP="007102F8">
      <w:pPr>
        <w:spacing w:line="360" w:lineRule="auto"/>
        <w:jc w:val="center"/>
        <w:rPr>
          <w:rFonts w:ascii="David" w:hAnsi="David"/>
          <w:sz w:val="28"/>
          <w:szCs w:val="28"/>
          <w:rtl/>
        </w:rPr>
      </w:pPr>
      <w:bookmarkStart w:id="3" w:name="LawTable"/>
      <w:bookmarkEnd w:id="3"/>
    </w:p>
    <w:p w14:paraId="2C0A9CDD" w14:textId="77777777" w:rsidR="007102F8" w:rsidRPr="007102F8" w:rsidRDefault="007102F8" w:rsidP="007102F8">
      <w:pPr>
        <w:spacing w:before="120" w:after="120" w:line="240" w:lineRule="exact"/>
        <w:ind w:left="283" w:hanging="283"/>
        <w:jc w:val="both"/>
        <w:rPr>
          <w:rFonts w:ascii="FrankRuehl" w:hAnsi="FrankRuehl" w:cs="FrankRuehl"/>
          <w:rtl/>
        </w:rPr>
      </w:pPr>
    </w:p>
    <w:p w14:paraId="2E30A626" w14:textId="77777777" w:rsidR="007102F8" w:rsidRPr="007102F8" w:rsidRDefault="007102F8" w:rsidP="007102F8">
      <w:pPr>
        <w:spacing w:before="120" w:after="120" w:line="240" w:lineRule="exact"/>
        <w:ind w:left="283" w:hanging="283"/>
        <w:jc w:val="both"/>
        <w:rPr>
          <w:rFonts w:ascii="FrankRuehl" w:hAnsi="FrankRuehl" w:cs="FrankRuehl"/>
          <w:rtl/>
        </w:rPr>
      </w:pPr>
    </w:p>
    <w:p w14:paraId="1B62CDCF" w14:textId="77777777" w:rsidR="007102F8" w:rsidRPr="007102F8" w:rsidRDefault="007102F8" w:rsidP="007102F8">
      <w:pPr>
        <w:spacing w:before="120" w:after="120" w:line="240" w:lineRule="exact"/>
        <w:ind w:left="283" w:hanging="283"/>
        <w:jc w:val="both"/>
        <w:rPr>
          <w:rFonts w:ascii="FrankRuehl" w:hAnsi="FrankRuehl" w:cs="FrankRuehl"/>
          <w:rtl/>
        </w:rPr>
      </w:pPr>
      <w:r w:rsidRPr="007102F8">
        <w:rPr>
          <w:rFonts w:ascii="FrankRuehl" w:hAnsi="FrankRuehl" w:cs="FrankRuehl"/>
          <w:rtl/>
        </w:rPr>
        <w:t xml:space="preserve">חקיקה שאוזכרה: </w:t>
      </w:r>
    </w:p>
    <w:p w14:paraId="387E350C" w14:textId="77777777" w:rsidR="007102F8" w:rsidRPr="007102F8" w:rsidRDefault="007102F8" w:rsidP="007102F8">
      <w:pPr>
        <w:spacing w:before="120" w:after="120" w:line="240" w:lineRule="exact"/>
        <w:ind w:left="283" w:hanging="283"/>
        <w:jc w:val="both"/>
        <w:rPr>
          <w:rFonts w:ascii="FrankRuehl" w:hAnsi="FrankRuehl" w:cs="FrankRuehl"/>
          <w:rtl/>
        </w:rPr>
      </w:pPr>
      <w:hyperlink r:id="rId7" w:history="1">
        <w:r w:rsidRPr="007102F8">
          <w:rPr>
            <w:rFonts w:ascii="FrankRuehl" w:hAnsi="FrankRuehl" w:cs="FrankRuehl"/>
            <w:color w:val="0000FF"/>
            <w:rtl/>
          </w:rPr>
          <w:t>חוק העונשין, תשל"ז-1977</w:t>
        </w:r>
      </w:hyperlink>
      <w:r w:rsidRPr="007102F8">
        <w:rPr>
          <w:rFonts w:ascii="FrankRuehl" w:hAnsi="FrankRuehl" w:cs="FrankRuehl"/>
          <w:rtl/>
        </w:rPr>
        <w:t xml:space="preserve">: סע'  </w:t>
      </w:r>
      <w:hyperlink r:id="rId8" w:history="1">
        <w:r w:rsidRPr="007102F8">
          <w:rPr>
            <w:rFonts w:ascii="FrankRuehl" w:hAnsi="FrankRuehl" w:cs="FrankRuehl"/>
            <w:color w:val="0000FF"/>
            <w:rtl/>
          </w:rPr>
          <w:t>45(ב)</w:t>
        </w:r>
      </w:hyperlink>
      <w:r w:rsidRPr="007102F8">
        <w:rPr>
          <w:rFonts w:ascii="FrankRuehl" w:hAnsi="FrankRuehl" w:cs="FrankRuehl"/>
          <w:rtl/>
        </w:rPr>
        <w:t xml:space="preserve">, </w:t>
      </w:r>
      <w:hyperlink r:id="rId9" w:history="1">
        <w:r w:rsidRPr="007102F8">
          <w:rPr>
            <w:rFonts w:ascii="FrankRuehl" w:hAnsi="FrankRuehl" w:cs="FrankRuehl"/>
            <w:color w:val="0000FF"/>
            <w:rtl/>
          </w:rPr>
          <w:t>58</w:t>
        </w:r>
      </w:hyperlink>
      <w:r w:rsidRPr="007102F8">
        <w:rPr>
          <w:rFonts w:ascii="FrankRuehl" w:hAnsi="FrankRuehl" w:cs="FrankRuehl"/>
          <w:rtl/>
        </w:rPr>
        <w:t xml:space="preserve">, </w:t>
      </w:r>
      <w:hyperlink r:id="rId10" w:history="1">
        <w:r w:rsidRPr="007102F8">
          <w:rPr>
            <w:rFonts w:ascii="FrankRuehl" w:hAnsi="FrankRuehl" w:cs="FrankRuehl"/>
            <w:color w:val="0000FF"/>
            <w:rtl/>
          </w:rPr>
          <w:t>144(א)</w:t>
        </w:r>
      </w:hyperlink>
    </w:p>
    <w:p w14:paraId="5CC5E5B3" w14:textId="77777777" w:rsidR="007102F8" w:rsidRPr="007102F8" w:rsidRDefault="007102F8" w:rsidP="007102F8">
      <w:pPr>
        <w:spacing w:line="360" w:lineRule="auto"/>
        <w:jc w:val="center"/>
        <w:rPr>
          <w:rFonts w:ascii="David" w:hAnsi="David"/>
          <w:sz w:val="28"/>
          <w:szCs w:val="28"/>
          <w:rtl/>
        </w:rPr>
      </w:pPr>
      <w:bookmarkStart w:id="4" w:name="LawTable_End"/>
      <w:bookmarkEnd w:id="4"/>
    </w:p>
    <w:p w14:paraId="2F09E3C9" w14:textId="77777777" w:rsidR="00E41849" w:rsidRPr="00377E41" w:rsidRDefault="00E41849" w:rsidP="00377E41">
      <w:pPr>
        <w:spacing w:line="360" w:lineRule="auto"/>
        <w:jc w:val="center"/>
        <w:rPr>
          <w:rFonts w:ascii="David" w:hAnsi="David"/>
          <w:sz w:val="28"/>
          <w:szCs w:val="28"/>
          <w:rtl/>
        </w:rPr>
      </w:pPr>
    </w:p>
    <w:p w14:paraId="2974751B" w14:textId="77777777" w:rsidR="00E41849" w:rsidRPr="00E41849" w:rsidRDefault="00E41849" w:rsidP="00E41849">
      <w:pPr>
        <w:spacing w:line="360" w:lineRule="auto"/>
        <w:jc w:val="center"/>
        <w:rPr>
          <w:rFonts w:ascii="David" w:hAnsi="David"/>
          <w:b/>
          <w:bCs/>
          <w:sz w:val="28"/>
          <w:szCs w:val="28"/>
          <w:u w:val="single"/>
          <w:rtl/>
        </w:rPr>
      </w:pPr>
      <w:bookmarkStart w:id="5" w:name="PsakDin"/>
      <w:bookmarkEnd w:id="0"/>
      <w:r w:rsidRPr="00E41849">
        <w:rPr>
          <w:rFonts w:ascii="David" w:hAnsi="David"/>
          <w:b/>
          <w:bCs/>
          <w:sz w:val="28"/>
          <w:szCs w:val="28"/>
          <w:u w:val="single"/>
          <w:rtl/>
        </w:rPr>
        <w:t>גזר דין</w:t>
      </w:r>
    </w:p>
    <w:bookmarkEnd w:id="5"/>
    <w:p w14:paraId="73BD538A" w14:textId="77777777" w:rsidR="0055616F" w:rsidRPr="00294FBD" w:rsidRDefault="0055616F" w:rsidP="0055616F">
      <w:pPr>
        <w:spacing w:line="360" w:lineRule="auto"/>
        <w:jc w:val="both"/>
        <w:rPr>
          <w:rFonts w:ascii="David" w:hAnsi="David"/>
          <w:rtl/>
        </w:rPr>
      </w:pPr>
    </w:p>
    <w:p w14:paraId="413AC0F4" w14:textId="77777777" w:rsidR="0055616F" w:rsidRPr="0011000B" w:rsidRDefault="0055616F" w:rsidP="0055616F">
      <w:pPr>
        <w:spacing w:line="360" w:lineRule="auto"/>
        <w:jc w:val="both"/>
        <w:rPr>
          <w:rFonts w:ascii="David" w:hAnsi="David"/>
          <w:b/>
          <w:bCs/>
          <w:u w:val="single"/>
          <w:rtl/>
        </w:rPr>
      </w:pPr>
      <w:r w:rsidRPr="0011000B">
        <w:rPr>
          <w:rFonts w:ascii="David" w:hAnsi="David" w:hint="cs"/>
          <w:b/>
          <w:bCs/>
          <w:u w:val="single"/>
          <w:rtl/>
        </w:rPr>
        <w:t>כתב האישום והודאת הנאשם</w:t>
      </w:r>
    </w:p>
    <w:p w14:paraId="0609392B" w14:textId="77777777" w:rsidR="0055616F" w:rsidRDefault="0055616F" w:rsidP="0055616F">
      <w:pPr>
        <w:spacing w:line="360" w:lineRule="auto"/>
        <w:jc w:val="both"/>
        <w:rPr>
          <w:rFonts w:ascii="David" w:hAnsi="David"/>
          <w:rtl/>
        </w:rPr>
      </w:pPr>
      <w:r>
        <w:rPr>
          <w:rFonts w:ascii="David" w:hAnsi="David" w:hint="cs"/>
          <w:rtl/>
        </w:rPr>
        <w:t>1.</w:t>
      </w:r>
      <w:r>
        <w:rPr>
          <w:rFonts w:ascii="David" w:hAnsi="David" w:hint="cs"/>
          <w:rtl/>
        </w:rPr>
        <w:tab/>
      </w:r>
      <w:bookmarkStart w:id="6" w:name="ABSTRACT_START"/>
      <w:bookmarkEnd w:id="6"/>
      <w:r>
        <w:rPr>
          <w:rFonts w:ascii="David" w:hAnsi="David" w:hint="cs"/>
          <w:rtl/>
        </w:rPr>
        <w:t xml:space="preserve">הנאשם, יליד 1984, הורשע על פי הודאתו, ללא הסדר טיעון, בעבירה של </w:t>
      </w:r>
      <w:r w:rsidRPr="00B63553">
        <w:rPr>
          <w:rFonts w:ascii="David" w:hAnsi="David" w:hint="cs"/>
          <w:b/>
          <w:bCs/>
          <w:rtl/>
        </w:rPr>
        <w:t>החזקת נשק ותחמושת</w:t>
      </w:r>
      <w:r>
        <w:rPr>
          <w:rFonts w:ascii="David" w:hAnsi="David" w:hint="cs"/>
          <w:rtl/>
        </w:rPr>
        <w:t xml:space="preserve"> שלא כדין, בניגוד </w:t>
      </w:r>
      <w:hyperlink r:id="rId11" w:history="1">
        <w:r w:rsidR="004B2E5D" w:rsidRPr="004B2E5D">
          <w:rPr>
            <w:rStyle w:val="Hyperlink"/>
            <w:rFonts w:ascii="David" w:hAnsi="David" w:hint="eastAsia"/>
            <w:rtl/>
          </w:rPr>
          <w:t>לסעיף</w:t>
        </w:r>
        <w:r w:rsidR="004B2E5D" w:rsidRPr="004B2E5D">
          <w:rPr>
            <w:rStyle w:val="Hyperlink"/>
            <w:rFonts w:ascii="David" w:hAnsi="David"/>
            <w:rtl/>
          </w:rPr>
          <w:t xml:space="preserve"> 144(א)</w:t>
        </w:r>
      </w:hyperlink>
      <w:r>
        <w:rPr>
          <w:rFonts w:ascii="David" w:hAnsi="David" w:hint="cs"/>
          <w:rtl/>
        </w:rPr>
        <w:t xml:space="preserve"> רישא וסיפא ל</w:t>
      </w:r>
      <w:hyperlink r:id="rId12" w:history="1">
        <w:r w:rsidR="00E41849" w:rsidRPr="00E41849">
          <w:rPr>
            <w:rFonts w:ascii="David" w:hAnsi="David"/>
            <w:color w:val="0000FF"/>
            <w:u w:val="single"/>
            <w:rtl/>
          </w:rPr>
          <w:t>חוק העונשין</w:t>
        </w:r>
      </w:hyperlink>
      <w:r>
        <w:rPr>
          <w:rFonts w:ascii="David" w:hAnsi="David" w:hint="cs"/>
          <w:rtl/>
        </w:rPr>
        <w:t>, תשל"ז-1977.</w:t>
      </w:r>
    </w:p>
    <w:p w14:paraId="2AE2E902" w14:textId="77777777" w:rsidR="0055616F" w:rsidRDefault="0055616F" w:rsidP="0055616F">
      <w:pPr>
        <w:spacing w:line="360" w:lineRule="auto"/>
        <w:jc w:val="both"/>
        <w:rPr>
          <w:rFonts w:ascii="David" w:hAnsi="David"/>
          <w:rtl/>
        </w:rPr>
      </w:pPr>
      <w:r>
        <w:rPr>
          <w:rFonts w:ascii="David" w:hAnsi="David" w:hint="cs"/>
          <w:rtl/>
        </w:rPr>
        <w:t>על פי עובדות כתב האישום ביום 3.2.20 החזיק הנאשם תת מקלע מאולתר "קרלו", עטוף בקפוצ'ון ומוסלק בין גלגליה האחוריים של משאית שעמדה בסמוך לביתו שבזמר. בנוסף, החזיק במחסנית תואמת לנשק ובה 11 כדורי 9 מ"מ עטופה בחולצה ומוסלקת בחלקה התחתון של המשאית.</w:t>
      </w:r>
    </w:p>
    <w:p w14:paraId="5E11C904" w14:textId="77777777" w:rsidR="0055616F" w:rsidRDefault="0055616F" w:rsidP="0055616F">
      <w:pPr>
        <w:spacing w:line="360" w:lineRule="auto"/>
        <w:jc w:val="both"/>
        <w:rPr>
          <w:rFonts w:ascii="David" w:hAnsi="David"/>
          <w:rtl/>
        </w:rPr>
      </w:pPr>
      <w:bookmarkStart w:id="7" w:name="ABSTRACT_END"/>
      <w:bookmarkEnd w:id="7"/>
    </w:p>
    <w:p w14:paraId="6B598FBE" w14:textId="77777777" w:rsidR="0055616F" w:rsidRPr="0011000B" w:rsidRDefault="0055616F" w:rsidP="0055616F">
      <w:pPr>
        <w:spacing w:line="360" w:lineRule="auto"/>
        <w:jc w:val="both"/>
        <w:rPr>
          <w:rFonts w:ascii="David" w:hAnsi="David"/>
          <w:b/>
          <w:bCs/>
          <w:u w:val="single"/>
          <w:rtl/>
        </w:rPr>
      </w:pPr>
      <w:r w:rsidRPr="0011000B">
        <w:rPr>
          <w:rFonts w:ascii="David" w:hAnsi="David" w:hint="cs"/>
          <w:b/>
          <w:bCs/>
          <w:u w:val="single"/>
          <w:rtl/>
        </w:rPr>
        <w:t>טיעוני ב"כ הצדדים</w:t>
      </w:r>
    </w:p>
    <w:p w14:paraId="65EC5E70" w14:textId="77777777" w:rsidR="0055616F" w:rsidRDefault="0055616F" w:rsidP="0055616F">
      <w:pPr>
        <w:spacing w:line="360" w:lineRule="auto"/>
        <w:jc w:val="both"/>
        <w:rPr>
          <w:rFonts w:ascii="David" w:hAnsi="David"/>
          <w:rtl/>
        </w:rPr>
      </w:pPr>
      <w:r>
        <w:rPr>
          <w:rFonts w:ascii="David" w:hAnsi="David" w:hint="cs"/>
          <w:rtl/>
        </w:rPr>
        <w:lastRenderedPageBreak/>
        <w:t>2.</w:t>
      </w:r>
      <w:r>
        <w:rPr>
          <w:rFonts w:ascii="David" w:hAnsi="David" w:hint="cs"/>
          <w:rtl/>
        </w:rPr>
        <w:tab/>
        <w:t>ב"כ המאשימה עמד על הערכים החברתיים המוגנים בעבירה. הוא טען שהחזקת נשק חם יוצרת סיכון לכך שייעשה שימוש בנשק למטרות פסולות, לרבות פגיעה בגוף, ופוטנציאל הנזק במקרה זה גדול ביותר לאור סוג הנשק והעובדה שהיה זמין ומוכן לירי (</w:t>
      </w:r>
      <w:r w:rsidRPr="00EB613E">
        <w:rPr>
          <w:rFonts w:ascii="David" w:hAnsi="David" w:hint="cs"/>
          <w:b/>
          <w:bCs/>
          <w:rtl/>
        </w:rPr>
        <w:t>תע/3</w:t>
      </w:r>
      <w:r>
        <w:rPr>
          <w:rFonts w:ascii="David" w:hAnsi="David" w:hint="cs"/>
          <w:rtl/>
        </w:rPr>
        <w:t xml:space="preserve">). ב"כ מאשימה עתר לקביעת </w:t>
      </w:r>
      <w:r w:rsidRPr="0011000B">
        <w:rPr>
          <w:rFonts w:ascii="David" w:hAnsi="David" w:hint="cs"/>
          <w:b/>
          <w:bCs/>
          <w:rtl/>
        </w:rPr>
        <w:t>מתחם עונש הולם הנע בין 24 ל-48 חודשי מאסר</w:t>
      </w:r>
      <w:r>
        <w:rPr>
          <w:rFonts w:ascii="David" w:hAnsi="David" w:hint="cs"/>
          <w:rtl/>
        </w:rPr>
        <w:t>. הוא הפנה לפסיקה ממנה עולה כי בתי המשפט קראו להחמיר בענישה של מחזיקי הנשק נוכח העובדה שמדובר ב"מכת מדינה" של ממש, וכשמדובר ביישובי השרון מדובר ב"מכת איזור". התובע ביקש למקם את עונשו של הנאשם ברף הגבוה של המתחם. הוא הפנה לעברו הפלילי של הנאשם (</w:t>
      </w:r>
      <w:r w:rsidRPr="00EB613E">
        <w:rPr>
          <w:rFonts w:ascii="David" w:hAnsi="David" w:hint="cs"/>
          <w:b/>
          <w:bCs/>
          <w:rtl/>
        </w:rPr>
        <w:t>תע/1</w:t>
      </w:r>
      <w:r>
        <w:rPr>
          <w:rFonts w:ascii="David" w:hAnsi="David" w:hint="cs"/>
          <w:rtl/>
        </w:rPr>
        <w:t>) הכולל הרשעה קודמת בעבירות של קשירת קשר לביצוע פשע (סחר בנשק) ונשיאת נשק והובלתו, גזר דין מיום 30.3.17, במסגרתו הוטלו עליו 36 חודשי מאסר, לצד 8 חודשי מאסר על תנאי שהם בני הפעלה בתיקנו (</w:t>
      </w:r>
      <w:r w:rsidRPr="00EB613E">
        <w:rPr>
          <w:rFonts w:ascii="David" w:hAnsi="David" w:hint="cs"/>
          <w:b/>
          <w:bCs/>
          <w:rtl/>
        </w:rPr>
        <w:t>תע/2</w:t>
      </w:r>
      <w:r>
        <w:rPr>
          <w:rFonts w:ascii="David" w:hAnsi="David" w:hint="cs"/>
          <w:rtl/>
        </w:rPr>
        <w:t>), כאשר נסיבה לחומרה היא שהנאשם ביצע את העבירה בתיקנו שעה ותלוי עומד מעל ראשו עונש מאסר על תנאי בגין ביצוע עבירות נשק קודמות. כמו כן, טען התובע שהנאשם מרצה כעת עונש מאסר בן 15 חודשים בגין ביצוע עבירות סמים. לאור האמור לעיל, ונוכח הוראות החוק הרלוונטיות ב</w:t>
      </w:r>
      <w:hyperlink r:id="rId13" w:history="1">
        <w:r w:rsidR="00E41849" w:rsidRPr="00E41849">
          <w:rPr>
            <w:rFonts w:ascii="David" w:hAnsi="David"/>
            <w:color w:val="0000FF"/>
            <w:u w:val="single"/>
            <w:rtl/>
          </w:rPr>
          <w:t>חוק העונשין</w:t>
        </w:r>
      </w:hyperlink>
      <w:r>
        <w:rPr>
          <w:rFonts w:ascii="David" w:hAnsi="David" w:hint="cs"/>
          <w:rtl/>
        </w:rPr>
        <w:t xml:space="preserve">, ביקש התובע להפעיל את עונש המאסר על תנאי ולהורות שזה ירוצה במצטבר לעונש המאסר שיוטל על הנאשם בתיק זה. כמו כן, ביקש התובע שבית המשפט יקבע שעל הנאשם לרצות את שני עונשי המאסר </w:t>
      </w:r>
      <w:r>
        <w:rPr>
          <w:rFonts w:ascii="David" w:hAnsi="David"/>
          <w:rtl/>
        </w:rPr>
        <w:t>–</w:t>
      </w:r>
      <w:r>
        <w:rPr>
          <w:rFonts w:ascii="David" w:hAnsi="David" w:hint="cs"/>
          <w:rtl/>
        </w:rPr>
        <w:t xml:space="preserve"> זה שייגזר עליו בתיק זה וזה שהוא מרצה כיום בגין עבירות הסמים </w:t>
      </w:r>
      <w:r>
        <w:rPr>
          <w:rFonts w:ascii="David" w:hAnsi="David"/>
          <w:rtl/>
        </w:rPr>
        <w:t>–</w:t>
      </w:r>
      <w:r>
        <w:rPr>
          <w:rFonts w:ascii="David" w:hAnsi="David" w:hint="cs"/>
          <w:rtl/>
        </w:rPr>
        <w:t xml:space="preserve"> במצטבר.</w:t>
      </w:r>
    </w:p>
    <w:p w14:paraId="37EFD69D" w14:textId="77777777" w:rsidR="0055616F" w:rsidRDefault="0055616F" w:rsidP="0055616F">
      <w:pPr>
        <w:spacing w:line="360" w:lineRule="auto"/>
        <w:jc w:val="both"/>
        <w:rPr>
          <w:rFonts w:ascii="David" w:hAnsi="David"/>
          <w:rtl/>
        </w:rPr>
      </w:pPr>
      <w:r>
        <w:rPr>
          <w:rFonts w:ascii="David" w:hAnsi="David" w:hint="cs"/>
          <w:rtl/>
        </w:rPr>
        <w:t>התובע ציין שהנאשם היה עצור בגין תיקנו מיום 3.2.20 עד ליום 6.2.20; ומיום 28.2.20 ועד ליום 21.7.20, אז נגזרו עליו 15 חודשי מאסר בגין תיק הסמים.</w:t>
      </w:r>
    </w:p>
    <w:p w14:paraId="07091C68" w14:textId="77777777" w:rsidR="0055616F" w:rsidRDefault="0055616F" w:rsidP="0055616F">
      <w:pPr>
        <w:spacing w:line="360" w:lineRule="auto"/>
        <w:jc w:val="both"/>
        <w:rPr>
          <w:rFonts w:ascii="David" w:hAnsi="David"/>
          <w:rtl/>
        </w:rPr>
      </w:pPr>
      <w:r>
        <w:rPr>
          <w:rFonts w:ascii="David" w:hAnsi="David" w:hint="cs"/>
          <w:rtl/>
        </w:rPr>
        <w:t>ב"כ המאשימה הגיש פסיקה.</w:t>
      </w:r>
    </w:p>
    <w:p w14:paraId="03936D52" w14:textId="77777777" w:rsidR="0055616F" w:rsidRDefault="0055616F" w:rsidP="0055616F">
      <w:pPr>
        <w:spacing w:line="360" w:lineRule="auto"/>
        <w:jc w:val="both"/>
        <w:rPr>
          <w:rFonts w:ascii="David" w:hAnsi="David"/>
          <w:rtl/>
        </w:rPr>
      </w:pPr>
    </w:p>
    <w:p w14:paraId="49D5845B" w14:textId="77777777" w:rsidR="0055616F" w:rsidRDefault="0055616F" w:rsidP="0055616F">
      <w:pPr>
        <w:spacing w:line="360" w:lineRule="auto"/>
        <w:jc w:val="both"/>
        <w:rPr>
          <w:rFonts w:ascii="David" w:hAnsi="David"/>
          <w:rtl/>
        </w:rPr>
      </w:pPr>
      <w:r>
        <w:rPr>
          <w:rFonts w:ascii="David" w:hAnsi="David" w:hint="cs"/>
          <w:rtl/>
        </w:rPr>
        <w:t>3.</w:t>
      </w:r>
      <w:r>
        <w:rPr>
          <w:rFonts w:ascii="David" w:hAnsi="David" w:hint="cs"/>
          <w:rtl/>
        </w:rPr>
        <w:tab/>
        <w:t xml:space="preserve">ב"כ הנאשם טען שמדובר בנאשם כבן 36, נשוי ואב ל-5 ילדים קטינים, בתו התינוקת נולדה עת שהה במאסר ועל כן לא ראה אותה. הנאשם ביקש לצרף תיק זה לתיק הסמים שהתנהל נגדו בבית המשפט המחוזי, אך בשל עמדת המאשימה לענישה מחמירה הדבר לא הסתייע. נטען שבתיק הסמים היו קשיים ראייתיים ועל כן, הגיעו הצדדים שם לענישה מתונה יחסית לתיקים שמתנהלים בבית המשפט המחוזי. עוד נטען שהנאשם ביקש להודות בתיק בהזדמנות הראשונה, נטל אחריות, חסך בזמן שיפוטי יקר ומזמנה של התביעה ושל העדים. ב"כ הנאשם טען שעתירת המאשימה לעונש מופרזת לחומרא, הן בהיבט של מתחם העונש שבית המשפט מתבקש לקבוע, הן בהיבט של הבקשה להפעלת עונש המאסר המותנה כולו במצטבר, והן בהיבט של ההתנגדות לחפיפה מסויימת של עונשי המאסר זה לזה. ב"כ הנאשם הפנה לפסיקה ממנה עולה כי מתחם העונש בעבירה של החזקת נשק מסוג "קרלו" </w:t>
      </w:r>
      <w:r w:rsidRPr="0011000B">
        <w:rPr>
          <w:rFonts w:ascii="David" w:hAnsi="David" w:hint="cs"/>
          <w:b/>
          <w:bCs/>
          <w:rtl/>
        </w:rPr>
        <w:t>מתחיל ב-8 חודשי מאסר</w:t>
      </w:r>
      <w:r>
        <w:rPr>
          <w:rFonts w:ascii="David" w:hAnsi="David" w:hint="cs"/>
          <w:rtl/>
        </w:rPr>
        <w:t xml:space="preserve"> ואף הפנה לגזרי דין במסגרתם נדונו נאשמים שהורשעו בהחזקה של מספר כלי נשק לתקופות מאסר בנות 20 ו-22 חודשים. לפיכך, עתר ב"כ הנאשם לגזור על הנאשם תקופת מאסר מידתית, להורות על הפעלת עונש המאסר על תנאי בן ה-8 חודשים שחציו ירוצה בחופף וחציו ירוצה במצטבר לעונש המאסר שיוטל בתיק זה, וכן לקבוע שמספר חודשי מאסר ירוצו בחופף לעונש המאסר אותו מרצה הנאשם כיום.</w:t>
      </w:r>
    </w:p>
    <w:p w14:paraId="1F437F49" w14:textId="77777777" w:rsidR="0055616F" w:rsidRDefault="0055616F" w:rsidP="0055616F">
      <w:pPr>
        <w:spacing w:line="360" w:lineRule="auto"/>
        <w:jc w:val="both"/>
        <w:rPr>
          <w:rFonts w:ascii="David" w:hAnsi="David"/>
          <w:rtl/>
        </w:rPr>
      </w:pPr>
      <w:r>
        <w:rPr>
          <w:rFonts w:ascii="David" w:hAnsi="David" w:hint="cs"/>
          <w:rtl/>
        </w:rPr>
        <w:t>ב"כ הנאשם הגיש פסיקה.</w:t>
      </w:r>
    </w:p>
    <w:p w14:paraId="7B76E065" w14:textId="77777777" w:rsidR="0055616F" w:rsidRDefault="0055616F" w:rsidP="0055616F">
      <w:pPr>
        <w:spacing w:line="360" w:lineRule="auto"/>
        <w:jc w:val="both"/>
        <w:rPr>
          <w:rFonts w:ascii="David" w:hAnsi="David"/>
          <w:rtl/>
        </w:rPr>
      </w:pPr>
    </w:p>
    <w:p w14:paraId="1A8B6A78" w14:textId="77777777" w:rsidR="0055616F" w:rsidRDefault="0055616F" w:rsidP="0055616F">
      <w:pPr>
        <w:spacing w:line="360" w:lineRule="auto"/>
        <w:jc w:val="both"/>
        <w:rPr>
          <w:rFonts w:ascii="David" w:hAnsi="David"/>
          <w:rtl/>
        </w:rPr>
      </w:pPr>
      <w:r>
        <w:rPr>
          <w:rFonts w:ascii="David" w:hAnsi="David" w:hint="cs"/>
          <w:rtl/>
        </w:rPr>
        <w:lastRenderedPageBreak/>
        <w:t>4.</w:t>
      </w:r>
      <w:r>
        <w:rPr>
          <w:rFonts w:ascii="David" w:hAnsi="David" w:hint="cs"/>
          <w:rtl/>
        </w:rPr>
        <w:tab/>
        <w:t>הנאשם בדברו האחרון הודה שטעה ואמר שמבין שעל טעויות יש לשלם. כמו כן, טען שהתנתק מאותם אנשים שגרמו לו לבצע את העבירות בתיק זה ובתיקים הקודמים ואמר שמתכוון לזנוח את דרך הפשע ולעבוד כנהג משאית.</w:t>
      </w:r>
    </w:p>
    <w:p w14:paraId="71804719" w14:textId="77777777" w:rsidR="0055616F" w:rsidRDefault="0055616F" w:rsidP="0055616F">
      <w:pPr>
        <w:spacing w:line="360" w:lineRule="auto"/>
        <w:jc w:val="both"/>
        <w:rPr>
          <w:rFonts w:ascii="David" w:hAnsi="David"/>
          <w:rtl/>
        </w:rPr>
      </w:pPr>
    </w:p>
    <w:p w14:paraId="61346B30" w14:textId="77777777" w:rsidR="0055616F" w:rsidRPr="0011000B" w:rsidRDefault="0055616F" w:rsidP="0055616F">
      <w:pPr>
        <w:spacing w:line="360" w:lineRule="auto"/>
        <w:jc w:val="both"/>
        <w:rPr>
          <w:rFonts w:ascii="David" w:hAnsi="David"/>
          <w:b/>
          <w:bCs/>
          <w:u w:val="single"/>
          <w:rtl/>
        </w:rPr>
      </w:pPr>
      <w:r w:rsidRPr="0011000B">
        <w:rPr>
          <w:rFonts w:ascii="David" w:hAnsi="David" w:hint="cs"/>
          <w:b/>
          <w:bCs/>
          <w:u w:val="single"/>
          <w:rtl/>
        </w:rPr>
        <w:t>דיון והכרעה</w:t>
      </w:r>
    </w:p>
    <w:p w14:paraId="3300F9DD" w14:textId="77777777" w:rsidR="0055616F" w:rsidRDefault="0055616F" w:rsidP="0055616F">
      <w:pPr>
        <w:spacing w:line="360" w:lineRule="auto"/>
        <w:jc w:val="both"/>
        <w:rPr>
          <w:rFonts w:ascii="David" w:hAnsi="David"/>
          <w:rtl/>
        </w:rPr>
      </w:pPr>
      <w:r>
        <w:rPr>
          <w:rFonts w:ascii="David" w:hAnsi="David" w:hint="cs"/>
          <w:rtl/>
        </w:rPr>
        <w:t>5.</w:t>
      </w:r>
      <w:r>
        <w:rPr>
          <w:rFonts w:ascii="David" w:hAnsi="David" w:hint="cs"/>
          <w:rtl/>
        </w:rPr>
        <w:tab/>
        <w:t xml:space="preserve">הערכים החברתיים המוגנים בעבירה אותה ביצע הנאשם מוכרים וידועים היטב ועניינם שמירה על בטחון הציבור, על שלומו ועל הסדר הציבורי. במקרה שלפניי ניתן לומר שמידת הפגיעה בערכים החברתיים המוגנים אינה מבוטלת. הנאשם החזיק נשק מסוג תת מקלע "קרלו", כשהוא עטוף בקפוצ'ון ומוסלק באחורי משאית. בחלק אחר של המשאית, בסמיכות לנשק, החזיק הנאשם מחסנית ובה 11 כדורי 9 מ"מ, כשהיא עטופה בחולצה. החומרה שבמעשה אינה מתמצית לעצם החזקת הנשק והתחמושת, אלא ממה שעלול היה להתרחש, דהיינו החשש הברור הוא שהנשק, אשר מוחזק שלא כדין, יתגלגל לידיים הלא נכונות וישמש לפעילות עבריינית שיש בכוחה להביא לפגיעה ממשית בערכים המוגנים ולקפח את חייהם של חפים מפשע, או גרוע מכך, לידי מי שמבקש להוציא אל הפועל פעילות חבלנית עויינת. במקרה שלפניי, לא הובררה עד תום סיבת החזקת הנשק וייעודו </w:t>
      </w:r>
      <w:r>
        <w:rPr>
          <w:rFonts w:ascii="David" w:hAnsi="David"/>
          <w:rtl/>
        </w:rPr>
        <w:t>–</w:t>
      </w:r>
      <w:r>
        <w:rPr>
          <w:rFonts w:ascii="David" w:hAnsi="David" w:hint="cs"/>
          <w:rtl/>
        </w:rPr>
        <w:t xml:space="preserve"> האם להגנה עצמית, האם כאמצעי תקיפה, האם לצרכי סחר ומכירה, ולמי יועד. בנסיבות אלה, אין לדעת לאילו תוצאות הרסניות יכול היה אותו נשק שנפס על ידי המשטרה לגרום ולהביא </w:t>
      </w:r>
      <w:r>
        <w:rPr>
          <w:rFonts w:ascii="David" w:hAnsi="David"/>
          <w:rtl/>
        </w:rPr>
        <w:t>–</w:t>
      </w:r>
      <w:r>
        <w:rPr>
          <w:rFonts w:ascii="David" w:hAnsi="David" w:hint="cs"/>
          <w:rtl/>
        </w:rPr>
        <w:t xml:space="preserve"> כל זאת כאשר אין לך חודש שעובר מבלי שאנו מדווחים בחדשות על פציעה של חפים מפשע, ולעיתים גרימת מוות, על ידי מי שמחזיק שלא כדין בכלי נשק ובתחמושת, במסגרת סכסוכי עבריינים, ארגוני פשע או סכסוכי חמולות.</w:t>
      </w:r>
    </w:p>
    <w:p w14:paraId="477E5C91" w14:textId="77777777" w:rsidR="0055616F" w:rsidRDefault="0055616F" w:rsidP="0055616F">
      <w:pPr>
        <w:spacing w:line="360" w:lineRule="auto"/>
        <w:jc w:val="both"/>
        <w:rPr>
          <w:rFonts w:ascii="David" w:hAnsi="David"/>
          <w:rtl/>
        </w:rPr>
      </w:pPr>
    </w:p>
    <w:p w14:paraId="55B1F2E0" w14:textId="77777777" w:rsidR="0055616F" w:rsidRDefault="0055616F" w:rsidP="0055616F">
      <w:pPr>
        <w:spacing w:line="360" w:lineRule="auto"/>
        <w:jc w:val="both"/>
        <w:rPr>
          <w:rFonts w:ascii="David" w:hAnsi="David"/>
          <w:rtl/>
        </w:rPr>
      </w:pPr>
      <w:r>
        <w:rPr>
          <w:rFonts w:ascii="David" w:hAnsi="David" w:hint="cs"/>
          <w:rtl/>
        </w:rPr>
        <w:t>6.</w:t>
      </w:r>
      <w:r>
        <w:rPr>
          <w:rFonts w:ascii="David" w:hAnsi="David" w:hint="cs"/>
          <w:rtl/>
        </w:rPr>
        <w:tab/>
        <w:t xml:space="preserve">הפסיקה קבעה </w:t>
      </w:r>
      <w:r>
        <w:rPr>
          <w:rFonts w:ascii="David" w:hAnsi="David"/>
          <w:rtl/>
        </w:rPr>
        <w:t>–</w:t>
      </w:r>
    </w:p>
    <w:p w14:paraId="26BF712A" w14:textId="77777777" w:rsidR="0055616F" w:rsidRDefault="0055616F" w:rsidP="0055616F">
      <w:pPr>
        <w:spacing w:line="360" w:lineRule="auto"/>
        <w:jc w:val="both"/>
        <w:rPr>
          <w:rtl/>
        </w:rPr>
      </w:pPr>
      <w:r w:rsidRPr="003A0395">
        <w:rPr>
          <w:rFonts w:hint="cs"/>
          <w:b/>
          <w:bCs/>
          <w:rtl/>
        </w:rPr>
        <w:t xml:space="preserve">"עבירות המבוצעות בנשק </w:t>
      </w:r>
      <w:r w:rsidRPr="003A0395">
        <w:rPr>
          <w:b/>
          <w:bCs/>
          <w:rtl/>
        </w:rPr>
        <w:t>–</w:t>
      </w:r>
      <w:r w:rsidRPr="003A0395">
        <w:rPr>
          <w:rFonts w:hint="cs"/>
          <w:b/>
          <w:bCs/>
          <w:rtl/>
        </w:rPr>
        <w:t xml:space="preserve"> לרבות רכישה, החזקה ונשיאת נשק </w:t>
      </w:r>
      <w:r w:rsidRPr="003A0395">
        <w:rPr>
          <w:b/>
          <w:bCs/>
          <w:rtl/>
        </w:rPr>
        <w:t>–</w:t>
      </w:r>
      <w:r w:rsidRPr="003A0395">
        <w:rPr>
          <w:rFonts w:hint="cs"/>
          <w:b/>
          <w:bCs/>
          <w:rtl/>
        </w:rPr>
        <w:t xml:space="preserve">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w:t>
      </w:r>
      <w:r w:rsidRPr="003A0395">
        <w:rPr>
          <w:b/>
          <w:bCs/>
          <w:rtl/>
        </w:rPr>
        <w:t>–</w:t>
      </w:r>
      <w:r w:rsidRPr="003A0395">
        <w:rPr>
          <w:rFonts w:hint="cs"/>
          <w:b/>
          <w:bCs/>
          <w:rtl/>
        </w:rPr>
        <w:t xml:space="preserve">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Pr>
          <w:rFonts w:hint="cs"/>
          <w:rtl/>
        </w:rPr>
        <w:t xml:space="preserve"> (</w:t>
      </w:r>
      <w:hyperlink r:id="rId14" w:history="1">
        <w:r w:rsidR="00E41849" w:rsidRPr="00E41849">
          <w:rPr>
            <w:color w:val="0000FF"/>
            <w:u w:val="single"/>
            <w:rtl/>
          </w:rPr>
          <w:t>ע"פ 4945/13</w:t>
        </w:r>
      </w:hyperlink>
      <w:r>
        <w:rPr>
          <w:rFonts w:hint="cs"/>
          <w:rtl/>
        </w:rPr>
        <w:t xml:space="preserve"> </w:t>
      </w:r>
      <w:r>
        <w:rPr>
          <w:rFonts w:hint="cs"/>
          <w:b/>
          <w:bCs/>
          <w:rtl/>
        </w:rPr>
        <w:t>מדינת ישראל נ' סלימאן</w:t>
      </w:r>
      <w:r>
        <w:rPr>
          <w:rFonts w:hint="cs"/>
          <w:rtl/>
        </w:rPr>
        <w:t xml:space="preserve"> (19.1.14</w:t>
      </w:r>
      <w:r>
        <w:rPr>
          <w:rFonts w:ascii="David" w:hAnsi="David" w:hint="cs"/>
          <w:rtl/>
        </w:rPr>
        <w:t>)).</w:t>
      </w:r>
    </w:p>
    <w:p w14:paraId="1965206B" w14:textId="77777777" w:rsidR="0055616F" w:rsidRDefault="0055616F" w:rsidP="0055616F">
      <w:pPr>
        <w:spacing w:line="360" w:lineRule="auto"/>
        <w:jc w:val="both"/>
        <w:rPr>
          <w:rtl/>
        </w:rPr>
      </w:pPr>
    </w:p>
    <w:p w14:paraId="57995946" w14:textId="77777777" w:rsidR="0055616F" w:rsidRDefault="0055616F" w:rsidP="0055616F">
      <w:pPr>
        <w:spacing w:line="360" w:lineRule="auto"/>
        <w:jc w:val="both"/>
        <w:rPr>
          <w:rtl/>
        </w:rPr>
      </w:pPr>
      <w:r>
        <w:rPr>
          <w:rFonts w:hint="cs"/>
          <w:rtl/>
        </w:rPr>
        <w:t xml:space="preserve">ובהמשך אותו פסק-דין </w:t>
      </w:r>
      <w:r>
        <w:rPr>
          <w:rtl/>
        </w:rPr>
        <w:t>–</w:t>
      </w:r>
    </w:p>
    <w:p w14:paraId="3102B94F" w14:textId="77777777" w:rsidR="0055616F" w:rsidRPr="003A0395" w:rsidRDefault="0055616F" w:rsidP="0055616F">
      <w:pPr>
        <w:spacing w:line="360" w:lineRule="auto"/>
        <w:jc w:val="both"/>
        <w:rPr>
          <w:rFonts w:ascii="David" w:hAnsi="David"/>
        </w:rPr>
      </w:pPr>
      <w:r w:rsidRPr="003A0395">
        <w:rPr>
          <w:rFonts w:hint="cs"/>
          <w:b/>
          <w:bCs/>
          <w:rtl/>
        </w:rPr>
        <w:t>"'הסכנה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w:t>
      </w:r>
      <w:hyperlink r:id="rId15" w:history="1">
        <w:r w:rsidR="00E41849" w:rsidRPr="00E41849">
          <w:rPr>
            <w:b/>
            <w:bCs/>
            <w:color w:val="0000FF"/>
            <w:u w:val="single"/>
            <w:rtl/>
          </w:rPr>
          <w:t>ע"פ 1323/13</w:t>
        </w:r>
      </w:hyperlink>
      <w:r w:rsidRPr="003A0395">
        <w:rPr>
          <w:b/>
          <w:bCs/>
          <w:rtl/>
        </w:rPr>
        <w:t xml:space="preserve"> </w:t>
      </w:r>
      <w:r w:rsidRPr="003A0395">
        <w:rPr>
          <w:rFonts w:ascii="Century" w:hAnsi="Century" w:cs="Miriam"/>
          <w:b/>
          <w:bCs/>
          <w:rtl/>
        </w:rPr>
        <w:t>חסן נ' מדינת ישראל</w:t>
      </w:r>
      <w:r w:rsidRPr="003A0395">
        <w:rPr>
          <w:rFonts w:hint="cs"/>
          <w:b/>
          <w:bCs/>
          <w:rtl/>
        </w:rPr>
        <w:t>, פסקה 12 (5.6.2013)). 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hyperlink r:id="rId16" w:history="1">
        <w:r w:rsidR="00E41849" w:rsidRPr="00E41849">
          <w:rPr>
            <w:b/>
            <w:bCs/>
            <w:color w:val="0000FF"/>
            <w:u w:val="single"/>
            <w:rtl/>
          </w:rPr>
          <w:t>ע"פ 2918/13</w:t>
        </w:r>
      </w:hyperlink>
      <w:r w:rsidRPr="003A0395">
        <w:rPr>
          <w:rFonts w:hint="cs"/>
          <w:b/>
          <w:bCs/>
          <w:rtl/>
        </w:rPr>
        <w:t xml:space="preserve"> </w:t>
      </w:r>
      <w:r w:rsidRPr="003A0395">
        <w:rPr>
          <w:rFonts w:ascii="Century" w:hAnsi="Century" w:cs="Miriam" w:hint="cs"/>
          <w:b/>
          <w:bCs/>
          <w:rtl/>
        </w:rPr>
        <w:t>דבס נ' מדינת ישראל</w:t>
      </w:r>
      <w:r>
        <w:rPr>
          <w:rFonts w:hint="cs"/>
          <w:b/>
          <w:bCs/>
          <w:rtl/>
        </w:rPr>
        <w:t>, פסקה 8 (18.7.2013))"</w:t>
      </w:r>
      <w:r>
        <w:rPr>
          <w:rFonts w:hint="cs"/>
          <w:rtl/>
        </w:rPr>
        <w:t>.</w:t>
      </w:r>
    </w:p>
    <w:p w14:paraId="508BCE3C" w14:textId="77777777" w:rsidR="0055616F" w:rsidRPr="003A0395" w:rsidRDefault="0055616F" w:rsidP="0055616F">
      <w:pPr>
        <w:spacing w:line="360" w:lineRule="auto"/>
        <w:jc w:val="both"/>
        <w:rPr>
          <w:rFonts w:ascii="David" w:hAnsi="David"/>
          <w:rtl/>
        </w:rPr>
      </w:pPr>
    </w:p>
    <w:p w14:paraId="1E73B907" w14:textId="77777777" w:rsidR="0055616F" w:rsidRDefault="0055616F" w:rsidP="0055616F">
      <w:pPr>
        <w:spacing w:line="360" w:lineRule="auto"/>
        <w:jc w:val="both"/>
        <w:rPr>
          <w:rFonts w:ascii="David" w:hAnsi="David"/>
          <w:rtl/>
        </w:rPr>
      </w:pPr>
      <w:r>
        <w:rPr>
          <w:rFonts w:ascii="David" w:hAnsi="David" w:hint="cs"/>
          <w:rtl/>
        </w:rPr>
        <w:t xml:space="preserve">וכן </w:t>
      </w:r>
      <w:r>
        <w:rPr>
          <w:rFonts w:ascii="David" w:hAnsi="David"/>
          <w:rtl/>
        </w:rPr>
        <w:t>–</w:t>
      </w:r>
    </w:p>
    <w:p w14:paraId="588E043A" w14:textId="77777777" w:rsidR="0055616F" w:rsidRDefault="0055616F" w:rsidP="0055616F">
      <w:pPr>
        <w:spacing w:line="360" w:lineRule="auto"/>
        <w:jc w:val="both"/>
        <w:rPr>
          <w:rFonts w:ascii="David" w:hAnsi="David"/>
          <w:rtl/>
        </w:rPr>
      </w:pPr>
      <w:r>
        <w:rPr>
          <w:rFonts w:hint="cs"/>
          <w:b/>
          <w:bCs/>
          <w:rtl/>
        </w:rPr>
        <w:t>"</w:t>
      </w:r>
      <w:r w:rsidRPr="003A0395">
        <w:rPr>
          <w:rFonts w:hint="cs"/>
          <w:b/>
          <w:bCs/>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w:t>
      </w:r>
      <w:r w:rsidRPr="003A0395">
        <w:rPr>
          <w:b/>
          <w:bCs/>
          <w:rtl/>
        </w:rPr>
        <w:t>–</w:t>
      </w:r>
      <w:r w:rsidRPr="003A0395">
        <w:rPr>
          <w:rFonts w:hint="cs"/>
          <w:b/>
          <w:bCs/>
          <w:rtl/>
        </w:rPr>
        <w:t xml:space="preserve">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כל מקרה לגופו, לפי נסיבותיו ומידת אשמו של הנאשם"</w:t>
      </w:r>
      <w:r>
        <w:rPr>
          <w:rFonts w:hint="cs"/>
          <w:rtl/>
        </w:rPr>
        <w:t xml:space="preserve"> (</w:t>
      </w:r>
      <w:hyperlink r:id="rId17" w:history="1">
        <w:r w:rsidR="00E41849" w:rsidRPr="00E41849">
          <w:rPr>
            <w:color w:val="0000FF"/>
            <w:u w:val="single"/>
            <w:rtl/>
          </w:rPr>
          <w:t>ע"פ 1323/13</w:t>
        </w:r>
      </w:hyperlink>
      <w:r>
        <w:rPr>
          <w:rFonts w:hint="cs"/>
          <w:rtl/>
        </w:rPr>
        <w:t xml:space="preserve"> </w:t>
      </w:r>
      <w:r w:rsidRPr="003A0395">
        <w:rPr>
          <w:rFonts w:hint="cs"/>
          <w:b/>
          <w:bCs/>
          <w:rtl/>
        </w:rPr>
        <w:t>חסן ואח' נ' מדינת ישראל</w:t>
      </w:r>
      <w:r>
        <w:rPr>
          <w:rFonts w:hint="cs"/>
          <w:rtl/>
        </w:rPr>
        <w:t xml:space="preserve"> (5.6.13)</w:t>
      </w:r>
      <w:r>
        <w:rPr>
          <w:rFonts w:ascii="David" w:hAnsi="David" w:hint="cs"/>
          <w:rtl/>
        </w:rPr>
        <w:t>).</w:t>
      </w:r>
    </w:p>
    <w:p w14:paraId="5B45183C" w14:textId="77777777" w:rsidR="0055616F" w:rsidRDefault="0055616F" w:rsidP="0055616F">
      <w:pPr>
        <w:spacing w:line="360" w:lineRule="auto"/>
        <w:jc w:val="both"/>
        <w:rPr>
          <w:rFonts w:ascii="David" w:hAnsi="David"/>
          <w:rtl/>
        </w:rPr>
      </w:pPr>
    </w:p>
    <w:p w14:paraId="04BF969C" w14:textId="77777777" w:rsidR="0055616F" w:rsidRDefault="0055616F" w:rsidP="0055616F">
      <w:pPr>
        <w:spacing w:line="360" w:lineRule="auto"/>
        <w:jc w:val="both"/>
        <w:rPr>
          <w:rFonts w:ascii="David" w:hAnsi="David"/>
          <w:rtl/>
        </w:rPr>
      </w:pPr>
      <w:r>
        <w:rPr>
          <w:rFonts w:ascii="David" w:hAnsi="David" w:hint="cs"/>
          <w:rtl/>
        </w:rPr>
        <w:t xml:space="preserve">לצד אלה, כאמור, הנחתה הפסיקה לתת את הדעת על סוג הנשק המוחזק, התכלית שלשמה הוא מוחזק, משך הזמן והסכנה הנשקפת ממנו </w:t>
      </w:r>
      <w:r>
        <w:rPr>
          <w:rFonts w:ascii="David" w:hAnsi="David"/>
          <w:rtl/>
        </w:rPr>
        <w:t>–</w:t>
      </w:r>
    </w:p>
    <w:p w14:paraId="450185DC" w14:textId="77777777" w:rsidR="0055616F" w:rsidRDefault="0055616F" w:rsidP="0055616F">
      <w:pPr>
        <w:spacing w:line="360" w:lineRule="auto"/>
        <w:jc w:val="both"/>
        <w:rPr>
          <w:rFonts w:ascii="David" w:hAnsi="David"/>
          <w:rtl/>
        </w:rPr>
      </w:pPr>
      <w:r w:rsidRPr="003A0395">
        <w:rPr>
          <w:rFonts w:ascii="David" w:hAnsi="David" w:hint="cs"/>
          <w:b/>
          <w:bCs/>
          <w:rtl/>
        </w:rPr>
        <w:t>"בבוא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w:t>
      </w:r>
      <w:r>
        <w:rPr>
          <w:rFonts w:ascii="David" w:hAnsi="David" w:hint="cs"/>
          <w:rtl/>
        </w:rPr>
        <w:t xml:space="preserve"> (ע"פ </w:t>
      </w:r>
      <w:hyperlink r:id="rId18" w:history="1">
        <w:r w:rsidR="00377E41" w:rsidRPr="00377E41">
          <w:rPr>
            <w:rFonts w:ascii="David" w:hAnsi="David"/>
            <w:color w:val="0000FF"/>
            <w:u w:val="single"/>
            <w:rtl/>
          </w:rPr>
          <w:t xml:space="preserve">1332/04 </w:t>
        </w:r>
      </w:hyperlink>
      <w:r>
        <w:rPr>
          <w:rFonts w:ascii="David" w:hAnsi="David" w:hint="cs"/>
          <w:rtl/>
        </w:rPr>
        <w:t xml:space="preserve"> </w:t>
      </w:r>
      <w:r w:rsidRPr="003A0395">
        <w:rPr>
          <w:rFonts w:ascii="David" w:hAnsi="David" w:hint="cs"/>
          <w:b/>
          <w:bCs/>
          <w:rtl/>
        </w:rPr>
        <w:t>פס נ' מדינת ישראל</w:t>
      </w:r>
      <w:r>
        <w:rPr>
          <w:rFonts w:ascii="David" w:hAnsi="David" w:hint="cs"/>
          <w:rtl/>
        </w:rPr>
        <w:t xml:space="preserve"> (19.4.04)).</w:t>
      </w:r>
    </w:p>
    <w:p w14:paraId="667922AF" w14:textId="77777777" w:rsidR="0055616F" w:rsidRPr="00294FBD" w:rsidRDefault="0055616F" w:rsidP="0055616F">
      <w:pPr>
        <w:spacing w:line="360" w:lineRule="auto"/>
        <w:jc w:val="both"/>
        <w:rPr>
          <w:rFonts w:ascii="David" w:hAnsi="David"/>
          <w:rtl/>
        </w:rPr>
      </w:pPr>
    </w:p>
    <w:p w14:paraId="503484A4" w14:textId="77777777" w:rsidR="0055616F" w:rsidRDefault="0055616F" w:rsidP="0055616F">
      <w:pPr>
        <w:spacing w:line="360" w:lineRule="auto"/>
        <w:jc w:val="both"/>
        <w:rPr>
          <w:rFonts w:ascii="David" w:hAnsi="David"/>
          <w:rtl/>
        </w:rPr>
      </w:pPr>
      <w:r>
        <w:rPr>
          <w:rFonts w:ascii="David" w:hAnsi="David" w:hint="cs"/>
          <w:rtl/>
        </w:rPr>
        <w:t>7.</w:t>
      </w:r>
      <w:r>
        <w:rPr>
          <w:rFonts w:ascii="David" w:hAnsi="David" w:hint="cs"/>
          <w:rtl/>
        </w:rPr>
        <w:tab/>
        <w:t xml:space="preserve">כאמור, במקרה שלפניי, נסיבות ביצוע העבירה היו חמורות </w:t>
      </w:r>
      <w:r>
        <w:rPr>
          <w:rFonts w:ascii="David" w:hAnsi="David"/>
          <w:rtl/>
        </w:rPr>
        <w:t>–</w:t>
      </w:r>
      <w:r>
        <w:rPr>
          <w:rFonts w:ascii="David" w:hAnsi="David" w:hint="cs"/>
          <w:rtl/>
        </w:rPr>
        <w:t xml:space="preserve"> מדובר בנשק מסוג תת מקלע שפגיעתו רבה יותר מאקדח "רגיל"; לצד הנשק הוחזקה מחסנית טעונה בכדורים; לא ניתן הסבר על ידי הנאשם לסיבת החזקת הנשק והתחמושת ועל כן, לא ניתן לדעת מה עלול היה לעשות בו ולאילו ידיים יתגלגל.</w:t>
      </w:r>
    </w:p>
    <w:p w14:paraId="09D16518" w14:textId="77777777" w:rsidR="0055616F" w:rsidRDefault="0055616F" w:rsidP="0055616F">
      <w:pPr>
        <w:spacing w:line="360" w:lineRule="auto"/>
        <w:jc w:val="both"/>
        <w:rPr>
          <w:rFonts w:ascii="David" w:hAnsi="David"/>
          <w:rtl/>
        </w:rPr>
      </w:pPr>
    </w:p>
    <w:p w14:paraId="411FF135" w14:textId="77777777" w:rsidR="0055616F" w:rsidRDefault="0055616F" w:rsidP="0055616F">
      <w:pPr>
        <w:spacing w:line="360" w:lineRule="auto"/>
        <w:jc w:val="both"/>
        <w:rPr>
          <w:rFonts w:ascii="David" w:hAnsi="David"/>
          <w:rtl/>
        </w:rPr>
      </w:pPr>
      <w:r>
        <w:rPr>
          <w:rFonts w:ascii="David" w:hAnsi="David" w:hint="cs"/>
          <w:rtl/>
        </w:rPr>
        <w:t>8.</w:t>
      </w:r>
      <w:r>
        <w:rPr>
          <w:rFonts w:ascii="David" w:hAnsi="David" w:hint="cs"/>
          <w:rtl/>
        </w:rPr>
        <w:tab/>
        <w:t xml:space="preserve">עיון בפסיקה אליה הפנו הצדדים ובפסיקה נוספת הדנה במתחמי ענישה הנוגעים לעבירה של החזקת נשק שלא כדין מעלה כי הגם שהקו המנחה הוא החמרה עם מבצעי העבירות והטלת עונשי מאסר ממושכים, הרי שהמנעד רחב </w:t>
      </w:r>
      <w:r>
        <w:rPr>
          <w:rFonts w:ascii="David" w:hAnsi="David"/>
          <w:rtl/>
        </w:rPr>
        <w:t>–</w:t>
      </w:r>
    </w:p>
    <w:p w14:paraId="01754D88" w14:textId="77777777" w:rsidR="0055616F" w:rsidRDefault="00E41849" w:rsidP="0055616F">
      <w:pPr>
        <w:spacing w:line="360" w:lineRule="auto"/>
        <w:jc w:val="both"/>
        <w:rPr>
          <w:rFonts w:ascii="David" w:hAnsi="David"/>
          <w:rtl/>
        </w:rPr>
      </w:pPr>
      <w:hyperlink r:id="rId19" w:history="1">
        <w:r w:rsidRPr="00E41849">
          <w:rPr>
            <w:rFonts w:ascii="David" w:hAnsi="David"/>
            <w:color w:val="0000FF"/>
            <w:u w:val="single"/>
            <w:rtl/>
          </w:rPr>
          <w:t>ת"פ (י-ם) 63000-01-18</w:t>
        </w:r>
      </w:hyperlink>
      <w:r w:rsidR="0055616F">
        <w:rPr>
          <w:rFonts w:ascii="David" w:hAnsi="David" w:hint="cs"/>
          <w:rtl/>
        </w:rPr>
        <w:t xml:space="preserve"> </w:t>
      </w:r>
      <w:r w:rsidR="0055616F">
        <w:rPr>
          <w:rFonts w:ascii="David" w:hAnsi="David" w:hint="cs"/>
          <w:b/>
          <w:bCs/>
          <w:rtl/>
        </w:rPr>
        <w:t>מדינת ישראל נ' זאיד</w:t>
      </w:r>
      <w:r w:rsidR="0055616F">
        <w:rPr>
          <w:rFonts w:ascii="David" w:hAnsi="David" w:hint="cs"/>
          <w:rtl/>
        </w:rPr>
        <w:t xml:space="preserve"> (17.5.18) </w:t>
      </w:r>
      <w:r w:rsidR="0055616F">
        <w:rPr>
          <w:rFonts w:ascii="David" w:hAnsi="David"/>
          <w:rtl/>
        </w:rPr>
        <w:t>–</w:t>
      </w:r>
      <w:r w:rsidR="0055616F">
        <w:rPr>
          <w:rFonts w:ascii="David" w:hAnsi="David" w:hint="cs"/>
          <w:rtl/>
        </w:rPr>
        <w:t xml:space="preserve"> החזקת תת מקלע מסוג "קרלו", הודאה, נאשם נעדר עבר פלילי, מתחם ענישה 20-8 חודשים, נגזרו 8 חודשי מאסר.</w:t>
      </w:r>
    </w:p>
    <w:p w14:paraId="0C2C14A1" w14:textId="77777777" w:rsidR="0055616F" w:rsidRDefault="00E41849" w:rsidP="0055616F">
      <w:pPr>
        <w:spacing w:line="360" w:lineRule="auto"/>
        <w:jc w:val="both"/>
        <w:rPr>
          <w:rFonts w:ascii="David" w:hAnsi="David"/>
          <w:rtl/>
        </w:rPr>
      </w:pPr>
      <w:hyperlink r:id="rId20" w:history="1">
        <w:r w:rsidRPr="00E41849">
          <w:rPr>
            <w:rFonts w:ascii="David" w:hAnsi="David"/>
            <w:color w:val="0000FF"/>
            <w:u w:val="single"/>
            <w:rtl/>
          </w:rPr>
          <w:t>ת"פ (כפ"ס) 46550-12-16</w:t>
        </w:r>
      </w:hyperlink>
      <w:r w:rsidR="0055616F">
        <w:rPr>
          <w:rFonts w:ascii="David" w:hAnsi="David" w:hint="cs"/>
          <w:rtl/>
        </w:rPr>
        <w:t xml:space="preserve"> </w:t>
      </w:r>
      <w:r w:rsidR="0055616F">
        <w:rPr>
          <w:rFonts w:ascii="David" w:hAnsi="David" w:hint="cs"/>
          <w:b/>
          <w:bCs/>
          <w:rtl/>
        </w:rPr>
        <w:t>מדינת ישראל נ' סולטאן</w:t>
      </w:r>
      <w:r w:rsidR="0055616F">
        <w:rPr>
          <w:rFonts w:ascii="David" w:hAnsi="David" w:hint="cs"/>
          <w:rtl/>
        </w:rPr>
        <w:t xml:space="preserve"> (4.2.20) </w:t>
      </w:r>
      <w:r w:rsidR="0055616F">
        <w:rPr>
          <w:rFonts w:ascii="David" w:hAnsi="David"/>
          <w:rtl/>
        </w:rPr>
        <w:t>–</w:t>
      </w:r>
      <w:r w:rsidR="0055616F">
        <w:rPr>
          <w:rFonts w:ascii="David" w:hAnsi="David" w:hint="cs"/>
          <w:rtl/>
        </w:rPr>
        <w:t xml:space="preserve"> החזקת תת מקלע מסוג "קרלו", הודאה, נאשם נעדר עבר פלילי, מתחם 32-12 חודשי מאסר, נגזרו 12 חודשי מאסר. ערעור נדחה.</w:t>
      </w:r>
    </w:p>
    <w:p w14:paraId="12201D23" w14:textId="77777777" w:rsidR="0055616F" w:rsidRDefault="00E41849" w:rsidP="0055616F">
      <w:pPr>
        <w:spacing w:line="360" w:lineRule="auto"/>
        <w:jc w:val="both"/>
        <w:rPr>
          <w:rFonts w:ascii="David" w:hAnsi="David"/>
          <w:rtl/>
        </w:rPr>
      </w:pPr>
      <w:hyperlink r:id="rId21" w:history="1">
        <w:r w:rsidRPr="00E41849">
          <w:rPr>
            <w:rFonts w:ascii="David" w:hAnsi="David"/>
            <w:color w:val="0000FF"/>
            <w:u w:val="single"/>
            <w:rtl/>
          </w:rPr>
          <w:t>ת"פ (כפ"ס) 65958-12-15</w:t>
        </w:r>
      </w:hyperlink>
      <w:r w:rsidR="0055616F">
        <w:rPr>
          <w:rFonts w:ascii="David" w:hAnsi="David" w:hint="cs"/>
          <w:rtl/>
        </w:rPr>
        <w:t xml:space="preserve"> </w:t>
      </w:r>
      <w:r w:rsidR="0055616F">
        <w:rPr>
          <w:rFonts w:ascii="David" w:hAnsi="David" w:hint="cs"/>
          <w:b/>
          <w:bCs/>
          <w:rtl/>
        </w:rPr>
        <w:t>מדינת ישראל נ' חאג' יחיא</w:t>
      </w:r>
      <w:r w:rsidR="0055616F">
        <w:rPr>
          <w:rFonts w:ascii="David" w:hAnsi="David" w:hint="cs"/>
          <w:rtl/>
        </w:rPr>
        <w:t xml:space="preserve"> (21.6.17) </w:t>
      </w:r>
      <w:r w:rsidR="0055616F">
        <w:rPr>
          <w:rFonts w:ascii="David" w:hAnsi="David"/>
          <w:rtl/>
        </w:rPr>
        <w:t>–</w:t>
      </w:r>
      <w:r w:rsidR="0055616F">
        <w:rPr>
          <w:rFonts w:ascii="David" w:hAnsi="David" w:hint="cs"/>
          <w:rtl/>
        </w:rPr>
        <w:t xml:space="preserve"> החזקת תת מקלע "קרלו", שני אקדחים, אחד טעון במחסנית ו-2 מחסניות, אחת מלאה ואחת ריקה, הודאה, הנאשם נעדר עבר פלילי, מתחם 36-18 חודשי מאסר, נגזרו 20 חודשי מאסר. ערעור נדחה.</w:t>
      </w:r>
    </w:p>
    <w:p w14:paraId="750A92FA" w14:textId="77777777" w:rsidR="0055616F" w:rsidRDefault="00E41849" w:rsidP="0055616F">
      <w:pPr>
        <w:spacing w:line="360" w:lineRule="auto"/>
        <w:jc w:val="both"/>
        <w:rPr>
          <w:rFonts w:ascii="David" w:hAnsi="David"/>
          <w:rtl/>
        </w:rPr>
      </w:pPr>
      <w:hyperlink r:id="rId22" w:history="1">
        <w:r w:rsidRPr="00E41849">
          <w:rPr>
            <w:rFonts w:ascii="David" w:hAnsi="David"/>
            <w:color w:val="0000FF"/>
            <w:u w:val="single"/>
            <w:rtl/>
          </w:rPr>
          <w:t>ת"פ (מחוזי ת"א) 1647-05-15</w:t>
        </w:r>
      </w:hyperlink>
      <w:r w:rsidR="0055616F">
        <w:rPr>
          <w:rFonts w:ascii="David" w:hAnsi="David" w:hint="cs"/>
          <w:rtl/>
        </w:rPr>
        <w:t xml:space="preserve"> </w:t>
      </w:r>
      <w:r w:rsidR="0055616F">
        <w:rPr>
          <w:rFonts w:ascii="David" w:hAnsi="David" w:hint="cs"/>
          <w:b/>
          <w:bCs/>
          <w:rtl/>
        </w:rPr>
        <w:t>מדינת ישראל נ' אבו רמדאן</w:t>
      </w:r>
      <w:r w:rsidR="0055616F">
        <w:rPr>
          <w:rFonts w:ascii="David" w:hAnsi="David" w:hint="cs"/>
          <w:rtl/>
        </w:rPr>
        <w:t xml:space="preserve"> (21.2.16) </w:t>
      </w:r>
      <w:r w:rsidR="0055616F">
        <w:rPr>
          <w:rFonts w:ascii="David" w:hAnsi="David"/>
          <w:rtl/>
        </w:rPr>
        <w:t>–</w:t>
      </w:r>
      <w:r w:rsidR="0055616F">
        <w:rPr>
          <w:rFonts w:ascii="David" w:hAnsi="David" w:hint="cs"/>
          <w:rtl/>
        </w:rPr>
        <w:t xml:space="preserve"> החזקת תת מקלע מאולתר ובו מחסנית, הודאה, נאשם נעדר עבר פלילי, מתחם 8-30 חודשי מאסר, נגזרו 12 חודשי מאסר.</w:t>
      </w:r>
    </w:p>
    <w:p w14:paraId="31B57F6A" w14:textId="77777777" w:rsidR="0055616F" w:rsidRDefault="00E41849" w:rsidP="0055616F">
      <w:pPr>
        <w:spacing w:line="360" w:lineRule="auto"/>
        <w:jc w:val="both"/>
        <w:rPr>
          <w:rFonts w:ascii="David" w:hAnsi="David"/>
          <w:rtl/>
        </w:rPr>
      </w:pPr>
      <w:hyperlink r:id="rId23" w:history="1">
        <w:r w:rsidRPr="00E41849">
          <w:rPr>
            <w:rFonts w:ascii="David" w:hAnsi="David"/>
            <w:color w:val="0000FF"/>
            <w:u w:val="single"/>
            <w:rtl/>
          </w:rPr>
          <w:t>ת"פ (מחוזי ב"ש) 53496-03-18</w:t>
        </w:r>
      </w:hyperlink>
      <w:r w:rsidR="0055616F">
        <w:rPr>
          <w:rFonts w:ascii="David" w:hAnsi="David" w:hint="cs"/>
          <w:rtl/>
        </w:rPr>
        <w:t xml:space="preserve"> </w:t>
      </w:r>
      <w:r w:rsidR="0055616F">
        <w:rPr>
          <w:rFonts w:ascii="David" w:hAnsi="David" w:hint="cs"/>
          <w:b/>
          <w:bCs/>
          <w:rtl/>
        </w:rPr>
        <w:t>מדינת ישראל נ' אבו עסא</w:t>
      </w:r>
      <w:r w:rsidR="0055616F">
        <w:rPr>
          <w:rFonts w:ascii="David" w:hAnsi="David" w:hint="cs"/>
          <w:rtl/>
        </w:rPr>
        <w:t xml:space="preserve"> (6.2.19) </w:t>
      </w:r>
      <w:r w:rsidR="0055616F">
        <w:rPr>
          <w:rFonts w:ascii="David" w:hAnsi="David"/>
          <w:rtl/>
        </w:rPr>
        <w:t>–</w:t>
      </w:r>
      <w:r w:rsidR="0055616F">
        <w:rPr>
          <w:rFonts w:ascii="David" w:hAnsi="David" w:hint="cs"/>
          <w:rtl/>
        </w:rPr>
        <w:t xml:space="preserve"> החזקת נשק מאולתר אוטומאטי, הודאה, נאשם נעדר עבר פלילי, מתחם 36-15, נגזרו 18 חודשי מאסר.</w:t>
      </w:r>
    </w:p>
    <w:p w14:paraId="1AE5C7AC" w14:textId="77777777" w:rsidR="0055616F" w:rsidRDefault="0055616F" w:rsidP="0055616F">
      <w:pPr>
        <w:spacing w:line="360" w:lineRule="auto"/>
        <w:jc w:val="both"/>
        <w:rPr>
          <w:rFonts w:ascii="David" w:hAnsi="David"/>
          <w:rtl/>
        </w:rPr>
      </w:pPr>
    </w:p>
    <w:p w14:paraId="7C29D3DE" w14:textId="77777777" w:rsidR="0055616F" w:rsidRPr="00C02BDF" w:rsidRDefault="0055616F" w:rsidP="0055616F">
      <w:pPr>
        <w:spacing w:line="360" w:lineRule="auto"/>
        <w:jc w:val="both"/>
        <w:rPr>
          <w:rFonts w:ascii="David" w:hAnsi="David"/>
          <w:rtl/>
        </w:rPr>
      </w:pPr>
      <w:r>
        <w:rPr>
          <w:rFonts w:ascii="David" w:hAnsi="David" w:hint="cs"/>
          <w:rtl/>
        </w:rPr>
        <w:t>9.</w:t>
      </w:r>
      <w:r>
        <w:rPr>
          <w:rFonts w:ascii="David" w:hAnsi="David" w:hint="cs"/>
          <w:rtl/>
        </w:rPr>
        <w:tab/>
        <w:t xml:space="preserve">נוכח הערכים החברתיים המוגנים, הנסיבות הקשורות בביצוע העבירה ומדיניות הענישה הנוהגת, </w:t>
      </w:r>
      <w:r w:rsidRPr="00733B8A">
        <w:rPr>
          <w:rFonts w:ascii="David" w:hAnsi="David" w:hint="cs"/>
          <w:b/>
          <w:bCs/>
          <w:rtl/>
        </w:rPr>
        <w:t>אני קובע כי מתחם העונש ההולם נע בין 15 ל-36 חודשי מאסר</w:t>
      </w:r>
      <w:r>
        <w:rPr>
          <w:rFonts w:ascii="David" w:hAnsi="David" w:hint="cs"/>
          <w:rtl/>
        </w:rPr>
        <w:t>.</w:t>
      </w:r>
    </w:p>
    <w:p w14:paraId="6BB1E94D" w14:textId="77777777" w:rsidR="0055616F" w:rsidRDefault="0055616F" w:rsidP="0055616F">
      <w:pPr>
        <w:spacing w:line="360" w:lineRule="auto"/>
        <w:jc w:val="both"/>
        <w:rPr>
          <w:rFonts w:ascii="David" w:hAnsi="David"/>
          <w:rtl/>
        </w:rPr>
      </w:pPr>
    </w:p>
    <w:p w14:paraId="23502057" w14:textId="77777777" w:rsidR="0055616F" w:rsidRDefault="0055616F" w:rsidP="0055616F">
      <w:pPr>
        <w:spacing w:line="360" w:lineRule="auto"/>
        <w:jc w:val="both"/>
        <w:rPr>
          <w:rFonts w:ascii="David" w:hAnsi="David"/>
          <w:rtl/>
        </w:rPr>
      </w:pPr>
      <w:r>
        <w:rPr>
          <w:rFonts w:ascii="David" w:hAnsi="David" w:hint="cs"/>
          <w:rtl/>
        </w:rPr>
        <w:t>10.</w:t>
      </w:r>
      <w:r>
        <w:rPr>
          <w:rFonts w:ascii="David" w:hAnsi="David" w:hint="cs"/>
          <w:rtl/>
        </w:rPr>
        <w:tab/>
      </w:r>
      <w:r w:rsidRPr="00B33446">
        <w:rPr>
          <w:rFonts w:ascii="David" w:hAnsi="David" w:hint="cs"/>
          <w:b/>
          <w:bCs/>
          <w:u w:val="single"/>
          <w:rtl/>
        </w:rPr>
        <w:t>באשר לנסיבות שאינן קשורות בביצוע העבירות</w:t>
      </w:r>
      <w:r>
        <w:rPr>
          <w:rFonts w:ascii="David" w:hAnsi="David" w:hint="cs"/>
          <w:rtl/>
        </w:rPr>
        <w:t xml:space="preserve"> </w:t>
      </w:r>
      <w:r>
        <w:rPr>
          <w:rFonts w:ascii="David" w:hAnsi="David"/>
          <w:rtl/>
        </w:rPr>
        <w:t>–</w:t>
      </w:r>
      <w:r>
        <w:rPr>
          <w:rFonts w:ascii="David" w:hAnsi="David" w:hint="cs"/>
          <w:rtl/>
        </w:rPr>
        <w:t xml:space="preserve"> אני נותן משקל לעובדה שהנאשם הודה בביצוע העבירה, הביע חרטה כנה והתנצל. כמו כן, אני נותן משקל לכך שהודאתו הביאה לחסכון בזמן שיפוטי יקר, חסכה מזמנה של התביעה ומזמנם של העדים. כמו כן, אני נותן משקל לנסיבותיו האישיות של הנאשם, להיותו אב ל-5 ילידים קטינים ולעובדה שלאחרונה נולדה לו בת אותה לא ראה עקב היותו נתון במאסר.</w:t>
      </w:r>
    </w:p>
    <w:p w14:paraId="53F57CB3" w14:textId="77777777" w:rsidR="0055616F" w:rsidRDefault="0055616F" w:rsidP="0055616F">
      <w:pPr>
        <w:spacing w:line="360" w:lineRule="auto"/>
        <w:jc w:val="both"/>
        <w:rPr>
          <w:rFonts w:ascii="David" w:hAnsi="David"/>
          <w:rtl/>
        </w:rPr>
      </w:pPr>
    </w:p>
    <w:p w14:paraId="0BBDC9BB" w14:textId="77777777" w:rsidR="0055616F" w:rsidRDefault="0055616F" w:rsidP="0055616F">
      <w:pPr>
        <w:spacing w:line="360" w:lineRule="auto"/>
        <w:jc w:val="both"/>
        <w:rPr>
          <w:rFonts w:ascii="David" w:hAnsi="David"/>
          <w:rtl/>
        </w:rPr>
      </w:pPr>
      <w:r>
        <w:rPr>
          <w:rFonts w:ascii="David" w:hAnsi="David" w:hint="cs"/>
          <w:rtl/>
        </w:rPr>
        <w:t>11.</w:t>
      </w:r>
      <w:r>
        <w:rPr>
          <w:rFonts w:ascii="David" w:hAnsi="David" w:hint="cs"/>
          <w:rtl/>
        </w:rPr>
        <w:tab/>
        <w:t xml:space="preserve">מנגד, לא ניתן להתעלם מהעובדה שהנאשם נמצא בתהליך של התדרדרות, כשהוא שב ומסתבך בביצוע עבירות פליליות חמורות (נשק וסמים), ושנשקפת ממנו סכנה לציבור </w:t>
      </w:r>
      <w:r>
        <w:rPr>
          <w:rFonts w:ascii="David" w:hAnsi="David"/>
          <w:rtl/>
        </w:rPr>
        <w:t>–</w:t>
      </w:r>
      <w:r>
        <w:rPr>
          <w:rFonts w:ascii="David" w:hAnsi="David" w:hint="cs"/>
          <w:rtl/>
        </w:rPr>
        <w:t xml:space="preserve"> במרץ 2017 הוא נדון ל-36 חודשי מאסר בגין ביצוע עבירות של קשר לפשע (סחר בנשק) ונשיאת נשק. כמו כן, הוטלו עליו 8 חודשי מאסר על תנאי למשך 3 שנים מיום שחרורו שלא יעבור עבירות נשק מסוג פשע; לאחר ששוחרר ממאסרו, שב וביצע עבירה של גידול 50 ק"ג סם מסוכן מסוג קנבוס, בגינה נדון ביולי 2020 ל-15 חודשי מאסר; את העבירה מושא תיק זה ביצע כאשר תלויים ועומדים נגדו 8 חודשי מאסר על תנאי. כיום, נתון הנאשם במאסר בן 15 חודשים (מיום 21.7.20) בגין תיק הסמים.</w:t>
      </w:r>
    </w:p>
    <w:p w14:paraId="0AF0B13A" w14:textId="77777777" w:rsidR="0055616F" w:rsidRDefault="0055616F" w:rsidP="0055616F">
      <w:pPr>
        <w:spacing w:line="360" w:lineRule="auto"/>
        <w:jc w:val="both"/>
        <w:rPr>
          <w:rFonts w:ascii="David" w:hAnsi="David"/>
          <w:rtl/>
        </w:rPr>
      </w:pPr>
    </w:p>
    <w:p w14:paraId="4ECBAA94" w14:textId="77777777" w:rsidR="0055616F" w:rsidRDefault="0055616F" w:rsidP="0055616F">
      <w:pPr>
        <w:spacing w:line="360" w:lineRule="auto"/>
        <w:jc w:val="both"/>
        <w:rPr>
          <w:rFonts w:ascii="David" w:hAnsi="David"/>
          <w:rtl/>
        </w:rPr>
      </w:pPr>
      <w:r>
        <w:rPr>
          <w:rFonts w:ascii="David" w:hAnsi="David" w:hint="cs"/>
          <w:rtl/>
        </w:rPr>
        <w:t>12.</w:t>
      </w:r>
      <w:r>
        <w:rPr>
          <w:rFonts w:ascii="David" w:hAnsi="David" w:hint="cs"/>
          <w:rtl/>
        </w:rPr>
        <w:tab/>
        <w:t>נתונים אלה מביאים למסקנה כי יש למקם את עונשו של הנאשם מעל לתחתית מתחם העונש ההולם אותו קבעתי.</w:t>
      </w:r>
    </w:p>
    <w:p w14:paraId="765BC58E" w14:textId="77777777" w:rsidR="0055616F" w:rsidRDefault="0055616F" w:rsidP="0055616F">
      <w:pPr>
        <w:spacing w:line="360" w:lineRule="auto"/>
        <w:jc w:val="both"/>
        <w:rPr>
          <w:rFonts w:ascii="David" w:hAnsi="David"/>
          <w:rtl/>
        </w:rPr>
      </w:pPr>
    </w:p>
    <w:p w14:paraId="39B6D7F7" w14:textId="77777777" w:rsidR="0055616F" w:rsidRPr="00B33446" w:rsidRDefault="0055616F" w:rsidP="0055616F">
      <w:pPr>
        <w:spacing w:line="360" w:lineRule="auto"/>
        <w:jc w:val="both"/>
        <w:rPr>
          <w:rFonts w:ascii="David" w:hAnsi="David"/>
          <w:rtl/>
        </w:rPr>
      </w:pPr>
      <w:r>
        <w:rPr>
          <w:rFonts w:ascii="David" w:hAnsi="David" w:hint="cs"/>
          <w:rtl/>
        </w:rPr>
        <w:t>13.</w:t>
      </w:r>
      <w:r>
        <w:rPr>
          <w:rFonts w:ascii="David" w:hAnsi="David" w:hint="cs"/>
          <w:rtl/>
        </w:rPr>
        <w:tab/>
      </w:r>
      <w:hyperlink r:id="rId24" w:history="1">
        <w:r w:rsidR="004B2E5D" w:rsidRPr="004B2E5D">
          <w:rPr>
            <w:rStyle w:val="Hyperlink"/>
            <w:rFonts w:ascii="David" w:hAnsi="David" w:hint="eastAsia"/>
            <w:rtl/>
          </w:rPr>
          <w:t>סעיף</w:t>
        </w:r>
        <w:r w:rsidR="004B2E5D" w:rsidRPr="004B2E5D">
          <w:rPr>
            <w:rStyle w:val="Hyperlink"/>
            <w:rFonts w:ascii="David" w:hAnsi="David"/>
            <w:rtl/>
          </w:rPr>
          <w:t xml:space="preserve"> 58</w:t>
        </w:r>
      </w:hyperlink>
      <w:r>
        <w:rPr>
          <w:rFonts w:ascii="David" w:hAnsi="David" w:hint="cs"/>
          <w:rtl/>
        </w:rPr>
        <w:t xml:space="preserve"> ל</w:t>
      </w:r>
      <w:hyperlink r:id="rId25" w:history="1">
        <w:r w:rsidR="00E41849" w:rsidRPr="00E41849">
          <w:rPr>
            <w:rFonts w:ascii="David" w:hAnsi="David"/>
            <w:color w:val="0000FF"/>
            <w:u w:val="single"/>
            <w:rtl/>
          </w:rPr>
          <w:t>חוק העונשין</w:t>
        </w:r>
      </w:hyperlink>
      <w:r>
        <w:rPr>
          <w:rFonts w:ascii="David" w:hAnsi="David" w:hint="cs"/>
          <w:rtl/>
        </w:rPr>
        <w:t xml:space="preserve"> קובע </w:t>
      </w:r>
      <w:r>
        <w:rPr>
          <w:rFonts w:ascii="David" w:hAnsi="David"/>
          <w:rtl/>
        </w:rPr>
        <w:t>–</w:t>
      </w:r>
      <w:r>
        <w:rPr>
          <w:rFonts w:ascii="David" w:hAnsi="David" w:hint="cs"/>
          <w:rtl/>
        </w:rPr>
        <w:t xml:space="preserve"> </w:t>
      </w:r>
      <w:r w:rsidRPr="00B33446">
        <w:rPr>
          <w:rFonts w:ascii="David" w:hAnsi="David"/>
          <w:b/>
          <w:bCs/>
          <w:color w:val="000000"/>
          <w:rtl/>
        </w:rPr>
        <w:t>"מי שהוטל עליו עונש מאסר בשל עבירה נוספת והופעל נגדו עונש המאסר על תנאי, ישא, על אף האמור בסעיף 45, את שתי תקופות המאסר בזו אחר זו, זולת אם בית המשפט שהרשיעו בשל העבירה הנוספת ציווה, מטעמים שיירשמו, ששתי התקופות כולן או מקצתן יהיו חופפות</w:t>
      </w:r>
      <w:r w:rsidRPr="00B33446">
        <w:rPr>
          <w:rFonts w:ascii="David" w:hAnsi="David"/>
          <w:b/>
          <w:bCs/>
          <w:rtl/>
        </w:rPr>
        <w:t>"</w:t>
      </w:r>
      <w:r>
        <w:rPr>
          <w:rFonts w:ascii="David" w:hAnsi="David" w:hint="cs"/>
          <w:rtl/>
        </w:rPr>
        <w:t>.</w:t>
      </w:r>
    </w:p>
    <w:p w14:paraId="3687F07A" w14:textId="77777777" w:rsidR="0055616F" w:rsidRDefault="0055616F" w:rsidP="0055616F">
      <w:pPr>
        <w:spacing w:line="360" w:lineRule="auto"/>
        <w:jc w:val="both"/>
        <w:rPr>
          <w:rFonts w:ascii="David" w:hAnsi="David"/>
          <w:rtl/>
        </w:rPr>
      </w:pPr>
      <w:r>
        <w:rPr>
          <w:rFonts w:ascii="David" w:hAnsi="David" w:hint="cs"/>
          <w:rtl/>
        </w:rPr>
        <w:t xml:space="preserve">בענייננו, קשה למצוא טעמים מיוחדים לחפיפה מלאה או משמעותית של עונש המאסר על תנאי שיופעל לעונש המאסר שיוטל על הנאשם, שכן הנאשם שב וביצע, בתוך תקופת התנאי, עבירה דומה עד זהה לעבירה אותה ביצע בתיק הקודם, כאשר תקופת התנאי שהוטלה אינה בלתי מידתית. אם בכל זאת החלטתי לחפוף </w:t>
      </w:r>
      <w:r w:rsidRPr="00282082">
        <w:rPr>
          <w:rFonts w:ascii="David" w:hAnsi="David" w:hint="cs"/>
          <w:u w:val="single"/>
          <w:rtl/>
        </w:rPr>
        <w:t>תקופה קצרה</w:t>
      </w:r>
      <w:r>
        <w:rPr>
          <w:rFonts w:ascii="David" w:hAnsi="David" w:hint="cs"/>
          <w:rtl/>
        </w:rPr>
        <w:t xml:space="preserve"> מתקופת התנאי לעונש המאסר שיוטל, הרי שאעשה כן על מנת לעודד את הנאשם לנתק קשריו העברייניים עם אחרים, כפי שהתחייב לעשות, וליתן לו הזדמנות להוכיח שהפעם אכן פניו לחיי עבודה ומשפחה.</w:t>
      </w:r>
    </w:p>
    <w:p w14:paraId="182158AE" w14:textId="77777777" w:rsidR="0055616F" w:rsidRDefault="0055616F" w:rsidP="0055616F">
      <w:pPr>
        <w:spacing w:line="360" w:lineRule="auto"/>
        <w:jc w:val="both"/>
        <w:rPr>
          <w:rFonts w:ascii="David" w:hAnsi="David"/>
          <w:rtl/>
        </w:rPr>
      </w:pPr>
    </w:p>
    <w:p w14:paraId="5253D550" w14:textId="77777777" w:rsidR="0055616F" w:rsidRPr="00733B8A" w:rsidRDefault="0055616F" w:rsidP="0055616F">
      <w:pPr>
        <w:spacing w:line="360" w:lineRule="auto"/>
        <w:jc w:val="both"/>
        <w:rPr>
          <w:rFonts w:ascii="David" w:hAnsi="David"/>
          <w:rtl/>
        </w:rPr>
      </w:pPr>
      <w:r>
        <w:rPr>
          <w:rFonts w:ascii="David" w:hAnsi="David" w:hint="cs"/>
          <w:rtl/>
        </w:rPr>
        <w:t>14.</w:t>
      </w:r>
      <w:r>
        <w:rPr>
          <w:rFonts w:ascii="David" w:hAnsi="David" w:hint="cs"/>
          <w:rtl/>
        </w:rPr>
        <w:tab/>
      </w:r>
      <w:hyperlink r:id="rId26" w:history="1">
        <w:r w:rsidR="004B2E5D" w:rsidRPr="004B2E5D">
          <w:rPr>
            <w:rStyle w:val="Hyperlink"/>
            <w:rFonts w:ascii="David" w:hAnsi="David" w:hint="eastAsia"/>
            <w:rtl/>
          </w:rPr>
          <w:t>סעיף</w:t>
        </w:r>
        <w:r w:rsidR="004B2E5D" w:rsidRPr="004B2E5D">
          <w:rPr>
            <w:rStyle w:val="Hyperlink"/>
            <w:rFonts w:ascii="David" w:hAnsi="David"/>
            <w:rtl/>
          </w:rPr>
          <w:t xml:space="preserve"> 45(ב)</w:t>
        </w:r>
      </w:hyperlink>
      <w:r>
        <w:rPr>
          <w:rFonts w:ascii="David" w:hAnsi="David" w:hint="cs"/>
          <w:rtl/>
        </w:rPr>
        <w:t xml:space="preserve"> ל</w:t>
      </w:r>
      <w:hyperlink r:id="rId27" w:history="1">
        <w:r w:rsidR="00E41849" w:rsidRPr="00E41849">
          <w:rPr>
            <w:rFonts w:ascii="David" w:hAnsi="David"/>
            <w:color w:val="0000FF"/>
            <w:u w:val="single"/>
            <w:rtl/>
          </w:rPr>
          <w:t>חוק העונשין</w:t>
        </w:r>
      </w:hyperlink>
      <w:r>
        <w:rPr>
          <w:rFonts w:ascii="David" w:hAnsi="David" w:hint="cs"/>
          <w:rtl/>
        </w:rPr>
        <w:t xml:space="preserve"> קובע </w:t>
      </w:r>
      <w:r>
        <w:rPr>
          <w:rFonts w:ascii="David" w:hAnsi="David"/>
          <w:rtl/>
        </w:rPr>
        <w:t>–</w:t>
      </w:r>
      <w:r>
        <w:rPr>
          <w:rFonts w:ascii="David" w:hAnsi="David" w:hint="cs"/>
          <w:rtl/>
        </w:rPr>
        <w:t xml:space="preserve"> </w:t>
      </w:r>
      <w:r w:rsidRPr="00733B8A">
        <w:rPr>
          <w:rFonts w:ascii="David" w:hAnsi="David"/>
          <w:b/>
          <w:bCs/>
          <w:rtl/>
        </w:rPr>
        <w:t>"</w:t>
      </w:r>
      <w:r w:rsidRPr="00733B8A">
        <w:rPr>
          <w:rFonts w:ascii="David" w:hAnsi="David"/>
          <w:b/>
          <w:bCs/>
          <w:color w:val="000000"/>
          <w:rtl/>
        </w:rPr>
        <w:t>מי שנידון למאסר ולפני שנשא כל ענשו חזר ונידון למאסר, ובית המשפט שדן אותו באחרונה לא הורה שישא את ענשי המאסר, כולם או מקצתם, בזה אחר זה, לא ישא אלא עונש מאסר אחד והוא של התקופה הארוכה ביותר"</w:t>
      </w:r>
      <w:r>
        <w:rPr>
          <w:rFonts w:ascii="David" w:hAnsi="David" w:hint="cs"/>
          <w:color w:val="000000"/>
          <w:rtl/>
        </w:rPr>
        <w:t>.</w:t>
      </w:r>
    </w:p>
    <w:p w14:paraId="752B508D" w14:textId="77777777" w:rsidR="0055616F" w:rsidRDefault="0055616F" w:rsidP="0055616F">
      <w:pPr>
        <w:spacing w:line="360" w:lineRule="auto"/>
        <w:jc w:val="both"/>
        <w:rPr>
          <w:rFonts w:ascii="David" w:hAnsi="David"/>
          <w:rtl/>
        </w:rPr>
      </w:pPr>
      <w:r>
        <w:rPr>
          <w:rFonts w:ascii="David" w:hAnsi="David" w:hint="cs"/>
          <w:rtl/>
        </w:rPr>
        <w:t xml:space="preserve">גם לענין סעיף זה, יש ליתן במסגרת גזר הדין הוראה בדבר נשיאת עונשי המאסר, שכן לא יתכן שהנאשם יישא את תקופת המאסר הארוכה מבין השתיים שהוטלו עליו, וכך יצא שלא יישא בכל עונש בגין עבירת הסמים החמורה שביצע ובגינה נדון ל-15 חודשי מאסר. יחד עם זאת, היות וברור שלו היה הנאשם מצרף תיק זה לתיק שנדון בבית המשפט המחוזי הוא היה נדון לעונש אחד כולל אשר ודאי היה משכלל את כלל הנסיבות ומביא בחשבון "ניקוי שולחן" מצידו, ראיתי להורות על חפיפה </w:t>
      </w:r>
      <w:r>
        <w:rPr>
          <w:rFonts w:ascii="David" w:hAnsi="David" w:hint="cs"/>
          <w:u w:val="single"/>
          <w:rtl/>
        </w:rPr>
        <w:t>מסוי</w:t>
      </w:r>
      <w:r w:rsidRPr="00282082">
        <w:rPr>
          <w:rFonts w:ascii="David" w:hAnsi="David" w:hint="cs"/>
          <w:u w:val="single"/>
          <w:rtl/>
        </w:rPr>
        <w:t>ימת</w:t>
      </w:r>
      <w:r>
        <w:rPr>
          <w:rFonts w:ascii="David" w:hAnsi="David" w:hint="cs"/>
          <w:rtl/>
        </w:rPr>
        <w:t xml:space="preserve"> בין עונשי המאסר שהנאשם ירצה.</w:t>
      </w:r>
    </w:p>
    <w:p w14:paraId="19BE200B" w14:textId="77777777" w:rsidR="0055616F" w:rsidRDefault="0055616F" w:rsidP="0055616F">
      <w:pPr>
        <w:spacing w:line="360" w:lineRule="auto"/>
        <w:jc w:val="both"/>
        <w:rPr>
          <w:rFonts w:ascii="David" w:hAnsi="David"/>
          <w:rtl/>
        </w:rPr>
      </w:pPr>
    </w:p>
    <w:p w14:paraId="2DE01259" w14:textId="77777777" w:rsidR="0055616F" w:rsidRPr="00720EF0" w:rsidRDefault="0055616F" w:rsidP="0055616F">
      <w:pPr>
        <w:spacing w:line="360" w:lineRule="auto"/>
        <w:jc w:val="both"/>
        <w:rPr>
          <w:rFonts w:ascii="David" w:hAnsi="David"/>
          <w:rtl/>
        </w:rPr>
      </w:pPr>
      <w:r>
        <w:rPr>
          <w:rFonts w:ascii="David" w:hAnsi="David" w:hint="cs"/>
          <w:rtl/>
        </w:rPr>
        <w:t xml:space="preserve">[לשיקולים השונים בהפעלת שיקול הדעת השיפוטי בשאלה אם להורות על חפיפה או צבירה של עונשים, וביניהם </w:t>
      </w:r>
      <w:r>
        <w:rPr>
          <w:rFonts w:ascii="David" w:hAnsi="David"/>
          <w:rtl/>
        </w:rPr>
        <w:t>–</w:t>
      </w:r>
      <w:r>
        <w:rPr>
          <w:rFonts w:ascii="David" w:hAnsi="David" w:hint="cs"/>
          <w:rtl/>
        </w:rPr>
        <w:t xml:space="preserve"> אופי המעשים; חומרת העבירות ונסיבות ביצוען; האם מתקיימת ביניהן זיקה הדוקה; ושיקולי גמול והרתעה, כאשר שיקול הדעת הפרטני מופעל באספקלריה של עקרון ההלימה </w:t>
      </w:r>
      <w:r>
        <w:rPr>
          <w:rFonts w:ascii="David" w:hAnsi="David"/>
          <w:rtl/>
        </w:rPr>
        <w:t>–</w:t>
      </w:r>
      <w:r>
        <w:rPr>
          <w:rFonts w:ascii="David" w:hAnsi="David" w:hint="cs"/>
          <w:rtl/>
        </w:rPr>
        <w:t xml:space="preserve"> ראה </w:t>
      </w:r>
      <w:hyperlink r:id="rId28" w:history="1">
        <w:r w:rsidR="00E41849" w:rsidRPr="00E41849">
          <w:rPr>
            <w:rFonts w:ascii="David" w:hAnsi="David"/>
            <w:color w:val="0000FF"/>
            <w:u w:val="single"/>
            <w:rtl/>
          </w:rPr>
          <w:t>ע"פ 7907/14</w:t>
        </w:r>
      </w:hyperlink>
      <w:r>
        <w:rPr>
          <w:rFonts w:ascii="David" w:hAnsi="David" w:hint="cs"/>
          <w:rtl/>
        </w:rPr>
        <w:t xml:space="preserve"> </w:t>
      </w:r>
      <w:r>
        <w:rPr>
          <w:rFonts w:ascii="David" w:hAnsi="David" w:hint="cs"/>
          <w:b/>
          <w:bCs/>
          <w:rtl/>
        </w:rPr>
        <w:t>ואזנה נ' מדינת ישראל</w:t>
      </w:r>
      <w:r>
        <w:rPr>
          <w:rFonts w:ascii="David" w:hAnsi="David" w:hint="cs"/>
          <w:rtl/>
        </w:rPr>
        <w:t xml:space="preserve"> (22.2.15); </w:t>
      </w:r>
      <w:hyperlink r:id="rId29" w:history="1">
        <w:r w:rsidR="00E41849" w:rsidRPr="00E41849">
          <w:rPr>
            <w:rFonts w:ascii="David" w:hAnsi="David"/>
            <w:color w:val="0000FF"/>
            <w:u w:val="single"/>
            <w:rtl/>
          </w:rPr>
          <w:t>רע"פ 3589/17</w:t>
        </w:r>
      </w:hyperlink>
      <w:r>
        <w:rPr>
          <w:rFonts w:ascii="David" w:hAnsi="David" w:hint="cs"/>
          <w:rtl/>
        </w:rPr>
        <w:t xml:space="preserve"> </w:t>
      </w:r>
      <w:r>
        <w:rPr>
          <w:rFonts w:ascii="David" w:hAnsi="David" w:hint="cs"/>
          <w:b/>
          <w:bCs/>
          <w:rtl/>
        </w:rPr>
        <w:t>שמואל נ' מדינת ישראל</w:t>
      </w:r>
      <w:r>
        <w:rPr>
          <w:rFonts w:ascii="David" w:hAnsi="David" w:hint="cs"/>
          <w:rtl/>
        </w:rPr>
        <w:t xml:space="preserve"> (10.2.20)].</w:t>
      </w:r>
    </w:p>
    <w:p w14:paraId="082CBDB2" w14:textId="77777777" w:rsidR="0055616F" w:rsidRPr="00294FBD" w:rsidRDefault="0055616F" w:rsidP="0055616F">
      <w:pPr>
        <w:spacing w:line="360" w:lineRule="auto"/>
        <w:jc w:val="both"/>
        <w:rPr>
          <w:rFonts w:ascii="David" w:hAnsi="David"/>
          <w:rtl/>
        </w:rPr>
      </w:pPr>
    </w:p>
    <w:p w14:paraId="37761594" w14:textId="77777777" w:rsidR="0055616F" w:rsidRDefault="0055616F" w:rsidP="0055616F">
      <w:pPr>
        <w:spacing w:line="360" w:lineRule="auto"/>
        <w:jc w:val="both"/>
        <w:rPr>
          <w:rFonts w:ascii="David" w:hAnsi="David"/>
          <w:rtl/>
        </w:rPr>
      </w:pPr>
      <w:r>
        <w:rPr>
          <w:rFonts w:ascii="David" w:hAnsi="David" w:hint="cs"/>
          <w:rtl/>
        </w:rPr>
        <w:t>15.</w:t>
      </w:r>
      <w:r>
        <w:rPr>
          <w:rFonts w:ascii="David" w:hAnsi="David" w:hint="cs"/>
          <w:rtl/>
        </w:rPr>
        <w:tab/>
        <w:t>לאור האמור לעיל, אני גוזר על הנאשם את העונשים הבאים:</w:t>
      </w:r>
    </w:p>
    <w:p w14:paraId="4826A648" w14:textId="77777777" w:rsidR="0055616F" w:rsidRDefault="0055616F" w:rsidP="0055616F">
      <w:pPr>
        <w:spacing w:line="360" w:lineRule="auto"/>
        <w:jc w:val="both"/>
        <w:rPr>
          <w:rFonts w:ascii="David" w:hAnsi="David"/>
          <w:rtl/>
        </w:rPr>
      </w:pPr>
      <w:r>
        <w:rPr>
          <w:rFonts w:ascii="David" w:hAnsi="David" w:hint="cs"/>
          <w:rtl/>
        </w:rPr>
        <w:t>א.</w:t>
      </w:r>
      <w:r>
        <w:rPr>
          <w:rFonts w:ascii="David" w:hAnsi="David" w:hint="cs"/>
          <w:rtl/>
        </w:rPr>
        <w:tab/>
        <w:t>20 חודשי מאסר.</w:t>
      </w:r>
    </w:p>
    <w:p w14:paraId="0DC5F7FE" w14:textId="77777777" w:rsidR="0055616F" w:rsidRDefault="0055616F" w:rsidP="0055616F">
      <w:pPr>
        <w:spacing w:line="360" w:lineRule="auto"/>
        <w:ind w:left="720" w:hanging="720"/>
        <w:jc w:val="both"/>
        <w:rPr>
          <w:rFonts w:ascii="David" w:hAnsi="David"/>
          <w:rtl/>
        </w:rPr>
      </w:pPr>
      <w:r>
        <w:rPr>
          <w:rFonts w:ascii="David" w:hAnsi="David" w:hint="cs"/>
          <w:rtl/>
        </w:rPr>
        <w:t>ב.</w:t>
      </w:r>
      <w:r>
        <w:rPr>
          <w:rFonts w:ascii="David" w:hAnsi="David" w:hint="cs"/>
          <w:rtl/>
        </w:rPr>
        <w:tab/>
        <w:t>אני מורה על הפעלת עונש המאסר המותנה בן ה-8 חודשים התלוי ועומד כנגד הנאשם מ</w:t>
      </w:r>
      <w:hyperlink r:id="rId30" w:history="1">
        <w:r w:rsidR="00E41849" w:rsidRPr="00E41849">
          <w:rPr>
            <w:rFonts w:ascii="David" w:hAnsi="David"/>
            <w:color w:val="0000FF"/>
            <w:u w:val="single"/>
            <w:rtl/>
          </w:rPr>
          <w:t>ת"פ (מחוזי מרכז) 39850-07-16</w:t>
        </w:r>
      </w:hyperlink>
      <w:r>
        <w:rPr>
          <w:rFonts w:ascii="David" w:hAnsi="David" w:hint="cs"/>
          <w:rtl/>
        </w:rPr>
        <w:t xml:space="preserve"> (גזר דין מיום 30.3.17), כאשר 6 חודשים מתוכם ירוצו במצטבר לעונש המאסר שהוטל בס"ק א' וחודשיים ירוצו בחופף לו.</w:t>
      </w:r>
    </w:p>
    <w:p w14:paraId="7EC78AF5" w14:textId="77777777" w:rsidR="0055616F" w:rsidRDefault="0055616F" w:rsidP="0055616F">
      <w:pPr>
        <w:spacing w:line="360" w:lineRule="auto"/>
        <w:ind w:left="720" w:hanging="720"/>
        <w:jc w:val="both"/>
        <w:rPr>
          <w:rFonts w:ascii="David" w:hAnsi="David"/>
          <w:rtl/>
        </w:rPr>
      </w:pPr>
      <w:r>
        <w:rPr>
          <w:rFonts w:ascii="David" w:hAnsi="David"/>
          <w:rtl/>
        </w:rPr>
        <w:tab/>
      </w:r>
      <w:r w:rsidRPr="00733B8A">
        <w:rPr>
          <w:rFonts w:ascii="David" w:hAnsi="David" w:hint="cs"/>
          <w:b/>
          <w:bCs/>
          <w:u w:val="single"/>
          <w:rtl/>
        </w:rPr>
        <w:t xml:space="preserve">סה"כ ירצה הנאשם 26 חודשי מאסר, בניכוי ימי מעצרו </w:t>
      </w:r>
      <w:r w:rsidRPr="00733B8A">
        <w:rPr>
          <w:rFonts w:ascii="David" w:hAnsi="David"/>
          <w:b/>
          <w:bCs/>
          <w:u w:val="single"/>
          <w:rtl/>
        </w:rPr>
        <w:t>–</w:t>
      </w:r>
      <w:r w:rsidRPr="00733B8A">
        <w:rPr>
          <w:rFonts w:ascii="David" w:hAnsi="David" w:hint="cs"/>
          <w:b/>
          <w:bCs/>
          <w:u w:val="single"/>
          <w:rtl/>
        </w:rPr>
        <w:t xml:space="preserve"> 6.2.20-3.2.20; 21.7.20-28.2.20</w:t>
      </w:r>
      <w:r>
        <w:rPr>
          <w:rFonts w:ascii="David" w:hAnsi="David" w:hint="cs"/>
          <w:rtl/>
        </w:rPr>
        <w:t>.</w:t>
      </w:r>
    </w:p>
    <w:p w14:paraId="482AE857" w14:textId="77777777" w:rsidR="0055616F" w:rsidRPr="005F7D41" w:rsidRDefault="0055616F" w:rsidP="0055616F">
      <w:pPr>
        <w:spacing w:line="360" w:lineRule="auto"/>
        <w:ind w:left="720"/>
        <w:jc w:val="both"/>
        <w:rPr>
          <w:rFonts w:ascii="David" w:hAnsi="David"/>
          <w:b/>
          <w:bCs/>
          <w:rtl/>
        </w:rPr>
      </w:pPr>
      <w:r w:rsidRPr="005F7D41">
        <w:rPr>
          <w:rFonts w:ascii="David" w:hAnsi="David" w:hint="cs"/>
          <w:b/>
          <w:bCs/>
          <w:rtl/>
        </w:rPr>
        <w:t>אני קובע שמתוך עונש המאסר שהוטל על הנאשם בתיק זה, הוא ירצה 5 חודשי מאסר בחופף לעונש המאסר בן</w:t>
      </w:r>
      <w:r>
        <w:rPr>
          <w:rFonts w:ascii="David" w:hAnsi="David" w:hint="cs"/>
          <w:b/>
          <w:bCs/>
          <w:rtl/>
        </w:rPr>
        <w:t xml:space="preserve"> ה-15 חודשים אותו הוא מרצה כיום, והיתר במצטבר לו.</w:t>
      </w:r>
    </w:p>
    <w:p w14:paraId="31203DE1" w14:textId="77777777" w:rsidR="0055616F" w:rsidRDefault="0055616F" w:rsidP="0055616F">
      <w:pPr>
        <w:spacing w:line="360" w:lineRule="auto"/>
        <w:ind w:left="720" w:hanging="720"/>
        <w:jc w:val="both"/>
        <w:rPr>
          <w:rFonts w:ascii="David" w:hAnsi="David"/>
          <w:rtl/>
        </w:rPr>
      </w:pPr>
      <w:r>
        <w:rPr>
          <w:rFonts w:ascii="David" w:hAnsi="David" w:hint="cs"/>
          <w:rtl/>
        </w:rPr>
        <w:t>ג.</w:t>
      </w:r>
      <w:r>
        <w:rPr>
          <w:rFonts w:ascii="David" w:hAnsi="David" w:hint="cs"/>
          <w:rtl/>
        </w:rPr>
        <w:tab/>
        <w:t>12 חודשי מאסר על תנאי למשך 3 שנים מיום שחרורו שלא יעבור כל עבירה הנוגעת לנשק.</w:t>
      </w:r>
    </w:p>
    <w:p w14:paraId="3CF2A646" w14:textId="77777777" w:rsidR="0055616F" w:rsidRDefault="0055616F" w:rsidP="0055616F">
      <w:pPr>
        <w:spacing w:line="360" w:lineRule="auto"/>
        <w:ind w:left="720" w:hanging="720"/>
        <w:jc w:val="both"/>
        <w:rPr>
          <w:rFonts w:ascii="David" w:hAnsi="David"/>
          <w:rtl/>
        </w:rPr>
      </w:pPr>
    </w:p>
    <w:p w14:paraId="43E1947C" w14:textId="77777777" w:rsidR="0055616F" w:rsidRDefault="0055616F" w:rsidP="0055616F">
      <w:pPr>
        <w:spacing w:line="360" w:lineRule="auto"/>
        <w:ind w:left="720" w:hanging="720"/>
        <w:jc w:val="both"/>
        <w:rPr>
          <w:rFonts w:ascii="David" w:hAnsi="David"/>
          <w:rtl/>
        </w:rPr>
      </w:pPr>
      <w:r>
        <w:rPr>
          <w:rFonts w:ascii="David" w:hAnsi="David" w:hint="cs"/>
          <w:rtl/>
        </w:rPr>
        <w:t xml:space="preserve">מוצגים </w:t>
      </w:r>
      <w:r>
        <w:rPr>
          <w:rFonts w:ascii="David" w:hAnsi="David"/>
          <w:rtl/>
        </w:rPr>
        <w:t>–</w:t>
      </w:r>
      <w:r>
        <w:rPr>
          <w:rFonts w:ascii="David" w:hAnsi="David" w:hint="cs"/>
          <w:rtl/>
        </w:rPr>
        <w:t xml:space="preserve"> נשק ותחמושת </w:t>
      </w:r>
      <w:r>
        <w:rPr>
          <w:rFonts w:ascii="David" w:hAnsi="David"/>
          <w:rtl/>
        </w:rPr>
        <w:t>–</w:t>
      </w:r>
      <w:r>
        <w:rPr>
          <w:rFonts w:ascii="David" w:hAnsi="David" w:hint="cs"/>
          <w:rtl/>
        </w:rPr>
        <w:t xml:space="preserve"> להשמדה.</w:t>
      </w:r>
    </w:p>
    <w:p w14:paraId="400A36B5" w14:textId="77777777" w:rsidR="0055616F" w:rsidRPr="00E41849" w:rsidRDefault="00E41849" w:rsidP="0055616F">
      <w:pPr>
        <w:spacing w:line="360" w:lineRule="auto"/>
        <w:ind w:left="720" w:hanging="720"/>
        <w:jc w:val="both"/>
        <w:rPr>
          <w:rFonts w:ascii="David" w:hAnsi="David"/>
          <w:color w:val="FFFFFF"/>
          <w:sz w:val="2"/>
          <w:szCs w:val="2"/>
          <w:rtl/>
        </w:rPr>
      </w:pPr>
      <w:r w:rsidRPr="00E41849">
        <w:rPr>
          <w:rFonts w:ascii="David" w:hAnsi="David"/>
          <w:color w:val="FFFFFF"/>
          <w:sz w:val="2"/>
          <w:szCs w:val="2"/>
          <w:rtl/>
        </w:rPr>
        <w:t>5129371</w:t>
      </w:r>
    </w:p>
    <w:p w14:paraId="62E1998A" w14:textId="77777777" w:rsidR="0055616F" w:rsidRDefault="00E41849" w:rsidP="0055616F">
      <w:pPr>
        <w:spacing w:line="360" w:lineRule="auto"/>
        <w:jc w:val="both"/>
        <w:rPr>
          <w:rFonts w:ascii="David" w:hAnsi="David"/>
          <w:rtl/>
        </w:rPr>
      </w:pPr>
      <w:r w:rsidRPr="00E41849">
        <w:rPr>
          <w:rFonts w:ascii="David" w:hAnsi="David"/>
          <w:color w:val="FFFFFF"/>
          <w:sz w:val="2"/>
          <w:szCs w:val="2"/>
          <w:rtl/>
        </w:rPr>
        <w:t>54678313</w:t>
      </w:r>
      <w:r w:rsidR="0055616F">
        <w:rPr>
          <w:rFonts w:ascii="David" w:hAnsi="David" w:hint="cs"/>
          <w:rtl/>
        </w:rPr>
        <w:t>זכות ערעור לבית המשפט המחוזי מרכז בתוך 45 יום.</w:t>
      </w:r>
    </w:p>
    <w:p w14:paraId="03CC3088" w14:textId="77777777" w:rsidR="0055616F" w:rsidRDefault="0055616F" w:rsidP="0055616F">
      <w:pPr>
        <w:spacing w:line="360" w:lineRule="auto"/>
        <w:jc w:val="both"/>
        <w:rPr>
          <w:rFonts w:ascii="David" w:hAnsi="David"/>
          <w:rtl/>
        </w:rPr>
      </w:pPr>
    </w:p>
    <w:p w14:paraId="4B6E8C60" w14:textId="77777777" w:rsidR="0055616F" w:rsidRPr="00733B8A" w:rsidRDefault="00E41849" w:rsidP="0055616F">
      <w:pPr>
        <w:spacing w:line="360" w:lineRule="auto"/>
        <w:jc w:val="both"/>
        <w:rPr>
          <w:rFonts w:ascii="David" w:hAnsi="David"/>
          <w:rtl/>
        </w:rPr>
      </w:pPr>
      <w:bookmarkStart w:id="8" w:name="Nitan"/>
      <w:r>
        <w:rPr>
          <w:rFonts w:ascii="David" w:hAnsi="David"/>
          <w:b/>
          <w:bCs/>
          <w:rtl/>
        </w:rPr>
        <w:t xml:space="preserve">ניתן היום, כ"ט כסלו תשפ"א, 15 דצמבר 2020, במעמד ב"כ המאשימה, הנאשם ובא-כוחו. </w:t>
      </w:r>
      <w:bookmarkEnd w:id="8"/>
    </w:p>
    <w:p w14:paraId="6B0C16D7" w14:textId="77777777" w:rsidR="0055616F" w:rsidRPr="00294FBD" w:rsidRDefault="0055616F" w:rsidP="00E41849">
      <w:pPr>
        <w:spacing w:line="360" w:lineRule="auto"/>
        <w:jc w:val="both"/>
      </w:pPr>
      <w:r w:rsidRPr="00294FBD">
        <w:rPr>
          <w:rFonts w:ascii="David" w:hAnsi="David"/>
          <w:rtl/>
        </w:rPr>
        <w:t xml:space="preserve">   </w:t>
      </w:r>
      <w:r w:rsidRPr="00294FBD">
        <w:rPr>
          <w:rFonts w:ascii="David" w:hAnsi="David"/>
          <w:rtl/>
        </w:rPr>
        <w:tab/>
      </w:r>
      <w:r w:rsidRPr="00294FBD">
        <w:rPr>
          <w:rFonts w:ascii="David" w:hAnsi="David"/>
          <w:rtl/>
        </w:rPr>
        <w:tab/>
      </w:r>
      <w:r w:rsidRPr="00294FBD">
        <w:rPr>
          <w:rFonts w:ascii="David" w:hAnsi="David"/>
          <w:rtl/>
        </w:rPr>
        <w:tab/>
      </w:r>
      <w:r w:rsidRPr="00294FBD">
        <w:rPr>
          <w:rFonts w:ascii="David" w:hAnsi="David"/>
          <w:rtl/>
        </w:rPr>
        <w:tab/>
      </w:r>
      <w:r w:rsidRPr="00294FBD">
        <w:rPr>
          <w:rFonts w:ascii="David" w:hAnsi="David"/>
          <w:rtl/>
        </w:rPr>
        <w:tab/>
      </w:r>
    </w:p>
    <w:p w14:paraId="49D51963" w14:textId="77777777" w:rsidR="0055616F" w:rsidRPr="004B2E5D" w:rsidRDefault="004B2E5D" w:rsidP="0055616F">
      <w:pPr>
        <w:spacing w:line="360" w:lineRule="auto"/>
        <w:jc w:val="both"/>
        <w:rPr>
          <w:rFonts w:ascii="David" w:hAnsi="David"/>
          <w:color w:val="FFFFFF"/>
          <w:sz w:val="2"/>
          <w:szCs w:val="2"/>
          <w:rtl/>
        </w:rPr>
      </w:pPr>
      <w:r w:rsidRPr="004B2E5D">
        <w:rPr>
          <w:rFonts w:ascii="David" w:hAnsi="David"/>
          <w:color w:val="FFFFFF"/>
          <w:sz w:val="2"/>
          <w:szCs w:val="2"/>
          <w:rtl/>
        </w:rPr>
        <w:t>5129371</w:t>
      </w:r>
    </w:p>
    <w:p w14:paraId="0F3BB85E" w14:textId="77777777" w:rsidR="00674BEE" w:rsidRPr="004B2E5D" w:rsidRDefault="004B2E5D" w:rsidP="00E41849">
      <w:pPr>
        <w:keepNext/>
        <w:rPr>
          <w:rFonts w:ascii="David" w:hAnsi="David"/>
          <w:color w:val="FFFFFF"/>
          <w:sz w:val="2"/>
          <w:szCs w:val="2"/>
          <w:rtl/>
        </w:rPr>
      </w:pPr>
      <w:r w:rsidRPr="004B2E5D">
        <w:rPr>
          <w:rFonts w:ascii="David" w:hAnsi="David"/>
          <w:color w:val="FFFFFF"/>
          <w:sz w:val="2"/>
          <w:szCs w:val="2"/>
          <w:rtl/>
        </w:rPr>
        <w:t>54678313</w:t>
      </w:r>
    </w:p>
    <w:p w14:paraId="011CB9FB" w14:textId="77777777" w:rsidR="00E41849" w:rsidRPr="00E41849" w:rsidRDefault="00E41849" w:rsidP="00E41849">
      <w:pPr>
        <w:keepNext/>
        <w:rPr>
          <w:rFonts w:ascii="David" w:hAnsi="David"/>
          <w:color w:val="000000"/>
          <w:sz w:val="22"/>
          <w:szCs w:val="22"/>
          <w:rtl/>
        </w:rPr>
      </w:pPr>
      <w:r w:rsidRPr="00E41849">
        <w:rPr>
          <w:rFonts w:ascii="David" w:hAnsi="David"/>
          <w:color w:val="000000"/>
          <w:sz w:val="22"/>
          <w:szCs w:val="22"/>
          <w:rtl/>
        </w:rPr>
        <w:t>אביב שרון 54678313</w:t>
      </w:r>
    </w:p>
    <w:p w14:paraId="46177EC4" w14:textId="77777777" w:rsidR="00E41849" w:rsidRDefault="00E41849" w:rsidP="00E41849">
      <w:r w:rsidRPr="00E41849">
        <w:rPr>
          <w:color w:val="000000"/>
          <w:rtl/>
        </w:rPr>
        <w:t>נוסח מסמך זה כפוף לשינויי ניסוח ועריכה</w:t>
      </w:r>
    </w:p>
    <w:p w14:paraId="0E6701F8" w14:textId="77777777" w:rsidR="00E41849" w:rsidRDefault="00E41849" w:rsidP="00E41849">
      <w:pPr>
        <w:rPr>
          <w:rtl/>
        </w:rPr>
      </w:pPr>
    </w:p>
    <w:p w14:paraId="20C34117" w14:textId="77777777" w:rsidR="00E41849" w:rsidRDefault="00E41849" w:rsidP="00E41849">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DA4D975" w14:textId="77777777" w:rsidR="004B2E5D" w:rsidRPr="004B2E5D" w:rsidRDefault="004B2E5D" w:rsidP="004B2E5D">
      <w:pPr>
        <w:keepNext/>
        <w:rPr>
          <w:rFonts w:ascii="David" w:hAnsi="David"/>
          <w:color w:val="000000"/>
          <w:sz w:val="22"/>
          <w:szCs w:val="22"/>
          <w:rtl/>
        </w:rPr>
      </w:pPr>
    </w:p>
    <w:sectPr w:rsidR="004B2E5D" w:rsidRPr="004B2E5D" w:rsidSect="004B2E5D">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DAD8F" w14:textId="77777777" w:rsidR="003D3E86" w:rsidRDefault="003D3E86" w:rsidP="00AC0E17">
      <w:r>
        <w:separator/>
      </w:r>
    </w:p>
  </w:endnote>
  <w:endnote w:type="continuationSeparator" w:id="0">
    <w:p w14:paraId="3EFD6B9B" w14:textId="77777777" w:rsidR="003D3E86" w:rsidRDefault="003D3E86" w:rsidP="00AC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753F" w14:textId="77777777" w:rsidR="004B2E5D" w:rsidRDefault="004B2E5D" w:rsidP="004B2E5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E06CA60" w14:textId="77777777" w:rsidR="00E74876" w:rsidRPr="004B2E5D" w:rsidRDefault="004B2E5D" w:rsidP="004B2E5D">
    <w:pPr>
      <w:pStyle w:val="a5"/>
      <w:pBdr>
        <w:top w:val="single" w:sz="4" w:space="1" w:color="auto"/>
        <w:between w:val="single" w:sz="4" w:space="0" w:color="auto"/>
      </w:pBdr>
      <w:spacing w:after="60"/>
      <w:jc w:val="center"/>
      <w:rPr>
        <w:rFonts w:ascii="FrankRuehl" w:hAnsi="FrankRuehl" w:cs="FrankRuehl"/>
        <w:color w:val="000000"/>
      </w:rPr>
    </w:pPr>
    <w:r w:rsidRPr="004B2E5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561E2" w14:textId="77777777" w:rsidR="004B2E5D" w:rsidRDefault="004B2E5D" w:rsidP="004B2E5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2853">
      <w:rPr>
        <w:rFonts w:ascii="FrankRuehl" w:hAnsi="FrankRuehl" w:cs="FrankRuehl"/>
        <w:noProof/>
        <w:rtl/>
      </w:rPr>
      <w:t>1</w:t>
    </w:r>
    <w:r>
      <w:rPr>
        <w:rFonts w:ascii="FrankRuehl" w:hAnsi="FrankRuehl" w:cs="FrankRuehl"/>
        <w:rtl/>
      </w:rPr>
      <w:fldChar w:fldCharType="end"/>
    </w:r>
  </w:p>
  <w:p w14:paraId="0268E296" w14:textId="77777777" w:rsidR="00E74876" w:rsidRPr="004B2E5D" w:rsidRDefault="004B2E5D" w:rsidP="004B2E5D">
    <w:pPr>
      <w:pStyle w:val="a5"/>
      <w:pBdr>
        <w:top w:val="single" w:sz="4" w:space="1" w:color="auto"/>
        <w:between w:val="single" w:sz="4" w:space="0" w:color="auto"/>
      </w:pBdr>
      <w:spacing w:after="60"/>
      <w:jc w:val="center"/>
      <w:rPr>
        <w:rFonts w:ascii="FrankRuehl" w:hAnsi="FrankRuehl" w:cs="FrankRuehl"/>
        <w:color w:val="000000"/>
      </w:rPr>
    </w:pPr>
    <w:r w:rsidRPr="004B2E5D">
      <w:rPr>
        <w:rFonts w:ascii="FrankRuehl" w:hAnsi="FrankRuehl" w:cs="FrankRuehl"/>
        <w:color w:val="000000"/>
      </w:rPr>
      <w:pict w14:anchorId="6830A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4B218" w14:textId="77777777" w:rsidR="003D3E86" w:rsidRDefault="003D3E86" w:rsidP="00AC0E17">
      <w:r>
        <w:separator/>
      </w:r>
    </w:p>
  </w:footnote>
  <w:footnote w:type="continuationSeparator" w:id="0">
    <w:p w14:paraId="0D192308" w14:textId="77777777" w:rsidR="003D3E86" w:rsidRDefault="003D3E86" w:rsidP="00AC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26DB" w14:textId="77777777" w:rsidR="00E41849" w:rsidRPr="004B2E5D" w:rsidRDefault="004B2E5D" w:rsidP="004B2E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14044-03-20</w:t>
    </w:r>
    <w:r>
      <w:rPr>
        <w:rFonts w:ascii="David" w:hAnsi="David"/>
        <w:color w:val="000000"/>
        <w:sz w:val="22"/>
        <w:szCs w:val="22"/>
        <w:rtl/>
      </w:rPr>
      <w:tab/>
      <w:t xml:space="preserve"> מדינת ישראל  נ' עבד אל פאתח קטאווי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1D2D" w14:textId="77777777" w:rsidR="00E41849" w:rsidRPr="004B2E5D" w:rsidRDefault="004B2E5D" w:rsidP="004B2E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14044-03-20</w:t>
    </w:r>
    <w:r>
      <w:rPr>
        <w:rFonts w:ascii="David" w:hAnsi="David"/>
        <w:color w:val="000000"/>
        <w:sz w:val="22"/>
        <w:szCs w:val="22"/>
        <w:rtl/>
      </w:rPr>
      <w:tab/>
      <w:t xml:space="preserve"> מדינת ישראל  נ' עבד אל פאתח קטאווי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616F"/>
    <w:rsid w:val="001B5A3B"/>
    <w:rsid w:val="00287B4D"/>
    <w:rsid w:val="00331274"/>
    <w:rsid w:val="00377E41"/>
    <w:rsid w:val="003D3E86"/>
    <w:rsid w:val="00442E94"/>
    <w:rsid w:val="00475B71"/>
    <w:rsid w:val="004B2E5D"/>
    <w:rsid w:val="00522853"/>
    <w:rsid w:val="0055616F"/>
    <w:rsid w:val="00674BEE"/>
    <w:rsid w:val="007102F8"/>
    <w:rsid w:val="009C4A1E"/>
    <w:rsid w:val="00AC0E17"/>
    <w:rsid w:val="00C13FB7"/>
    <w:rsid w:val="00E41849"/>
    <w:rsid w:val="00E748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00372F"/>
  <w15:chartTrackingRefBased/>
  <w15:docId w15:val="{26E83C7B-D924-4EB6-8DA1-691E6250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616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616F"/>
    <w:pPr>
      <w:tabs>
        <w:tab w:val="center" w:pos="4153"/>
        <w:tab w:val="right" w:pos="8306"/>
      </w:tabs>
    </w:pPr>
  </w:style>
  <w:style w:type="character" w:customStyle="1" w:styleId="a4">
    <w:name w:val="כותרת עליונה תו"/>
    <w:link w:val="a3"/>
    <w:rsid w:val="0055616F"/>
    <w:rPr>
      <w:rFonts w:ascii="Times New Roman" w:eastAsia="Times New Roman" w:hAnsi="Times New Roman" w:cs="David"/>
      <w:sz w:val="24"/>
      <w:szCs w:val="24"/>
    </w:rPr>
  </w:style>
  <w:style w:type="paragraph" w:styleId="a5">
    <w:name w:val="footer"/>
    <w:basedOn w:val="a"/>
    <w:link w:val="a6"/>
    <w:rsid w:val="0055616F"/>
    <w:pPr>
      <w:tabs>
        <w:tab w:val="center" w:pos="4153"/>
        <w:tab w:val="right" w:pos="8306"/>
      </w:tabs>
    </w:pPr>
  </w:style>
  <w:style w:type="character" w:customStyle="1" w:styleId="a6">
    <w:name w:val="כותרת תחתונה תו"/>
    <w:link w:val="a5"/>
    <w:rsid w:val="0055616F"/>
    <w:rPr>
      <w:rFonts w:ascii="Times New Roman" w:eastAsia="Times New Roman" w:hAnsi="Times New Roman" w:cs="David"/>
      <w:sz w:val="24"/>
      <w:szCs w:val="24"/>
    </w:rPr>
  </w:style>
  <w:style w:type="table" w:styleId="a7">
    <w:name w:val="Table Grid"/>
    <w:basedOn w:val="a1"/>
    <w:rsid w:val="005561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5616F"/>
  </w:style>
  <w:style w:type="character" w:styleId="Hyperlink">
    <w:name w:val="Hyperlink"/>
    <w:rsid w:val="00E418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762686" TargetMode="External"/><Relationship Id="rId26" Type="http://schemas.openxmlformats.org/officeDocument/2006/relationships/hyperlink" Target="http://www.nevo.co.il/law/70301/45.b" TargetMode="External"/><Relationship Id="rId21" Type="http://schemas.openxmlformats.org/officeDocument/2006/relationships/hyperlink" Target="http://www.nevo.co.il/case/20844996"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473037"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6950458" TargetMode="External"/><Relationship Id="rId20" Type="http://schemas.openxmlformats.org/officeDocument/2006/relationships/hyperlink" Target="http://www.nevo.co.il/case/21820484" TargetMode="External"/><Relationship Id="rId29" Type="http://schemas.openxmlformats.org/officeDocument/2006/relationships/hyperlink" Target="http://www.nevo.co.il/case/22578455" TargetMode="External"/><Relationship Id="rId1" Type="http://schemas.openxmlformats.org/officeDocument/2006/relationships/styles" Target="styles.xml"/><Relationship Id="rId6" Type="http://schemas.openxmlformats.org/officeDocument/2006/relationships/hyperlink" Target="http://www.nevo.co.il/case/26520337"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5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6473037" TargetMode="External"/><Relationship Id="rId23" Type="http://schemas.openxmlformats.org/officeDocument/2006/relationships/hyperlink" Target="http://www.nevo.co.il/case/23814812" TargetMode="External"/><Relationship Id="rId28" Type="http://schemas.openxmlformats.org/officeDocument/2006/relationships/hyperlink" Target="http://www.nevo.co.il/case/18654248" TargetMode="External"/><Relationship Id="rId36"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case/23584779"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58" TargetMode="External"/><Relationship Id="rId14" Type="http://schemas.openxmlformats.org/officeDocument/2006/relationships/hyperlink" Target="http://www.nevo.co.il/case/7791493" TargetMode="External"/><Relationship Id="rId22" Type="http://schemas.openxmlformats.org/officeDocument/2006/relationships/hyperlink" Target="http://www.nevo.co.il/case/2024112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1480646" TargetMode="External"/><Relationship Id="rId35" Type="http://schemas.openxmlformats.org/officeDocument/2006/relationships/footer" Target="footer2.xml"/><Relationship Id="rId8" Type="http://schemas.openxmlformats.org/officeDocument/2006/relationships/hyperlink" Target="http://www.nevo.co.il/law/70301/45.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2291</Words>
  <Characters>11460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13724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3276923</vt:i4>
      </vt:variant>
      <vt:variant>
        <vt:i4>72</vt:i4>
      </vt:variant>
      <vt:variant>
        <vt:i4>0</vt:i4>
      </vt:variant>
      <vt:variant>
        <vt:i4>5</vt:i4>
      </vt:variant>
      <vt:variant>
        <vt:lpwstr>http://www.nevo.co.il/case/21480646</vt:lpwstr>
      </vt:variant>
      <vt:variant>
        <vt:lpwstr/>
      </vt:variant>
      <vt:variant>
        <vt:i4>3801205</vt:i4>
      </vt:variant>
      <vt:variant>
        <vt:i4>69</vt:i4>
      </vt:variant>
      <vt:variant>
        <vt:i4>0</vt:i4>
      </vt:variant>
      <vt:variant>
        <vt:i4>5</vt:i4>
      </vt:variant>
      <vt:variant>
        <vt:lpwstr>http://www.nevo.co.il/case/22578455</vt:lpwstr>
      </vt:variant>
      <vt:variant>
        <vt:lpwstr/>
      </vt:variant>
      <vt:variant>
        <vt:i4>3604603</vt:i4>
      </vt:variant>
      <vt:variant>
        <vt:i4>66</vt:i4>
      </vt:variant>
      <vt:variant>
        <vt:i4>0</vt:i4>
      </vt:variant>
      <vt:variant>
        <vt:i4>5</vt:i4>
      </vt:variant>
      <vt:variant>
        <vt:lpwstr>http://www.nevo.co.il/case/18654248</vt:lpwstr>
      </vt:variant>
      <vt:variant>
        <vt:lpwstr/>
      </vt:variant>
      <vt:variant>
        <vt:i4>7995492</vt:i4>
      </vt:variant>
      <vt:variant>
        <vt:i4>63</vt:i4>
      </vt:variant>
      <vt:variant>
        <vt:i4>0</vt:i4>
      </vt:variant>
      <vt:variant>
        <vt:i4>5</vt:i4>
      </vt:variant>
      <vt:variant>
        <vt:lpwstr>http://www.nevo.co.il/law/70301</vt:lpwstr>
      </vt:variant>
      <vt:variant>
        <vt:lpwstr/>
      </vt:variant>
      <vt:variant>
        <vt:i4>131151</vt:i4>
      </vt:variant>
      <vt:variant>
        <vt:i4>60</vt:i4>
      </vt:variant>
      <vt:variant>
        <vt:i4>0</vt:i4>
      </vt:variant>
      <vt:variant>
        <vt:i4>5</vt:i4>
      </vt:variant>
      <vt:variant>
        <vt:lpwstr>http://www.nevo.co.il/law/70301/45.b</vt:lpwstr>
      </vt:variant>
      <vt:variant>
        <vt:lpwstr/>
      </vt:variant>
      <vt:variant>
        <vt:i4>7995492</vt:i4>
      </vt:variant>
      <vt:variant>
        <vt:i4>57</vt:i4>
      </vt:variant>
      <vt:variant>
        <vt:i4>0</vt:i4>
      </vt:variant>
      <vt:variant>
        <vt:i4>5</vt:i4>
      </vt:variant>
      <vt:variant>
        <vt:lpwstr>http://www.nevo.co.il/law/70301</vt:lpwstr>
      </vt:variant>
      <vt:variant>
        <vt:lpwstr/>
      </vt:variant>
      <vt:variant>
        <vt:i4>7143520</vt:i4>
      </vt:variant>
      <vt:variant>
        <vt:i4>54</vt:i4>
      </vt:variant>
      <vt:variant>
        <vt:i4>0</vt:i4>
      </vt:variant>
      <vt:variant>
        <vt:i4>5</vt:i4>
      </vt:variant>
      <vt:variant>
        <vt:lpwstr>http://www.nevo.co.il/law/70301/58</vt:lpwstr>
      </vt:variant>
      <vt:variant>
        <vt:lpwstr/>
      </vt:variant>
      <vt:variant>
        <vt:i4>4128894</vt:i4>
      </vt:variant>
      <vt:variant>
        <vt:i4>51</vt:i4>
      </vt:variant>
      <vt:variant>
        <vt:i4>0</vt:i4>
      </vt:variant>
      <vt:variant>
        <vt:i4>5</vt:i4>
      </vt:variant>
      <vt:variant>
        <vt:lpwstr>http://www.nevo.co.il/case/23814812</vt:lpwstr>
      </vt:variant>
      <vt:variant>
        <vt:lpwstr/>
      </vt:variant>
      <vt:variant>
        <vt:i4>3342449</vt:i4>
      </vt:variant>
      <vt:variant>
        <vt:i4>48</vt:i4>
      </vt:variant>
      <vt:variant>
        <vt:i4>0</vt:i4>
      </vt:variant>
      <vt:variant>
        <vt:i4>5</vt:i4>
      </vt:variant>
      <vt:variant>
        <vt:lpwstr>http://www.nevo.co.il/case/20241124</vt:lpwstr>
      </vt:variant>
      <vt:variant>
        <vt:lpwstr/>
      </vt:variant>
      <vt:variant>
        <vt:i4>3604601</vt:i4>
      </vt:variant>
      <vt:variant>
        <vt:i4>45</vt:i4>
      </vt:variant>
      <vt:variant>
        <vt:i4>0</vt:i4>
      </vt:variant>
      <vt:variant>
        <vt:i4>5</vt:i4>
      </vt:variant>
      <vt:variant>
        <vt:lpwstr>http://www.nevo.co.il/case/20844996</vt:lpwstr>
      </vt:variant>
      <vt:variant>
        <vt:lpwstr/>
      </vt:variant>
      <vt:variant>
        <vt:i4>3276915</vt:i4>
      </vt:variant>
      <vt:variant>
        <vt:i4>42</vt:i4>
      </vt:variant>
      <vt:variant>
        <vt:i4>0</vt:i4>
      </vt:variant>
      <vt:variant>
        <vt:i4>5</vt:i4>
      </vt:variant>
      <vt:variant>
        <vt:lpwstr>http://www.nevo.co.il/case/21820484</vt:lpwstr>
      </vt:variant>
      <vt:variant>
        <vt:lpwstr/>
      </vt:variant>
      <vt:variant>
        <vt:i4>3407992</vt:i4>
      </vt:variant>
      <vt:variant>
        <vt:i4>39</vt:i4>
      </vt:variant>
      <vt:variant>
        <vt:i4>0</vt:i4>
      </vt:variant>
      <vt:variant>
        <vt:i4>5</vt:i4>
      </vt:variant>
      <vt:variant>
        <vt:lpwstr>http://www.nevo.co.il/case/23584779</vt:lpwstr>
      </vt:variant>
      <vt:variant>
        <vt:lpwstr/>
      </vt:variant>
      <vt:variant>
        <vt:i4>3342457</vt:i4>
      </vt:variant>
      <vt:variant>
        <vt:i4>36</vt:i4>
      </vt:variant>
      <vt:variant>
        <vt:i4>0</vt:i4>
      </vt:variant>
      <vt:variant>
        <vt:i4>5</vt:i4>
      </vt:variant>
      <vt:variant>
        <vt:lpwstr>http://www.nevo.co.il/case/5762686</vt:lpwstr>
      </vt:variant>
      <vt:variant>
        <vt:lpwstr/>
      </vt:variant>
      <vt:variant>
        <vt:i4>3539056</vt:i4>
      </vt:variant>
      <vt:variant>
        <vt:i4>33</vt:i4>
      </vt:variant>
      <vt:variant>
        <vt:i4>0</vt:i4>
      </vt:variant>
      <vt:variant>
        <vt:i4>5</vt:i4>
      </vt:variant>
      <vt:variant>
        <vt:lpwstr>http://www.nevo.co.il/case/6473037</vt:lpwstr>
      </vt:variant>
      <vt:variant>
        <vt:lpwstr/>
      </vt:variant>
      <vt:variant>
        <vt:i4>4128888</vt:i4>
      </vt:variant>
      <vt:variant>
        <vt:i4>30</vt:i4>
      </vt:variant>
      <vt:variant>
        <vt:i4>0</vt:i4>
      </vt:variant>
      <vt:variant>
        <vt:i4>5</vt:i4>
      </vt:variant>
      <vt:variant>
        <vt:lpwstr>http://www.nevo.co.il/case/6950458</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3735675</vt:i4>
      </vt:variant>
      <vt:variant>
        <vt:i4>24</vt:i4>
      </vt:variant>
      <vt:variant>
        <vt:i4>0</vt:i4>
      </vt:variant>
      <vt:variant>
        <vt:i4>5</vt:i4>
      </vt:variant>
      <vt:variant>
        <vt:lpwstr>http://www.nevo.co.il/case/7791493</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7143520</vt:i4>
      </vt:variant>
      <vt:variant>
        <vt:i4>9</vt:i4>
      </vt:variant>
      <vt:variant>
        <vt:i4>0</vt:i4>
      </vt:variant>
      <vt:variant>
        <vt:i4>5</vt:i4>
      </vt:variant>
      <vt:variant>
        <vt:lpwstr>http://www.nevo.co.il/law/70301/58</vt:lpwstr>
      </vt:variant>
      <vt:variant>
        <vt:lpwstr/>
      </vt:variant>
      <vt:variant>
        <vt:i4>131151</vt:i4>
      </vt:variant>
      <vt:variant>
        <vt:i4>6</vt:i4>
      </vt:variant>
      <vt:variant>
        <vt:i4>0</vt:i4>
      </vt:variant>
      <vt:variant>
        <vt:i4>5</vt:i4>
      </vt:variant>
      <vt:variant>
        <vt:lpwstr>http://www.nevo.co.il/law/70301/45.b</vt:lpwstr>
      </vt:variant>
      <vt:variant>
        <vt:lpwstr/>
      </vt:variant>
      <vt:variant>
        <vt:i4>7995492</vt:i4>
      </vt:variant>
      <vt:variant>
        <vt:i4>3</vt:i4>
      </vt:variant>
      <vt:variant>
        <vt:i4>0</vt:i4>
      </vt:variant>
      <vt:variant>
        <vt:i4>5</vt:i4>
      </vt:variant>
      <vt:variant>
        <vt:lpwstr>http://www.nevo.co.il/law/70301</vt:lpwstr>
      </vt:variant>
      <vt:variant>
        <vt:lpwstr/>
      </vt:variant>
      <vt:variant>
        <vt:i4>3407987</vt:i4>
      </vt:variant>
      <vt:variant>
        <vt:i4>0</vt:i4>
      </vt:variant>
      <vt:variant>
        <vt:i4>0</vt:i4>
      </vt:variant>
      <vt:variant>
        <vt:i4>5</vt:i4>
      </vt:variant>
      <vt:variant>
        <vt:lpwstr>http://www.nevo.co.il/case/26520337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2023-12-07T12:32:00Z</dcterms:created>
  <dcterms:modified xsi:type="dcterms:W3CDTF">2023-12-07T12:32:00Z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14044</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עבד אל פאתח קטאווי</vt:lpwstr>
  </property>
  <property fmtid="{D5CDD505-2E9C-101B-9397-08002B2CF9AE}" pid="10" name="LAWYER">
    <vt:lpwstr>שחר לדובסקי;אילן חכם</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20201215</vt:lpwstr>
  </property>
  <property fmtid="{D5CDD505-2E9C-101B-9397-08002B2CF9AE}" pid="14" name="TYPE_N_DATE">
    <vt:lpwstr>38020201215</vt:lpwstr>
  </property>
  <property fmtid="{D5CDD505-2E9C-101B-9397-08002B2CF9AE}" pid="15" name="WORDNUMPAGES">
    <vt:lpwstr>7</vt:lpwstr>
  </property>
  <property fmtid="{D5CDD505-2E9C-101B-9397-08002B2CF9AE}" pid="16" name="TYPE_ABS_DATE">
    <vt:lpwstr>380020201215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26520337;7791493;6473037:2;6950458;5762686;23584779;21820484;20844996;20241124;23814812;18654248;22578455;21480646</vt:lpwstr>
  </property>
  <property fmtid="{D5CDD505-2E9C-101B-9397-08002B2CF9AE}" pid="36" name="LAWLISTTMP1">
    <vt:lpwstr>70301/144.a;058;045.b</vt:lpwstr>
  </property>
</Properties>
</file>