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5"/>
        <w:gridCol w:w="3676"/>
      </w:tblGrid>
      <w:tr w:rsidR="00850722" w:rsidRPr="00850722" w14:paraId="377E93C6" w14:textId="77777777" w:rsidTr="0091390E">
        <w:trPr>
          <w:trHeight w:hRule="exact" w:val="418"/>
          <w:jc w:val="center"/>
        </w:trPr>
        <w:tc>
          <w:tcPr>
            <w:tcW w:w="8721" w:type="dxa"/>
            <w:gridSpan w:val="2"/>
          </w:tcPr>
          <w:p w14:paraId="51369F00" w14:textId="77777777" w:rsidR="00850722" w:rsidRPr="00850722" w:rsidRDefault="00850722" w:rsidP="009E0934">
            <w:pPr>
              <w:pStyle w:val="a3"/>
              <w:jc w:val="center"/>
              <w:rPr>
                <w:rFonts w:ascii="Tahoma" w:hAnsi="Tahoma" w:cs="Tahoma"/>
                <w:color w:val="000080"/>
                <w:rtl/>
              </w:rPr>
            </w:pPr>
            <w:r w:rsidRPr="00850722">
              <w:rPr>
                <w:rFonts w:ascii="Tahoma" w:hAnsi="Tahoma" w:cs="Tahoma"/>
                <w:b/>
                <w:bCs/>
                <w:color w:val="000080"/>
                <w:rtl/>
              </w:rPr>
              <w:t>בית המשפט המחוזי בבאר שבע</w:t>
            </w:r>
          </w:p>
        </w:tc>
      </w:tr>
      <w:tr w:rsidR="00850722" w:rsidRPr="00AC6105" w14:paraId="20515B44" w14:textId="77777777" w:rsidTr="00AC6105">
        <w:trPr>
          <w:trHeight w:val="290"/>
          <w:jc w:val="center"/>
        </w:trPr>
        <w:tc>
          <w:tcPr>
            <w:tcW w:w="5045" w:type="dxa"/>
          </w:tcPr>
          <w:p w14:paraId="0DF7E56E" w14:textId="77777777" w:rsidR="00850722" w:rsidRPr="00AC6105" w:rsidRDefault="00AC6105" w:rsidP="00AC6105">
            <w:pPr>
              <w:spacing w:before="120" w:after="120"/>
              <w:rPr>
                <w:rFonts w:ascii="David" w:hAnsi="David"/>
                <w:b/>
                <w:bCs/>
                <w:sz w:val="26"/>
                <w:szCs w:val="26"/>
                <w:rtl/>
              </w:rPr>
            </w:pPr>
            <w:r w:rsidRPr="00AC6105">
              <w:rPr>
                <w:rFonts w:ascii="David" w:hAnsi="David"/>
                <w:b/>
                <w:bCs/>
                <w:sz w:val="26"/>
                <w:szCs w:val="26"/>
                <w:rtl/>
              </w:rPr>
              <w:t>ת"פ 15423-12-19 מדינת ישראל נ' רוש(עציר)</w:t>
            </w:r>
          </w:p>
        </w:tc>
        <w:tc>
          <w:tcPr>
            <w:tcW w:w="3676" w:type="dxa"/>
          </w:tcPr>
          <w:p w14:paraId="7A295FE9" w14:textId="77777777" w:rsidR="00850722" w:rsidRPr="00AC6105" w:rsidRDefault="00850722" w:rsidP="00AC6105">
            <w:pPr>
              <w:spacing w:before="120" w:after="120"/>
              <w:jc w:val="right"/>
              <w:rPr>
                <w:rFonts w:ascii="David" w:hAnsi="David"/>
                <w:b/>
                <w:bCs/>
                <w:sz w:val="26"/>
                <w:szCs w:val="26"/>
                <w:rtl/>
              </w:rPr>
            </w:pPr>
            <w:r w:rsidRPr="00AC6105">
              <w:rPr>
                <w:rFonts w:ascii="David" w:hAnsi="David"/>
                <w:b/>
                <w:bCs/>
                <w:sz w:val="26"/>
                <w:szCs w:val="26"/>
                <w:rtl/>
              </w:rPr>
              <w:t>11 באוגוסט 2020</w:t>
            </w:r>
          </w:p>
        </w:tc>
      </w:tr>
      <w:tr w:rsidR="00AC6105" w:rsidRPr="00AC6105" w14:paraId="07C9A099" w14:textId="77777777" w:rsidTr="0091390E">
        <w:trPr>
          <w:trHeight w:val="337"/>
          <w:jc w:val="center"/>
        </w:trPr>
        <w:tc>
          <w:tcPr>
            <w:tcW w:w="5045" w:type="dxa"/>
          </w:tcPr>
          <w:p w14:paraId="6C270FA6" w14:textId="77777777" w:rsidR="00AC6105" w:rsidRPr="00AC6105" w:rsidRDefault="00AC6105" w:rsidP="00AC6105">
            <w:pPr>
              <w:spacing w:before="120" w:after="120"/>
              <w:rPr>
                <w:rFonts w:ascii="David" w:hAnsi="David"/>
                <w:b/>
                <w:bCs/>
                <w:sz w:val="26"/>
                <w:szCs w:val="26"/>
                <w:rtl/>
              </w:rPr>
            </w:pPr>
            <w:r w:rsidRPr="00AC6105">
              <w:rPr>
                <w:rFonts w:ascii="David" w:hAnsi="David"/>
                <w:b/>
                <w:bCs/>
                <w:sz w:val="26"/>
                <w:szCs w:val="26"/>
                <w:rtl/>
              </w:rPr>
              <w:t>בפני כבוד סגן הנשיאה, השופט אליהו ביתן</w:t>
            </w:r>
          </w:p>
        </w:tc>
        <w:tc>
          <w:tcPr>
            <w:tcW w:w="3676" w:type="dxa"/>
          </w:tcPr>
          <w:p w14:paraId="31904C3D" w14:textId="77777777" w:rsidR="00AC6105" w:rsidRPr="00AC6105" w:rsidRDefault="00AC6105" w:rsidP="00AC6105">
            <w:pPr>
              <w:pStyle w:val="a3"/>
              <w:spacing w:before="120" w:after="120"/>
              <w:jc w:val="right"/>
              <w:rPr>
                <w:rFonts w:ascii="David" w:hAnsi="David"/>
                <w:b/>
                <w:bCs/>
                <w:sz w:val="26"/>
                <w:szCs w:val="26"/>
                <w:rtl/>
              </w:rPr>
            </w:pPr>
          </w:p>
        </w:tc>
      </w:tr>
    </w:tbl>
    <w:p w14:paraId="5D22B84A" w14:textId="77777777" w:rsidR="00507694" w:rsidRPr="00850722" w:rsidRDefault="00850722" w:rsidP="00AC6105">
      <w:pPr>
        <w:pStyle w:val="a3"/>
        <w:spacing w:before="120" w:after="120"/>
        <w:rPr>
          <w:rFonts w:ascii="David" w:hAnsi="David"/>
          <w:rtl/>
        </w:rPr>
      </w:pPr>
      <w:bookmarkStart w:id="0" w:name="LastJudge"/>
      <w:bookmarkEnd w:id="0"/>
      <w:r w:rsidRPr="00AC610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906"/>
        <w:gridCol w:w="3582"/>
      </w:tblGrid>
      <w:tr w:rsidR="00850722" w:rsidRPr="00850722" w14:paraId="2F3E86C6" w14:textId="77777777" w:rsidTr="00AC6105">
        <w:trPr>
          <w:trHeight w:val="355"/>
          <w:jc w:val="center"/>
        </w:trPr>
        <w:tc>
          <w:tcPr>
            <w:tcW w:w="1332" w:type="dxa"/>
            <w:tcBorders>
              <w:top w:val="nil"/>
              <w:left w:val="nil"/>
              <w:bottom w:val="nil"/>
              <w:right w:val="nil"/>
            </w:tcBorders>
            <w:shd w:val="clear" w:color="auto" w:fill="auto"/>
          </w:tcPr>
          <w:p w14:paraId="1804DD41" w14:textId="77777777" w:rsidR="00850722" w:rsidRPr="00AC6105" w:rsidRDefault="00850722" w:rsidP="00AC6105">
            <w:pPr>
              <w:spacing w:before="120" w:after="120"/>
              <w:jc w:val="both"/>
              <w:rPr>
                <w:rFonts w:ascii="David" w:hAnsi="David"/>
                <w:b/>
                <w:bCs/>
                <w:sz w:val="26"/>
                <w:szCs w:val="26"/>
              </w:rPr>
            </w:pPr>
            <w:r w:rsidRPr="00AC6105">
              <w:rPr>
                <w:rFonts w:ascii="David" w:hAnsi="David"/>
                <w:b/>
                <w:bCs/>
                <w:sz w:val="26"/>
                <w:szCs w:val="26"/>
                <w:rtl/>
              </w:rPr>
              <w:t>בעניין:</w:t>
            </w:r>
          </w:p>
        </w:tc>
        <w:tc>
          <w:tcPr>
            <w:tcW w:w="3906" w:type="dxa"/>
            <w:tcBorders>
              <w:top w:val="nil"/>
              <w:left w:val="nil"/>
              <w:bottom w:val="nil"/>
              <w:right w:val="nil"/>
            </w:tcBorders>
            <w:shd w:val="clear" w:color="auto" w:fill="auto"/>
          </w:tcPr>
          <w:p w14:paraId="0DA8CF72" w14:textId="77777777" w:rsidR="00850722" w:rsidRPr="00AC6105" w:rsidRDefault="00850722" w:rsidP="00AC6105">
            <w:pPr>
              <w:spacing w:before="120" w:after="120"/>
              <w:rPr>
                <w:rFonts w:ascii="David" w:hAnsi="David"/>
                <w:b/>
                <w:bCs/>
                <w:sz w:val="26"/>
                <w:szCs w:val="26"/>
              </w:rPr>
            </w:pPr>
            <w:r w:rsidRPr="00AC6105">
              <w:rPr>
                <w:rFonts w:ascii="David" w:hAnsi="David"/>
                <w:b/>
                <w:bCs/>
                <w:sz w:val="26"/>
                <w:szCs w:val="26"/>
                <w:rtl/>
              </w:rPr>
              <w:t xml:space="preserve">     </w:t>
            </w:r>
          </w:p>
        </w:tc>
        <w:tc>
          <w:tcPr>
            <w:tcW w:w="3582" w:type="dxa"/>
            <w:tcBorders>
              <w:top w:val="nil"/>
              <w:left w:val="nil"/>
              <w:bottom w:val="nil"/>
              <w:right w:val="nil"/>
            </w:tcBorders>
            <w:shd w:val="clear" w:color="auto" w:fill="auto"/>
          </w:tcPr>
          <w:p w14:paraId="202B112C" w14:textId="77777777" w:rsidR="00850722" w:rsidRPr="00AC6105" w:rsidRDefault="00850722" w:rsidP="00AC6105">
            <w:pPr>
              <w:spacing w:before="120" w:after="120"/>
              <w:jc w:val="both"/>
              <w:rPr>
                <w:rFonts w:ascii="David" w:hAnsi="David"/>
                <w:b/>
                <w:bCs/>
                <w:sz w:val="26"/>
                <w:szCs w:val="26"/>
              </w:rPr>
            </w:pPr>
          </w:p>
        </w:tc>
      </w:tr>
      <w:tr w:rsidR="00850722" w:rsidRPr="00850722" w14:paraId="208CD084" w14:textId="77777777" w:rsidTr="00AC6105">
        <w:trPr>
          <w:trHeight w:val="355"/>
          <w:jc w:val="center"/>
        </w:trPr>
        <w:tc>
          <w:tcPr>
            <w:tcW w:w="1332" w:type="dxa"/>
            <w:tcBorders>
              <w:top w:val="nil"/>
              <w:left w:val="nil"/>
              <w:bottom w:val="nil"/>
              <w:right w:val="nil"/>
            </w:tcBorders>
            <w:shd w:val="clear" w:color="auto" w:fill="auto"/>
          </w:tcPr>
          <w:p w14:paraId="0CC51FD7" w14:textId="77777777" w:rsidR="00850722" w:rsidRPr="00AC6105" w:rsidRDefault="00850722" w:rsidP="00AC6105">
            <w:pPr>
              <w:spacing w:before="120" w:after="120"/>
              <w:jc w:val="both"/>
              <w:rPr>
                <w:rFonts w:ascii="David" w:hAnsi="David"/>
                <w:b/>
                <w:bCs/>
                <w:sz w:val="26"/>
                <w:szCs w:val="26"/>
                <w:rtl/>
              </w:rPr>
            </w:pPr>
            <w:bookmarkStart w:id="1" w:name="FirstAppellant"/>
            <w:r w:rsidRPr="00AC6105">
              <w:rPr>
                <w:rFonts w:ascii="David" w:hAnsi="David" w:hint="cs"/>
                <w:b/>
                <w:bCs/>
                <w:sz w:val="26"/>
                <w:szCs w:val="26"/>
                <w:rtl/>
              </w:rPr>
              <w:t>המאשימה:</w:t>
            </w:r>
          </w:p>
        </w:tc>
        <w:tc>
          <w:tcPr>
            <w:tcW w:w="3906" w:type="dxa"/>
            <w:tcBorders>
              <w:top w:val="nil"/>
              <w:left w:val="nil"/>
              <w:bottom w:val="nil"/>
              <w:right w:val="nil"/>
            </w:tcBorders>
            <w:shd w:val="clear" w:color="auto" w:fill="auto"/>
          </w:tcPr>
          <w:p w14:paraId="016340A5" w14:textId="77777777" w:rsidR="00850722" w:rsidRPr="00AC6105" w:rsidRDefault="00850722" w:rsidP="00AC6105">
            <w:pPr>
              <w:spacing w:before="120" w:after="120"/>
              <w:jc w:val="both"/>
              <w:rPr>
                <w:rFonts w:ascii="David" w:hAnsi="David"/>
                <w:b/>
                <w:bCs/>
                <w:sz w:val="26"/>
                <w:szCs w:val="26"/>
                <w:rtl/>
              </w:rPr>
            </w:pPr>
            <w:r w:rsidRPr="00AC6105">
              <w:rPr>
                <w:rFonts w:ascii="David" w:hAnsi="David" w:hint="cs"/>
                <w:b/>
                <w:bCs/>
                <w:sz w:val="26"/>
                <w:szCs w:val="26"/>
                <w:rtl/>
              </w:rPr>
              <w:t xml:space="preserve">מדינת ישראל </w:t>
            </w:r>
          </w:p>
        </w:tc>
        <w:tc>
          <w:tcPr>
            <w:tcW w:w="3582" w:type="dxa"/>
            <w:tcBorders>
              <w:top w:val="nil"/>
              <w:left w:val="nil"/>
              <w:bottom w:val="nil"/>
              <w:right w:val="nil"/>
            </w:tcBorders>
            <w:shd w:val="clear" w:color="auto" w:fill="auto"/>
          </w:tcPr>
          <w:p w14:paraId="57B39CA2" w14:textId="77777777" w:rsidR="00850722" w:rsidRPr="00AC6105" w:rsidRDefault="00850722" w:rsidP="00AC6105">
            <w:pPr>
              <w:spacing w:before="120" w:after="120"/>
              <w:jc w:val="right"/>
              <w:rPr>
                <w:rFonts w:ascii="David" w:hAnsi="David"/>
                <w:b/>
                <w:bCs/>
                <w:sz w:val="26"/>
                <w:szCs w:val="26"/>
                <w:rtl/>
              </w:rPr>
            </w:pPr>
          </w:p>
        </w:tc>
      </w:tr>
      <w:bookmarkEnd w:id="1"/>
      <w:tr w:rsidR="00AC6105" w:rsidRPr="00850722" w14:paraId="7E4DD57B" w14:textId="77777777" w:rsidTr="0094289D">
        <w:trPr>
          <w:trHeight w:val="355"/>
          <w:jc w:val="center"/>
        </w:trPr>
        <w:tc>
          <w:tcPr>
            <w:tcW w:w="8820" w:type="dxa"/>
            <w:gridSpan w:val="3"/>
            <w:tcBorders>
              <w:top w:val="nil"/>
              <w:left w:val="nil"/>
              <w:bottom w:val="nil"/>
              <w:right w:val="nil"/>
            </w:tcBorders>
            <w:shd w:val="clear" w:color="auto" w:fill="auto"/>
          </w:tcPr>
          <w:p w14:paraId="552818D7" w14:textId="77777777" w:rsidR="00AC6105" w:rsidRPr="00AC6105" w:rsidRDefault="00AC6105" w:rsidP="00AC6105">
            <w:pPr>
              <w:spacing w:before="240" w:after="240"/>
              <w:jc w:val="center"/>
              <w:rPr>
                <w:rFonts w:ascii="David" w:hAnsi="David"/>
                <w:b/>
                <w:bCs/>
                <w:sz w:val="26"/>
                <w:szCs w:val="26"/>
              </w:rPr>
            </w:pPr>
            <w:r w:rsidRPr="00AC6105">
              <w:rPr>
                <w:rFonts w:ascii="David" w:hAnsi="David"/>
                <w:b/>
                <w:bCs/>
                <w:sz w:val="26"/>
                <w:szCs w:val="26"/>
                <w:rtl/>
              </w:rPr>
              <w:t>נגד</w:t>
            </w:r>
          </w:p>
        </w:tc>
      </w:tr>
      <w:tr w:rsidR="00850722" w:rsidRPr="00850722" w14:paraId="6E181A17" w14:textId="77777777" w:rsidTr="00AC6105">
        <w:trPr>
          <w:trHeight w:val="355"/>
          <w:jc w:val="center"/>
        </w:trPr>
        <w:tc>
          <w:tcPr>
            <w:tcW w:w="1332" w:type="dxa"/>
            <w:tcBorders>
              <w:top w:val="nil"/>
              <w:left w:val="nil"/>
              <w:bottom w:val="nil"/>
              <w:right w:val="nil"/>
            </w:tcBorders>
            <w:shd w:val="clear" w:color="auto" w:fill="auto"/>
          </w:tcPr>
          <w:p w14:paraId="0B03C6AC" w14:textId="77777777" w:rsidR="00850722" w:rsidRPr="00AC6105" w:rsidRDefault="00850722" w:rsidP="00AC6105">
            <w:pPr>
              <w:spacing w:before="120" w:after="120"/>
              <w:rPr>
                <w:rFonts w:ascii="David" w:hAnsi="David"/>
                <w:b/>
                <w:bCs/>
                <w:sz w:val="26"/>
                <w:szCs w:val="26"/>
                <w:rtl/>
              </w:rPr>
            </w:pPr>
            <w:r w:rsidRPr="00AC6105">
              <w:rPr>
                <w:rFonts w:ascii="David" w:hAnsi="David" w:hint="cs"/>
                <w:b/>
                <w:bCs/>
                <w:sz w:val="26"/>
                <w:szCs w:val="26"/>
                <w:rtl/>
              </w:rPr>
              <w:t>הנאשם:</w:t>
            </w:r>
          </w:p>
        </w:tc>
        <w:tc>
          <w:tcPr>
            <w:tcW w:w="3906" w:type="dxa"/>
            <w:tcBorders>
              <w:top w:val="nil"/>
              <w:left w:val="nil"/>
              <w:bottom w:val="nil"/>
              <w:right w:val="nil"/>
            </w:tcBorders>
            <w:shd w:val="clear" w:color="auto" w:fill="auto"/>
          </w:tcPr>
          <w:p w14:paraId="2AE9790C" w14:textId="77777777" w:rsidR="00850722" w:rsidRPr="00AC6105" w:rsidRDefault="00850722" w:rsidP="00AC6105">
            <w:pPr>
              <w:spacing w:before="120" w:after="120"/>
              <w:rPr>
                <w:rFonts w:ascii="David" w:hAnsi="David"/>
                <w:b/>
                <w:bCs/>
                <w:sz w:val="26"/>
                <w:szCs w:val="26"/>
                <w:rtl/>
              </w:rPr>
            </w:pPr>
            <w:r w:rsidRPr="00AC6105">
              <w:rPr>
                <w:rFonts w:ascii="David" w:hAnsi="David"/>
                <w:b/>
                <w:bCs/>
                <w:sz w:val="26"/>
                <w:szCs w:val="26"/>
                <w:rtl/>
              </w:rPr>
              <w:t>איתמר רוש (עציר)</w:t>
            </w:r>
          </w:p>
        </w:tc>
        <w:tc>
          <w:tcPr>
            <w:tcW w:w="3582" w:type="dxa"/>
            <w:tcBorders>
              <w:top w:val="nil"/>
              <w:left w:val="nil"/>
              <w:bottom w:val="nil"/>
              <w:right w:val="nil"/>
            </w:tcBorders>
            <w:shd w:val="clear" w:color="auto" w:fill="auto"/>
          </w:tcPr>
          <w:p w14:paraId="59D57C8D" w14:textId="77777777" w:rsidR="00850722" w:rsidRPr="00AC6105" w:rsidRDefault="00850722" w:rsidP="00AC6105">
            <w:pPr>
              <w:spacing w:before="120" w:after="120"/>
              <w:jc w:val="right"/>
              <w:rPr>
                <w:rFonts w:ascii="David" w:hAnsi="David"/>
                <w:b/>
                <w:bCs/>
                <w:sz w:val="26"/>
                <w:szCs w:val="26"/>
              </w:rPr>
            </w:pPr>
          </w:p>
        </w:tc>
      </w:tr>
    </w:tbl>
    <w:p w14:paraId="2DADE1A3" w14:textId="77777777" w:rsidR="00850722" w:rsidRPr="00850722" w:rsidRDefault="00850722" w:rsidP="00F80AE2">
      <w:pPr>
        <w:spacing w:line="360" w:lineRule="auto"/>
        <w:rPr>
          <w:rFonts w:ascii="David" w:hAnsi="David"/>
          <w:b/>
          <w:bCs/>
        </w:rPr>
      </w:pPr>
    </w:p>
    <w:p w14:paraId="02B5F8AB" w14:textId="77777777" w:rsidR="000F43A1" w:rsidRPr="000F43A1" w:rsidRDefault="000F43A1" w:rsidP="000F43A1">
      <w:pPr>
        <w:spacing w:before="120" w:after="120" w:line="240" w:lineRule="exact"/>
        <w:ind w:left="283" w:hanging="283"/>
        <w:jc w:val="both"/>
        <w:rPr>
          <w:rFonts w:ascii="FrankRuehl" w:hAnsi="FrankRuehl" w:cs="FrankRuehl"/>
          <w:rtl/>
        </w:rPr>
      </w:pPr>
      <w:r w:rsidRPr="000F43A1">
        <w:rPr>
          <w:rFonts w:ascii="FrankRuehl" w:hAnsi="FrankRuehl" w:cs="FrankRuehl"/>
          <w:rtl/>
        </w:rPr>
        <w:t xml:space="preserve">חקיקה שאוזכרה: </w:t>
      </w:r>
    </w:p>
    <w:p w14:paraId="1A11726B" w14:textId="77777777" w:rsidR="000F43A1" w:rsidRPr="000F43A1" w:rsidRDefault="000F43A1" w:rsidP="000F43A1">
      <w:pPr>
        <w:spacing w:before="120" w:after="120" w:line="240" w:lineRule="exact"/>
        <w:ind w:left="283" w:hanging="283"/>
        <w:jc w:val="both"/>
        <w:rPr>
          <w:rFonts w:ascii="FrankRuehl" w:hAnsi="FrankRuehl" w:cs="FrankRuehl"/>
          <w:color w:val="0000FF"/>
          <w:rtl/>
        </w:rPr>
      </w:pPr>
      <w:hyperlink r:id="rId8" w:history="1">
        <w:r w:rsidRPr="000F43A1">
          <w:rPr>
            <w:rStyle w:val="Hyperlink"/>
            <w:rFonts w:ascii="FrankRuehl" w:hAnsi="FrankRuehl" w:cs="FrankRuehl"/>
            <w:rtl/>
          </w:rPr>
          <w:t>חוק העונשין, תשל"ז-1977</w:t>
        </w:r>
      </w:hyperlink>
      <w:r w:rsidRPr="000F43A1">
        <w:rPr>
          <w:rFonts w:ascii="FrankRuehl" w:hAnsi="FrankRuehl" w:cs="FrankRuehl"/>
          <w:color w:val="0000FF"/>
          <w:u w:val="single"/>
          <w:rtl/>
        </w:rPr>
        <w:t xml:space="preserve">: סע'  </w:t>
      </w:r>
      <w:hyperlink r:id="rId9" w:history="1">
        <w:r w:rsidRPr="000F43A1">
          <w:rPr>
            <w:rStyle w:val="Hyperlink"/>
            <w:rFonts w:ascii="FrankRuehl" w:hAnsi="FrankRuehl" w:cs="FrankRuehl"/>
          </w:rPr>
          <w:t>58</w:t>
        </w:r>
      </w:hyperlink>
      <w:r w:rsidRPr="000F43A1">
        <w:rPr>
          <w:rFonts w:ascii="FrankRuehl" w:hAnsi="FrankRuehl" w:cs="FrankRuehl"/>
          <w:color w:val="0000FF"/>
          <w:u w:val="single"/>
          <w:rtl/>
        </w:rPr>
        <w:t xml:space="preserve">, </w:t>
      </w:r>
      <w:hyperlink r:id="rId10" w:history="1">
        <w:r w:rsidRPr="000F43A1">
          <w:rPr>
            <w:rStyle w:val="Hyperlink"/>
            <w:rFonts w:ascii="FrankRuehl" w:hAnsi="FrankRuehl" w:cs="FrankRuehl"/>
          </w:rPr>
          <w:t xml:space="preserve">144 </w:t>
        </w:r>
      </w:hyperlink>
      <w:r w:rsidRPr="000F43A1">
        <w:rPr>
          <w:rFonts w:ascii="FrankRuehl" w:hAnsi="FrankRuehl" w:cs="FrankRuehl"/>
          <w:color w:val="0000FF"/>
          <w:rtl/>
        </w:rPr>
        <w:t>(ב)</w:t>
      </w:r>
    </w:p>
    <w:p w14:paraId="2A5F327D" w14:textId="77777777" w:rsidR="00507694" w:rsidRDefault="00507694" w:rsidP="000F43A1">
      <w:pPr>
        <w:spacing w:line="360" w:lineRule="auto"/>
        <w:rPr>
          <w:rFonts w:ascii="David" w:hAnsi="David" w:hint="cs"/>
          <w:rtl/>
        </w:rPr>
      </w:pPr>
      <w:bookmarkStart w:id="2" w:name="LawTable_End"/>
      <w:bookmarkEnd w:id="2"/>
    </w:p>
    <w:p w14:paraId="2120B80F" w14:textId="77777777" w:rsidR="00753B53" w:rsidRDefault="00753B53" w:rsidP="00753B53">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7F41D855"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lang w:eastAsia="he-IL"/>
        </w:rPr>
      </w:pPr>
      <w:r>
        <w:rPr>
          <w:rFonts w:cs="FrankRuehl" w:hint="cs"/>
          <w:szCs w:val="26"/>
          <w:rtl/>
        </w:rPr>
        <w:t xml:space="preserve">* </w:t>
      </w:r>
      <w:r w:rsidRPr="00753B53">
        <w:rPr>
          <w:rFonts w:cs="FrankRuehl" w:hint="cs"/>
          <w:szCs w:val="26"/>
          <w:rtl/>
        </w:rPr>
        <w:t xml:space="preserve">בית המשפט השית על הנאשם שהורשע על פי הודאתו בנשיאת אקדח עם משתיק קול תואם עונש של 30 </w:t>
      </w:r>
      <w:r w:rsidRPr="00753B53">
        <w:rPr>
          <w:rFonts w:cs="FrankRuehl" w:hint="cs"/>
          <w:szCs w:val="26"/>
          <w:rtl/>
          <w:lang w:eastAsia="he-IL"/>
        </w:rPr>
        <w:t>חודשי מאסר בפועל, מיום מעצרו, והפעלת מאסר על תנאי בן 12 החודשים התלוי ועומד נגדו.</w:t>
      </w:r>
    </w:p>
    <w:p w14:paraId="1C15409F" w14:textId="77777777" w:rsidR="00753B53" w:rsidRDefault="00753B53" w:rsidP="00753B53">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נשק</w:t>
      </w:r>
    </w:p>
    <w:p w14:paraId="765CE475" w14:textId="77777777" w:rsidR="00753B53" w:rsidRDefault="00753B53" w:rsidP="00753B5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4B54E65"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 xml:space="preserve">הנאשם הורשע, על פי הודאתו, בעבירה של נשיאה והובלה של נשק ללא רשות. במסגרת הסדר הטיעון, המליצו הצדדים לבית המשפט להטיל על הנאשם 24 חודשי מאסר בפועל ולהפעיל מאסר על תנאי בן 12 חודשים, מחציתו בחופף ומחציתו במצטבר, כך שבסה"כ הנאשם יישא 30 חודשי מאסר בפועל. ולהטיל עליו מאסר על תנאי, פסילת רישיון נהיגה בפועל ועל תנאי לפי שיקול דעת בית המשפט, וקנס בסך 35,000 ₪. </w:t>
      </w:r>
    </w:p>
    <w:p w14:paraId="1A8D5621" w14:textId="77777777" w:rsidR="00753B53" w:rsidRPr="00753B53" w:rsidRDefault="00753B53" w:rsidP="00753B5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B2DF6DF"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בית המשפט פסק כלהלן:</w:t>
      </w:r>
    </w:p>
    <w:p w14:paraId="6D649C68"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 xml:space="preserve">הכוח הטמון בנשק לירות תחמושת המסוגלת להמית אדם, עושה את הנשק לכלי מסוכן; נשיאת האקדח עם משתיק קול תואם, משייכת את מעשה הנאשם לקטגוריית הנסיבות העברייניות החמורות של עבירת נשיאת נשק. </w:t>
      </w:r>
    </w:p>
    <w:p w14:paraId="47D121FD"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בשנים האחרונות, על רקע היקף תופעת החזקת הנשק הבלתי חוקי ומשמעויותיה הקשות לציבור, בית המשפט העליון קבע פעם אחר פעם את הצורך בהחמרת הענישה אף מעבר לרמה שה</w:t>
      </w:r>
      <w:r>
        <w:rPr>
          <w:rFonts w:cs="FrankRuehl" w:hint="cs"/>
          <w:szCs w:val="26"/>
          <w:rtl/>
        </w:rPr>
        <w:t>י</w:t>
      </w:r>
      <w:r w:rsidRPr="00753B53">
        <w:rPr>
          <w:rFonts w:cs="FrankRuehl" w:hint="cs"/>
          <w:szCs w:val="26"/>
          <w:rtl/>
        </w:rPr>
        <w:t>יתה נהוגה</w:t>
      </w:r>
      <w:r w:rsidRPr="00753B53">
        <w:rPr>
          <w:rFonts w:cs="FrankRuehl" w:hint="cs"/>
          <w:szCs w:val="26"/>
          <w:rtl/>
          <w:lang w:eastAsia="he-IL"/>
        </w:rPr>
        <w:t xml:space="preserve">. </w:t>
      </w:r>
    </w:p>
    <w:p w14:paraId="3D11C971"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lastRenderedPageBreak/>
        <w:t>למרות מעמדו המיוחד של הסדר הטיעון בשיטתנו המשפטית, אישורו על ידי בית המשפט איננו פעולה אוטומטית, המתמצת במתן גושפנקה פורמאלית בלבד להסכמות הצדדים, אלא הוא אקט הכרוך בבחינה מהותית, עניינית, של ההסדר ובהפעלת שיקול דעת.</w:t>
      </w:r>
    </w:p>
    <w:p w14:paraId="6E69C86B"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 xml:space="preserve">אין המדובר כאן במי שזו לו המעידה הפלילית הראשונה, או שזו הרשעתו הראשונה בעבירת נשק. אלא בנאשם שהוא עבריין מועד, פשוטו כמשמעו, המבצע עבירות חמורות פעם אחר פעם, אשר נדון לתקופות מאסר בלתי מבוטלות ואינו מורתע מכך, וזמן קצר ביותר לאחר שחרורו מתקופת מאסר של כ-4 שנים, הוא שב ומבצע עבירה חמורה, מאותו סוג עבירה עליה נדון למאסרו האחרון, בזמן שתלוי ועומד נגדו מאסר על תנאי של שנה. </w:t>
      </w:r>
    </w:p>
    <w:p w14:paraId="6B3A9EF0" w14:textId="77777777" w:rsidR="00753B53" w:rsidRPr="00753B53" w:rsidRDefault="00753B53" w:rsidP="00753B53">
      <w:pPr>
        <w:pBdr>
          <w:top w:val="single" w:sz="4" w:space="1" w:color="auto"/>
          <w:bottom w:val="single" w:sz="4" w:space="1" w:color="auto"/>
        </w:pBdr>
        <w:spacing w:after="120" w:line="320" w:lineRule="exact"/>
        <w:jc w:val="both"/>
        <w:rPr>
          <w:rFonts w:cs="FrankRuehl"/>
          <w:szCs w:val="26"/>
          <w:rtl/>
        </w:rPr>
      </w:pPr>
      <w:r w:rsidRPr="00753B53">
        <w:rPr>
          <w:rFonts w:cs="FrankRuehl" w:hint="cs"/>
          <w:szCs w:val="26"/>
          <w:rtl/>
        </w:rPr>
        <w:t>לא קיים טעם משכנע אחד המצדיק חפיפת חלק מתקופת המאסר שיש להפעיל.</w:t>
      </w:r>
    </w:p>
    <w:p w14:paraId="42F056F2" w14:textId="77777777" w:rsidR="00753B53" w:rsidRPr="000F43A1" w:rsidRDefault="00753B53" w:rsidP="000F43A1">
      <w:pPr>
        <w:spacing w:line="360" w:lineRule="auto"/>
        <w:rPr>
          <w:rFonts w:ascii="David" w:hAnsi="David"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0722" w:rsidRPr="009A335F" w14:paraId="6F7801A9" w14:textId="77777777" w:rsidTr="009E0934">
        <w:trPr>
          <w:trHeight w:val="355"/>
          <w:jc w:val="center"/>
        </w:trPr>
        <w:tc>
          <w:tcPr>
            <w:tcW w:w="8820" w:type="dxa"/>
            <w:tcBorders>
              <w:top w:val="nil"/>
              <w:left w:val="nil"/>
              <w:bottom w:val="nil"/>
              <w:right w:val="nil"/>
            </w:tcBorders>
            <w:shd w:val="clear" w:color="auto" w:fill="auto"/>
          </w:tcPr>
          <w:p w14:paraId="19446233" w14:textId="77777777" w:rsidR="00850722" w:rsidRPr="00850722" w:rsidRDefault="00850722" w:rsidP="00850722">
            <w:pPr>
              <w:spacing w:line="360" w:lineRule="auto"/>
              <w:jc w:val="center"/>
              <w:rPr>
                <w:rFonts w:ascii="David" w:hAnsi="David"/>
                <w:b/>
                <w:bCs/>
                <w:sz w:val="28"/>
                <w:szCs w:val="28"/>
                <w:u w:val="single"/>
                <w:rtl/>
              </w:rPr>
            </w:pPr>
            <w:bookmarkStart w:id="5" w:name="PsakDin" w:colFirst="0" w:colLast="0"/>
            <w:r w:rsidRPr="00850722">
              <w:rPr>
                <w:rFonts w:ascii="David" w:hAnsi="David"/>
                <w:b/>
                <w:bCs/>
                <w:sz w:val="28"/>
                <w:szCs w:val="28"/>
                <w:u w:val="single"/>
                <w:rtl/>
              </w:rPr>
              <w:t>גזר דין</w:t>
            </w:r>
          </w:p>
        </w:tc>
      </w:tr>
      <w:bookmarkEnd w:id="5"/>
    </w:tbl>
    <w:p w14:paraId="69E4A701" w14:textId="77777777" w:rsidR="00850722" w:rsidRPr="009A335F" w:rsidRDefault="00850722" w:rsidP="00F80AE2">
      <w:pPr>
        <w:spacing w:line="360" w:lineRule="auto"/>
        <w:rPr>
          <w:rFonts w:ascii="David" w:hAnsi="David"/>
          <w:rtl/>
        </w:rPr>
      </w:pPr>
    </w:p>
    <w:p w14:paraId="03E7BFE3" w14:textId="77777777" w:rsidR="009A335F" w:rsidRPr="009A335F" w:rsidRDefault="009A335F" w:rsidP="009A335F">
      <w:pPr>
        <w:spacing w:line="360" w:lineRule="auto"/>
        <w:jc w:val="both"/>
        <w:rPr>
          <w:b/>
          <w:bCs/>
          <w:u w:val="single"/>
        </w:rPr>
      </w:pPr>
      <w:r w:rsidRPr="009A335F">
        <w:rPr>
          <w:rFonts w:hint="cs"/>
          <w:b/>
          <w:bCs/>
          <w:u w:val="single"/>
          <w:rtl/>
        </w:rPr>
        <w:t>כללי</w:t>
      </w:r>
    </w:p>
    <w:p w14:paraId="6CB917DE" w14:textId="77777777" w:rsidR="009A335F" w:rsidRPr="009A335F" w:rsidRDefault="009A335F" w:rsidP="009A335F">
      <w:pPr>
        <w:spacing w:line="360" w:lineRule="auto"/>
        <w:ind w:left="720" w:hanging="720"/>
        <w:jc w:val="both"/>
        <w:rPr>
          <w:rtl/>
        </w:rPr>
      </w:pPr>
      <w:r w:rsidRPr="009A335F">
        <w:rPr>
          <w:rFonts w:hint="cs"/>
          <w:rtl/>
        </w:rPr>
        <w:t>1.</w:t>
      </w:r>
      <w:r w:rsidRPr="009A335F">
        <w:rPr>
          <w:rFonts w:hint="cs"/>
          <w:rtl/>
        </w:rPr>
        <w:tab/>
        <w:t xml:space="preserve">בטרם שמיעת הראיות, הגיעו הצדדים להסדר טיעון במסגרתו הוגש נגד הנאשם כתב אישום מתוקן והנאשם הודה בעובדותיו, שאלה הן עיקריהן - </w:t>
      </w:r>
    </w:p>
    <w:p w14:paraId="13D58687" w14:textId="77777777" w:rsidR="009A335F" w:rsidRPr="009A335F" w:rsidRDefault="009A335F" w:rsidP="009A335F">
      <w:pPr>
        <w:spacing w:line="360" w:lineRule="auto"/>
        <w:ind w:left="720"/>
        <w:jc w:val="both"/>
        <w:rPr>
          <w:rtl/>
        </w:rPr>
      </w:pPr>
      <w:r w:rsidRPr="009A335F">
        <w:rPr>
          <w:rFonts w:hint="cs"/>
          <w:rtl/>
        </w:rPr>
        <w:t xml:space="preserve">בתאריך 19.11.19 סמוך לשעה 19:00 הנאשם נהג באופנוע בכביש 4 דרום לכיוון צומת אשקלון. באותה עת הנאשם נשא על גבו תיק גב ובו אקדח חצי אוטומטי מסוג ברטה, שנגנב מבעליו בשנת 2007, ובתוכו מחסנית מתאימה ובה כדור אחד בקליבר 0.22, ומשתיק קול בעל הברגה תואמת לאקדח. שוטרים שהיו בפעילות משטרתית יזומה חסמו את נתיב הנסיעה של הנאשם וכשהבחינו באופנוע הורו לנאשם לעצור. הנאשם הגביר את מהירות נסיעתו, ניסה לעבור את החסימה דרך השול השמאלי, נפל אל הקרקע ומיד קם והחל לרוץ לעבר שטח ההפרדה בין הנתיבים כשהוא נושא על גבו את התיק עם הנשק, עד שנעצר על ידי השוטרים. </w:t>
      </w:r>
    </w:p>
    <w:p w14:paraId="0196ABA9" w14:textId="77777777" w:rsidR="009A335F" w:rsidRPr="009A335F" w:rsidRDefault="009A335F" w:rsidP="009A335F">
      <w:pPr>
        <w:spacing w:line="360" w:lineRule="auto"/>
        <w:ind w:left="720"/>
        <w:jc w:val="both"/>
        <w:rPr>
          <w:rtl/>
        </w:rPr>
      </w:pPr>
    </w:p>
    <w:p w14:paraId="0C4411DE" w14:textId="77777777" w:rsidR="009A335F" w:rsidRPr="009A335F" w:rsidRDefault="009A335F" w:rsidP="009A335F">
      <w:pPr>
        <w:spacing w:line="360" w:lineRule="auto"/>
        <w:ind w:left="720" w:hanging="720"/>
        <w:jc w:val="both"/>
        <w:rPr>
          <w:rtl/>
        </w:rPr>
      </w:pPr>
      <w:r w:rsidRPr="009A335F">
        <w:rPr>
          <w:rFonts w:hint="cs"/>
          <w:rtl/>
        </w:rPr>
        <w:t>2.</w:t>
      </w:r>
      <w:r w:rsidRPr="009A335F">
        <w:rPr>
          <w:rFonts w:hint="cs"/>
          <w:rtl/>
        </w:rPr>
        <w:tab/>
        <w:t xml:space="preserve">על יסוד הודאת הנאשם בעובדות כתב האישום המתוקן כאמור, הנאשם הורשע בעבירה של נשיאה והובלה של נשק ללא רשות, לפי </w:t>
      </w:r>
      <w:hyperlink r:id="rId11" w:history="1">
        <w:r w:rsidR="0091390E" w:rsidRPr="0091390E">
          <w:rPr>
            <w:rStyle w:val="Hyperlink"/>
            <w:rFonts w:hint="eastAsia"/>
            <w:rtl/>
          </w:rPr>
          <w:t>סעיף</w:t>
        </w:r>
        <w:r w:rsidR="0091390E" w:rsidRPr="0091390E">
          <w:rPr>
            <w:rStyle w:val="Hyperlink"/>
            <w:rtl/>
          </w:rPr>
          <w:t xml:space="preserve"> 144 (ב)</w:t>
        </w:r>
      </w:hyperlink>
      <w:r w:rsidRPr="009A335F">
        <w:rPr>
          <w:rFonts w:hint="cs"/>
          <w:rtl/>
        </w:rPr>
        <w:t xml:space="preserve"> רישא וסיפא ב</w:t>
      </w:r>
      <w:hyperlink r:id="rId12" w:history="1">
        <w:r w:rsidR="00850722" w:rsidRPr="00850722">
          <w:rPr>
            <w:color w:val="0000FF"/>
            <w:u w:val="single"/>
            <w:rtl/>
          </w:rPr>
          <w:t>חוק העונשין</w:t>
        </w:r>
      </w:hyperlink>
      <w:r w:rsidRPr="009A335F">
        <w:rPr>
          <w:rFonts w:hint="cs"/>
          <w:rtl/>
        </w:rPr>
        <w:t xml:space="preserve"> התשל"ז-1977. </w:t>
      </w:r>
    </w:p>
    <w:p w14:paraId="2A6E3037" w14:textId="77777777" w:rsidR="009A335F" w:rsidRPr="009A335F" w:rsidRDefault="009A335F" w:rsidP="009A335F">
      <w:pPr>
        <w:spacing w:line="360" w:lineRule="auto"/>
        <w:ind w:left="720" w:hanging="720"/>
        <w:jc w:val="both"/>
        <w:rPr>
          <w:rtl/>
        </w:rPr>
      </w:pPr>
    </w:p>
    <w:p w14:paraId="603C86A8" w14:textId="77777777" w:rsidR="009A335F" w:rsidRPr="009A335F" w:rsidRDefault="009A335F" w:rsidP="009A335F">
      <w:pPr>
        <w:spacing w:line="360" w:lineRule="auto"/>
        <w:ind w:left="720" w:hanging="720"/>
        <w:jc w:val="both"/>
        <w:rPr>
          <w:rtl/>
        </w:rPr>
      </w:pPr>
      <w:r w:rsidRPr="009A335F">
        <w:rPr>
          <w:rFonts w:hint="cs"/>
          <w:rtl/>
        </w:rPr>
        <w:t>3.</w:t>
      </w:r>
      <w:r w:rsidRPr="009A335F">
        <w:rPr>
          <w:rFonts w:hint="cs"/>
          <w:rtl/>
        </w:rPr>
        <w:tab/>
        <w:t xml:space="preserve">במסגרת הסדר הטיעון, המליצו הצדדים לבית המשפט להטיל על הנאשם 24 חודשי מאסר בפועל ולהפעיל מאסר על תנאי בן 12 חודשים, מחציתו בחופף ומחציתו במצטבר, כך שבסה"כ הנאשם ישא 30 חודשי מאסר בפועל. ולהטיל עליו מאסר על תנאי, פסילת רישיון נהיגה בפועל ועל תנאי לפי שיקול דעת בית המשפט, וקנס בסך 35,000 ₪. </w:t>
      </w:r>
    </w:p>
    <w:p w14:paraId="0D06C6F8" w14:textId="77777777" w:rsidR="009A335F" w:rsidRPr="009A335F" w:rsidRDefault="009A335F" w:rsidP="009A335F">
      <w:pPr>
        <w:spacing w:line="360" w:lineRule="auto"/>
        <w:ind w:left="720"/>
        <w:jc w:val="both"/>
        <w:rPr>
          <w:rtl/>
        </w:rPr>
      </w:pPr>
    </w:p>
    <w:p w14:paraId="580BD17D" w14:textId="77777777" w:rsidR="009A335F" w:rsidRPr="009A335F" w:rsidRDefault="009A335F" w:rsidP="009A335F">
      <w:pPr>
        <w:spacing w:line="360" w:lineRule="auto"/>
        <w:ind w:left="720" w:hanging="720"/>
        <w:jc w:val="both"/>
        <w:rPr>
          <w:rtl/>
        </w:rPr>
      </w:pPr>
      <w:r w:rsidRPr="009A335F">
        <w:rPr>
          <w:rFonts w:hint="cs"/>
          <w:rtl/>
        </w:rPr>
        <w:t>4.</w:t>
      </w:r>
      <w:r w:rsidRPr="009A335F">
        <w:rPr>
          <w:rFonts w:hint="cs"/>
          <w:rtl/>
        </w:rPr>
        <w:tab/>
        <w:t xml:space="preserve">ב"כ התביעה טענה כי לאור הנחיית פרקליט המדינה הנוגעת למדיניות הענישה התביעתית בעבירות נשק, מתחם העונש ההולם למעשה הנאשם נע בין 18 ל- 30 חודשי מאסר בפועל, </w:t>
      </w:r>
      <w:r w:rsidRPr="009A335F">
        <w:rPr>
          <w:rFonts w:hint="cs"/>
          <w:rtl/>
        </w:rPr>
        <w:lastRenderedPageBreak/>
        <w:t xml:space="preserve">ושבהתחשב בעברו הפלילי של הנאשם ובגילו, התביעה סבורה שיש להעמיד את עונש המאסר של הנאשם באמצע מתחם העונש האמור, ועל כן הסכימה להמליץ לבית המשפט להטיל על הנאשם 24 חודשי מאסר בפועל. נוכח האמור, ובהתחשב בקנס שעל הנאשם לשלם, טענה כי העונש המוצע בהסדר הטיעון ראוי וביקשה לאמצו. </w:t>
      </w:r>
    </w:p>
    <w:p w14:paraId="5870877E" w14:textId="77777777" w:rsidR="009A335F" w:rsidRPr="009A335F" w:rsidRDefault="009A335F" w:rsidP="009A335F">
      <w:pPr>
        <w:spacing w:line="360" w:lineRule="auto"/>
        <w:ind w:left="720" w:hanging="720"/>
        <w:jc w:val="both"/>
        <w:rPr>
          <w:rtl/>
        </w:rPr>
      </w:pPr>
      <w:r w:rsidRPr="009A335F">
        <w:rPr>
          <w:rFonts w:hint="cs"/>
          <w:rtl/>
        </w:rPr>
        <w:t>5.</w:t>
      </w:r>
      <w:r w:rsidRPr="009A335F">
        <w:rPr>
          <w:rFonts w:hint="cs"/>
          <w:rtl/>
        </w:rPr>
        <w:tab/>
        <w:t xml:space="preserve">ב"כ הנאשם ביקשה לכבד את הסדר הטיעון. ציינה כי הציגה בפני התביעה את האפשרות שאנשים נוספים היו מעורבים בעבירה ולא הועמדו לדין – הגם שאין לה ראיה לכך; טענה כי הנחיית פרקליט המדינה 9.16 קובעת שמתחם המוצא לעבירה כמו זו שלפנינו מתחיל ב-18 חודשי מאסר; ציינה שהנאשם נשפט לתקופת מאסר לא קצרה, ריצה את עונש המאסר במלואו, ללא קיצור שליש, והשתחרר מהמאסר בחודש אוגוסט 2019. ב"כ הנאשם ציינה שהנאשם רווק ושעובר למעצרו האחרון הוא ניסה לשקם את חייו, החל בלימודי תורה ועבד בעבודות מזדמנות של שיפוץ בתים. וטענה כי המאסר והקנס הכבד המוצעים בהסדר הטיעון הם בבחינת עונש ראוי למעשה הנאשם, ויש לכבד את המלצת הצדדים לעונש. </w:t>
      </w:r>
    </w:p>
    <w:p w14:paraId="700AD9DE" w14:textId="77777777" w:rsidR="009A335F" w:rsidRPr="009A335F" w:rsidRDefault="009A335F" w:rsidP="009A335F">
      <w:pPr>
        <w:spacing w:line="360" w:lineRule="auto"/>
        <w:ind w:left="720" w:hanging="720"/>
        <w:jc w:val="both"/>
        <w:rPr>
          <w:rtl/>
        </w:rPr>
      </w:pPr>
    </w:p>
    <w:p w14:paraId="6B550578" w14:textId="77777777" w:rsidR="009A335F" w:rsidRPr="009A335F" w:rsidRDefault="009A335F" w:rsidP="009A335F">
      <w:pPr>
        <w:spacing w:line="360" w:lineRule="auto"/>
        <w:ind w:left="720" w:hanging="720"/>
        <w:jc w:val="both"/>
        <w:rPr>
          <w:rtl/>
        </w:rPr>
      </w:pPr>
      <w:r w:rsidRPr="009A335F">
        <w:rPr>
          <w:rFonts w:hint="cs"/>
          <w:rtl/>
        </w:rPr>
        <w:tab/>
        <w:t xml:space="preserve">הנאשם הביע חרטה ואמר כי הוא מעונין להשתקם ומבקש לקבל הזדמנות אחרונה. </w:t>
      </w:r>
    </w:p>
    <w:p w14:paraId="37BFB51F" w14:textId="77777777" w:rsidR="009A335F" w:rsidRPr="009A335F" w:rsidRDefault="009A335F" w:rsidP="009A335F">
      <w:pPr>
        <w:spacing w:line="360" w:lineRule="auto"/>
        <w:ind w:left="720" w:hanging="720"/>
        <w:jc w:val="both"/>
        <w:rPr>
          <w:rtl/>
        </w:rPr>
      </w:pPr>
    </w:p>
    <w:p w14:paraId="509428B9" w14:textId="77777777" w:rsidR="009A335F" w:rsidRPr="009A335F" w:rsidRDefault="009A335F" w:rsidP="009A335F">
      <w:pPr>
        <w:spacing w:line="360" w:lineRule="auto"/>
        <w:ind w:left="720" w:hanging="720"/>
        <w:jc w:val="both"/>
        <w:rPr>
          <w:b/>
          <w:bCs/>
          <w:u w:val="single"/>
          <w:rtl/>
        </w:rPr>
      </w:pPr>
      <w:r w:rsidRPr="009A335F">
        <w:rPr>
          <w:rFonts w:hint="cs"/>
          <w:b/>
          <w:bCs/>
          <w:u w:val="single"/>
          <w:rtl/>
        </w:rPr>
        <w:t>דיון והכרעה</w:t>
      </w:r>
    </w:p>
    <w:p w14:paraId="5EEB1F77" w14:textId="77777777" w:rsidR="009A335F" w:rsidRPr="009A335F" w:rsidRDefault="009A335F" w:rsidP="009A335F">
      <w:pPr>
        <w:spacing w:line="360" w:lineRule="auto"/>
        <w:ind w:left="720" w:hanging="720"/>
        <w:jc w:val="both"/>
        <w:rPr>
          <w:rtl/>
        </w:rPr>
      </w:pPr>
      <w:r w:rsidRPr="009A335F">
        <w:rPr>
          <w:rFonts w:hint="cs"/>
          <w:rtl/>
        </w:rPr>
        <w:t xml:space="preserve">1. </w:t>
      </w:r>
      <w:r w:rsidRPr="009A335F">
        <w:rPr>
          <w:rFonts w:hint="cs"/>
          <w:rtl/>
        </w:rPr>
        <w:tab/>
        <w:t xml:space="preserve">הכוח הטמון בנשק לירות תחמושת המסוגלת להמית אדם, עושה את הנשק לכלי מסוכן. </w:t>
      </w:r>
    </w:p>
    <w:p w14:paraId="7D230566" w14:textId="77777777" w:rsidR="009A335F" w:rsidRPr="009A335F" w:rsidRDefault="009A335F" w:rsidP="009A335F">
      <w:pPr>
        <w:spacing w:line="360" w:lineRule="auto"/>
        <w:ind w:left="720" w:hanging="720"/>
        <w:jc w:val="both"/>
        <w:rPr>
          <w:rtl/>
        </w:rPr>
      </w:pPr>
    </w:p>
    <w:p w14:paraId="43930CD8" w14:textId="77777777" w:rsidR="009A335F" w:rsidRPr="009A335F" w:rsidRDefault="009A335F" w:rsidP="009A335F">
      <w:pPr>
        <w:spacing w:line="360" w:lineRule="auto"/>
        <w:ind w:left="720" w:hanging="720"/>
        <w:jc w:val="both"/>
        <w:rPr>
          <w:rtl/>
        </w:rPr>
      </w:pPr>
      <w:r w:rsidRPr="009A335F">
        <w:rPr>
          <w:rFonts w:hint="cs"/>
          <w:rtl/>
        </w:rPr>
        <w:t>2.</w:t>
      </w:r>
      <w:r w:rsidRPr="009A335F">
        <w:rPr>
          <w:rFonts w:hint="cs"/>
          <w:rtl/>
        </w:rPr>
        <w:tab/>
        <w:t xml:space="preserve">כח הפגיעה של הנשק מאפשר להשתמש בנשק לשם הטלת אימה ולפגיעה פיזית באדם וברכוש, ובפועל, כלי נשק משמשים לביצוע עבירות חמורות הכרוכות בפגיעות גוף ובמוות. </w:t>
      </w:r>
    </w:p>
    <w:p w14:paraId="7B609ECB" w14:textId="77777777" w:rsidR="009A335F" w:rsidRPr="009A335F" w:rsidRDefault="009A335F" w:rsidP="009A335F">
      <w:pPr>
        <w:spacing w:line="360" w:lineRule="auto"/>
        <w:ind w:left="720" w:hanging="720"/>
        <w:jc w:val="both"/>
        <w:rPr>
          <w:rtl/>
        </w:rPr>
      </w:pPr>
      <w:r w:rsidRPr="009A335F">
        <w:rPr>
          <w:rFonts w:hint="cs"/>
          <w:rtl/>
        </w:rPr>
        <w:t>3.</w:t>
      </w:r>
      <w:r w:rsidRPr="009A335F">
        <w:rPr>
          <w:rFonts w:hint="cs"/>
          <w:rtl/>
        </w:rPr>
        <w:tab/>
        <w:t>מאפייני הנשק והשימוש הפוגעני שניתן לעשות בו, מסבירים את העניין שיש למדינה לפקח על החזקת כלי נשק על ידי אזרחים ולהתנות אותה ברישיון המחייב הכשרה ועמידה בתנאים.</w:t>
      </w:r>
    </w:p>
    <w:p w14:paraId="44B8DA44" w14:textId="77777777" w:rsidR="009A335F" w:rsidRPr="009A335F" w:rsidRDefault="009A335F" w:rsidP="009A335F">
      <w:pPr>
        <w:spacing w:line="360" w:lineRule="auto"/>
        <w:ind w:left="720" w:hanging="720"/>
        <w:jc w:val="both"/>
        <w:rPr>
          <w:rtl/>
        </w:rPr>
      </w:pPr>
    </w:p>
    <w:p w14:paraId="029A3ABF" w14:textId="77777777" w:rsidR="009A335F" w:rsidRPr="009A335F" w:rsidRDefault="009A335F" w:rsidP="009A335F">
      <w:pPr>
        <w:spacing w:line="360" w:lineRule="auto"/>
        <w:ind w:left="720" w:hanging="720"/>
        <w:jc w:val="both"/>
        <w:rPr>
          <w:rtl/>
        </w:rPr>
      </w:pPr>
      <w:r w:rsidRPr="009A335F">
        <w:rPr>
          <w:rFonts w:hint="cs"/>
          <w:rtl/>
        </w:rPr>
        <w:t>4.</w:t>
      </w:r>
      <w:r w:rsidRPr="009A335F">
        <w:rPr>
          <w:rFonts w:hint="cs"/>
          <w:rtl/>
        </w:rPr>
        <w:tab/>
        <w:t xml:space="preserve">התופעה של החזקת נשק שלא כדין בישראל נפוצה והשלכותיה החברתיות רבות וקשות. המדינה סימנה את ההתמודדות עם התופעה כיעד והיא משקיעה בכך מאמצים רבים בתחומים שונים. </w:t>
      </w:r>
    </w:p>
    <w:p w14:paraId="71CC7545" w14:textId="77777777" w:rsidR="009A335F" w:rsidRPr="009A335F" w:rsidRDefault="009A335F" w:rsidP="009A335F">
      <w:pPr>
        <w:spacing w:line="360" w:lineRule="auto"/>
        <w:ind w:left="720" w:hanging="720"/>
        <w:jc w:val="both"/>
        <w:rPr>
          <w:rtl/>
        </w:rPr>
      </w:pPr>
    </w:p>
    <w:p w14:paraId="4BBBC7A3" w14:textId="77777777" w:rsidR="009A335F" w:rsidRPr="009A335F" w:rsidRDefault="009A335F" w:rsidP="009A335F">
      <w:pPr>
        <w:spacing w:line="360" w:lineRule="auto"/>
        <w:ind w:left="720" w:hanging="720"/>
        <w:jc w:val="both"/>
        <w:rPr>
          <w:rtl/>
        </w:rPr>
      </w:pPr>
      <w:r w:rsidRPr="009A335F">
        <w:rPr>
          <w:rFonts w:hint="cs"/>
          <w:rtl/>
        </w:rPr>
        <w:tab/>
        <w:t>ענישה במסגרת הליכים פליליים היא אחד הכלים המשמשים את החברה במאבקה זה.</w:t>
      </w:r>
    </w:p>
    <w:p w14:paraId="7DE69473" w14:textId="77777777" w:rsidR="009A335F" w:rsidRPr="009A335F" w:rsidRDefault="009A335F" w:rsidP="009A335F">
      <w:pPr>
        <w:spacing w:line="360" w:lineRule="auto"/>
        <w:ind w:left="720" w:hanging="720"/>
        <w:jc w:val="both"/>
        <w:rPr>
          <w:rtl/>
        </w:rPr>
      </w:pPr>
    </w:p>
    <w:p w14:paraId="11D9F09F" w14:textId="77777777" w:rsidR="009A335F" w:rsidRPr="009A335F" w:rsidRDefault="009A335F" w:rsidP="009A335F">
      <w:pPr>
        <w:spacing w:line="360" w:lineRule="auto"/>
        <w:ind w:left="720" w:hanging="720"/>
        <w:jc w:val="both"/>
        <w:rPr>
          <w:rtl/>
        </w:rPr>
      </w:pPr>
      <w:r w:rsidRPr="009A335F">
        <w:rPr>
          <w:rFonts w:hint="cs"/>
          <w:rtl/>
        </w:rPr>
        <w:t>5.</w:t>
      </w:r>
      <w:r w:rsidRPr="009A335F">
        <w:rPr>
          <w:rFonts w:hint="cs"/>
          <w:rtl/>
        </w:rPr>
        <w:tab/>
        <w:t xml:space="preserve">הערכים החברתיים המרכזיים המוגנים בעבירות הנשק, באופן כללי, נוגעים לשמירת שלום הציבור ובטחונו, שמירת הסדר הציבורי, ושמירת החיים, הגוף והקניין. </w:t>
      </w:r>
    </w:p>
    <w:p w14:paraId="70F0CC84" w14:textId="77777777" w:rsidR="009A335F" w:rsidRPr="009A335F" w:rsidRDefault="009A335F" w:rsidP="009A335F">
      <w:pPr>
        <w:spacing w:line="360" w:lineRule="auto"/>
        <w:ind w:left="720" w:hanging="720"/>
        <w:jc w:val="both"/>
        <w:rPr>
          <w:rtl/>
        </w:rPr>
      </w:pPr>
    </w:p>
    <w:p w14:paraId="60E2CC1A" w14:textId="77777777" w:rsidR="009A335F" w:rsidRPr="009A335F" w:rsidRDefault="009A335F" w:rsidP="009A335F">
      <w:pPr>
        <w:spacing w:line="360" w:lineRule="auto"/>
        <w:ind w:left="720" w:hanging="720"/>
        <w:jc w:val="both"/>
        <w:rPr>
          <w:rtl/>
        </w:rPr>
      </w:pPr>
      <w:r w:rsidRPr="009A335F">
        <w:rPr>
          <w:rFonts w:hint="cs"/>
          <w:rtl/>
        </w:rPr>
        <w:t>6.</w:t>
      </w:r>
      <w:r w:rsidRPr="009A335F">
        <w:rPr>
          <w:rFonts w:hint="cs"/>
          <w:rtl/>
        </w:rPr>
        <w:tab/>
        <w:t xml:space="preserve">הנסיבות האפשריות הכרוכות בביצוע עבירות נשק, פרוסות על פני קשת רחבה. מטבע הדברים, ככל שהערך החברתי שנפגע במקרה מסוים חשוב יותר וככל שמידת הפגיעה בו או העמדתו בסיכון גדולים יותר, כך החומרה הקונקרטית של המעשה גבוהה יותר, ולהיפך. </w:t>
      </w:r>
    </w:p>
    <w:p w14:paraId="77BCEDDD" w14:textId="77777777" w:rsidR="009A335F" w:rsidRPr="009A335F" w:rsidRDefault="009A335F" w:rsidP="009A335F">
      <w:pPr>
        <w:spacing w:line="360" w:lineRule="auto"/>
        <w:ind w:left="720" w:hanging="720"/>
        <w:jc w:val="both"/>
        <w:rPr>
          <w:rtl/>
        </w:rPr>
      </w:pPr>
      <w:r w:rsidRPr="009A335F">
        <w:rPr>
          <w:rFonts w:hint="cs"/>
          <w:rtl/>
        </w:rPr>
        <w:t xml:space="preserve"> </w:t>
      </w:r>
    </w:p>
    <w:p w14:paraId="25FE311F" w14:textId="77777777" w:rsidR="009A335F" w:rsidRPr="009A335F" w:rsidRDefault="009A335F" w:rsidP="009A335F">
      <w:pPr>
        <w:spacing w:line="360" w:lineRule="auto"/>
        <w:ind w:left="720" w:hanging="720"/>
        <w:jc w:val="both"/>
        <w:rPr>
          <w:rtl/>
        </w:rPr>
      </w:pPr>
      <w:r w:rsidRPr="009A335F">
        <w:rPr>
          <w:rFonts w:hint="cs"/>
          <w:rtl/>
        </w:rPr>
        <w:tab/>
        <w:t xml:space="preserve">סיווג נסיבות החזקת הנשק על פני סולם החומרה, שיוצג להלן, שהותווה לפני מספר עשורים על ידי כב' השופט גבריאל בך, מתאים בעיקרו גם לתקופתנו -   </w:t>
      </w:r>
    </w:p>
    <w:p w14:paraId="23AF333A" w14:textId="77777777" w:rsidR="009A335F" w:rsidRPr="009A335F" w:rsidRDefault="009A335F" w:rsidP="009A335F">
      <w:pPr>
        <w:spacing w:line="360" w:lineRule="auto"/>
        <w:ind w:left="1440"/>
        <w:jc w:val="both"/>
        <w:rPr>
          <w:rtl/>
        </w:rPr>
      </w:pPr>
      <w:r w:rsidRPr="009A335F">
        <w:rPr>
          <w:rFonts w:hint="cs"/>
          <w:rtl/>
        </w:rPr>
        <w:t>"... אנסה לסווג את העבירות של החזקת נשק שלא כדין לקטיגוריות הבולטות שביניהן, אם כי ער אני לכך, שלא ניתן לכלול את כל האפשרויות במסגרת סיווג כזה</w:t>
      </w:r>
      <w:r w:rsidRPr="009A335F">
        <w:t>.</w:t>
      </w:r>
    </w:p>
    <w:p w14:paraId="134CFE0E" w14:textId="77777777" w:rsidR="009A335F" w:rsidRPr="009A335F" w:rsidRDefault="009A335F" w:rsidP="009A335F">
      <w:pPr>
        <w:spacing w:line="360" w:lineRule="auto"/>
        <w:ind w:left="720" w:firstLine="720"/>
        <w:jc w:val="both"/>
        <w:rPr>
          <w:rtl/>
        </w:rPr>
      </w:pPr>
      <w:r w:rsidRPr="009A335F">
        <w:rPr>
          <w:rFonts w:hint="cs"/>
          <w:rtl/>
        </w:rPr>
        <w:t>אלך מהכבד אל הקל מבחינת חומרתן של העבירות</w:t>
      </w:r>
      <w:r w:rsidRPr="009A335F">
        <w:t>:</w:t>
      </w:r>
    </w:p>
    <w:p w14:paraId="0BBB2B97" w14:textId="77777777" w:rsidR="009A335F" w:rsidRPr="009A335F" w:rsidRDefault="009A335F" w:rsidP="009A335F">
      <w:pPr>
        <w:spacing w:line="360" w:lineRule="auto"/>
        <w:ind w:left="2160"/>
        <w:jc w:val="both"/>
        <w:rPr>
          <w:rtl/>
        </w:rPr>
      </w:pPr>
      <w:r w:rsidRPr="009A335F">
        <w:rPr>
          <w:rFonts w:hint="cs"/>
          <w:rtl/>
        </w:rPr>
        <w:t>א) החזקת הנשק לשם ביצוע מעשים, המיועדים לפגוע בביטחון המדינה או בביטחון הציבור.</w:t>
      </w:r>
    </w:p>
    <w:p w14:paraId="268404CB" w14:textId="77777777" w:rsidR="009A335F" w:rsidRPr="009A335F" w:rsidRDefault="009A335F" w:rsidP="009A335F">
      <w:pPr>
        <w:spacing w:line="360" w:lineRule="auto"/>
        <w:ind w:left="2160"/>
        <w:jc w:val="both"/>
        <w:rPr>
          <w:rtl/>
        </w:rPr>
      </w:pPr>
      <w:r w:rsidRPr="009A335F">
        <w:rPr>
          <w:rFonts w:hint="cs"/>
          <w:rtl/>
        </w:rPr>
        <w:t>ב) החזקת הנשק לשם ביצוע עבירה פלילית ספציפית כגון רצח, שוד, התפרצות, תקיפה וכו</w:t>
      </w:r>
      <w:r w:rsidRPr="009A335F">
        <w:t>'.</w:t>
      </w:r>
    </w:p>
    <w:p w14:paraId="31B8976B" w14:textId="77777777" w:rsidR="009A335F" w:rsidRPr="009A335F" w:rsidRDefault="009A335F" w:rsidP="009A335F">
      <w:pPr>
        <w:spacing w:line="360" w:lineRule="auto"/>
        <w:ind w:left="1440" w:firstLine="720"/>
        <w:jc w:val="both"/>
        <w:rPr>
          <w:rtl/>
        </w:rPr>
      </w:pPr>
      <w:r w:rsidRPr="009A335F">
        <w:rPr>
          <w:rFonts w:hint="cs"/>
          <w:rtl/>
        </w:rPr>
        <w:t>ג) החזקת הנשק "לעת מצוא" כדי לאפשר פעילות פלילית אפשרית בעתיד</w:t>
      </w:r>
      <w:r w:rsidRPr="009A335F">
        <w:t>.</w:t>
      </w:r>
    </w:p>
    <w:p w14:paraId="1195BC24" w14:textId="77777777" w:rsidR="009A335F" w:rsidRPr="009A335F" w:rsidRDefault="009A335F" w:rsidP="009A335F">
      <w:pPr>
        <w:spacing w:line="360" w:lineRule="auto"/>
        <w:ind w:left="2160"/>
        <w:jc w:val="both"/>
      </w:pPr>
      <w:r w:rsidRPr="009A335F">
        <w:rPr>
          <w:rFonts w:hint="cs"/>
          <w:rtl/>
        </w:rPr>
        <w:t>ד) צבירת נשק על-ידי קבוצה פוליטית, עדתית או אידיאולוגית, במטרה לחזק בדרך זו את כוחה כנגד קבוצות יריבות.</w:t>
      </w:r>
    </w:p>
    <w:p w14:paraId="385F6381" w14:textId="77777777" w:rsidR="009A335F" w:rsidRPr="009A335F" w:rsidRDefault="009A335F" w:rsidP="009A335F">
      <w:pPr>
        <w:spacing w:line="360" w:lineRule="auto"/>
        <w:ind w:left="2160"/>
        <w:jc w:val="both"/>
        <w:rPr>
          <w:rtl/>
        </w:rPr>
      </w:pPr>
      <w:r w:rsidRPr="009A335F">
        <w:rPr>
          <w:rFonts w:hint="cs"/>
          <w:rtl/>
        </w:rPr>
        <w:t>ה) החזקת הנשק לצורך הגנה עצמית או לצורך הגנה על הציבור</w:t>
      </w:r>
      <w:r w:rsidRPr="009A335F">
        <w:t>,</w:t>
      </w:r>
      <w:r w:rsidRPr="009A335F">
        <w:rPr>
          <w:rFonts w:hint="cs"/>
          <w:rtl/>
        </w:rPr>
        <w:t xml:space="preserve"> המשפחה או ה"חמולה", אליהם הנאשם משתייך</w:t>
      </w:r>
      <w:r w:rsidRPr="009A335F">
        <w:t>.</w:t>
      </w:r>
    </w:p>
    <w:p w14:paraId="3E792F12" w14:textId="77777777" w:rsidR="009A335F" w:rsidRPr="009A335F" w:rsidRDefault="009A335F" w:rsidP="009A335F">
      <w:pPr>
        <w:spacing w:line="360" w:lineRule="auto"/>
        <w:ind w:left="2880" w:hanging="720"/>
        <w:jc w:val="both"/>
        <w:rPr>
          <w:rtl/>
        </w:rPr>
      </w:pPr>
      <w:r w:rsidRPr="009A335F">
        <w:rPr>
          <w:rFonts w:hint="cs"/>
          <w:rtl/>
        </w:rPr>
        <w:t>ו) החזקת כלי הנשק לצורך ספורט, ציד או שעשוע</w:t>
      </w:r>
      <w:r w:rsidRPr="009A335F">
        <w:t>.</w:t>
      </w:r>
      <w:r w:rsidRPr="009A335F">
        <w:rPr>
          <w:rFonts w:hint="cs"/>
          <w:rtl/>
        </w:rPr>
        <w:tab/>
      </w:r>
      <w:r w:rsidRPr="009A335F">
        <w:rPr>
          <w:rFonts w:hint="cs"/>
          <w:rtl/>
        </w:rPr>
        <w:tab/>
      </w:r>
    </w:p>
    <w:p w14:paraId="4A0F8BE5" w14:textId="77777777" w:rsidR="009A335F" w:rsidRPr="009A335F" w:rsidRDefault="009A335F" w:rsidP="009A335F">
      <w:pPr>
        <w:spacing w:line="360" w:lineRule="auto"/>
        <w:ind w:left="1440" w:firstLine="720"/>
        <w:jc w:val="both"/>
        <w:rPr>
          <w:rtl/>
        </w:rPr>
      </w:pPr>
      <w:r w:rsidRPr="009A335F">
        <w:rPr>
          <w:rFonts w:hint="cs"/>
          <w:rtl/>
        </w:rPr>
        <w:t>ז) החזקת כלי נשק על-ידי הנאשם בתור מזכרת או כאספן של כלים כאלה</w:t>
      </w:r>
      <w:r w:rsidRPr="009A335F">
        <w:t>.</w:t>
      </w:r>
    </w:p>
    <w:p w14:paraId="5176BF89" w14:textId="77777777" w:rsidR="009A335F" w:rsidRPr="009A335F" w:rsidRDefault="009A335F" w:rsidP="009A335F">
      <w:pPr>
        <w:spacing w:line="360" w:lineRule="auto"/>
        <w:ind w:left="2160"/>
        <w:jc w:val="both"/>
        <w:rPr>
          <w:rtl/>
        </w:rPr>
      </w:pPr>
      <w:r w:rsidRPr="009A335F">
        <w:rPr>
          <w:rFonts w:hint="cs"/>
          <w:rtl/>
        </w:rPr>
        <w:t xml:space="preserve">ח) החזקת כלי הנשק, שפג תוקף רישיונו, והנאשם נמנע מלחדש את הרישיון בעתו."  - </w:t>
      </w:r>
      <w:hyperlink r:id="rId13" w:history="1">
        <w:r w:rsidR="00850722" w:rsidRPr="00850722">
          <w:rPr>
            <w:color w:val="0000FF"/>
            <w:u w:val="single"/>
            <w:rtl/>
          </w:rPr>
          <w:t>ב"ש 625/82</w:t>
        </w:r>
      </w:hyperlink>
      <w:r w:rsidRPr="009A335F">
        <w:rPr>
          <w:rFonts w:hint="cs"/>
        </w:rPr>
        <w:t xml:space="preserve"> </w:t>
      </w:r>
      <w:r w:rsidRPr="009A335F">
        <w:rPr>
          <w:rFonts w:hint="cs"/>
          <w:b/>
          <w:bCs/>
          <w:rtl/>
        </w:rPr>
        <w:t>חלמי אבו מוך בן עבדול רחמן מחמוד</w:t>
      </w:r>
      <w:r w:rsidRPr="009A335F">
        <w:rPr>
          <w:rFonts w:hint="cs"/>
        </w:rPr>
        <w:t xml:space="preserve"> </w:t>
      </w:r>
      <w:r w:rsidRPr="009A335F">
        <w:rPr>
          <w:rFonts w:hint="cs"/>
          <w:rtl/>
        </w:rPr>
        <w:t xml:space="preserve">נ' </w:t>
      </w:r>
      <w:r w:rsidRPr="009A335F">
        <w:rPr>
          <w:rFonts w:hint="cs"/>
          <w:b/>
          <w:bCs/>
          <w:rtl/>
        </w:rPr>
        <w:t>מדינת ישראל</w:t>
      </w:r>
      <w:r w:rsidRPr="009A335F">
        <w:rPr>
          <w:rFonts w:hint="cs"/>
          <w:rtl/>
        </w:rPr>
        <w:t xml:space="preserve"> (פורסם בנבו, 16.08.82).</w:t>
      </w:r>
    </w:p>
    <w:p w14:paraId="539EC176" w14:textId="77777777" w:rsidR="009A335F" w:rsidRPr="009A335F" w:rsidRDefault="009A335F" w:rsidP="009A335F">
      <w:pPr>
        <w:spacing w:line="360" w:lineRule="auto"/>
        <w:ind w:left="720" w:hanging="720"/>
        <w:jc w:val="both"/>
        <w:rPr>
          <w:rtl/>
        </w:rPr>
      </w:pPr>
    </w:p>
    <w:p w14:paraId="0C70ABC7" w14:textId="77777777" w:rsidR="009A335F" w:rsidRPr="009A335F" w:rsidRDefault="009A335F" w:rsidP="009A335F">
      <w:pPr>
        <w:spacing w:line="360" w:lineRule="auto"/>
        <w:ind w:left="720" w:hanging="720"/>
        <w:jc w:val="both"/>
        <w:rPr>
          <w:rtl/>
        </w:rPr>
      </w:pPr>
      <w:r w:rsidRPr="009A335F">
        <w:rPr>
          <w:rFonts w:hint="cs"/>
          <w:rtl/>
        </w:rPr>
        <w:t xml:space="preserve">7. </w:t>
      </w:r>
      <w:r w:rsidRPr="009A335F">
        <w:rPr>
          <w:rFonts w:hint="cs"/>
          <w:rtl/>
        </w:rPr>
        <w:tab/>
        <w:t xml:space="preserve">העבירה של נשיאת נשק שלא כדין, חמורה יותר מהעבירה של החזקת נשק שלא כדין, שכן, נשיאת נשק ממוקמת קרוב יותר לסביבת התוצאה הפוגענית הפוטנציאלית, בהשוואה להחזקת נשק. ובהתאם, העונש הקבוע לצד עבירת נשיאת הנשק הוא 10 שנות מאסר והעונש הקבוע לצד עבירת החזקת הנשק הוא 7 שנות מאסר. </w:t>
      </w:r>
    </w:p>
    <w:p w14:paraId="597AB7F3" w14:textId="77777777" w:rsidR="009A335F" w:rsidRPr="009A335F" w:rsidRDefault="009A335F" w:rsidP="009A335F">
      <w:pPr>
        <w:spacing w:line="360" w:lineRule="auto"/>
        <w:ind w:left="720" w:hanging="720"/>
        <w:jc w:val="both"/>
        <w:rPr>
          <w:rtl/>
        </w:rPr>
      </w:pPr>
    </w:p>
    <w:p w14:paraId="53EFCA21" w14:textId="77777777" w:rsidR="009A335F" w:rsidRPr="009A335F" w:rsidRDefault="009A335F" w:rsidP="009A335F">
      <w:pPr>
        <w:spacing w:line="360" w:lineRule="auto"/>
        <w:ind w:left="720" w:hanging="720"/>
        <w:jc w:val="both"/>
        <w:rPr>
          <w:rtl/>
        </w:rPr>
      </w:pPr>
      <w:r w:rsidRPr="009A335F">
        <w:rPr>
          <w:rFonts w:hint="cs"/>
          <w:rtl/>
        </w:rPr>
        <w:t>8.</w:t>
      </w:r>
      <w:r w:rsidRPr="009A335F">
        <w:rPr>
          <w:rFonts w:hint="cs"/>
          <w:rtl/>
        </w:rPr>
        <w:tab/>
        <w:t>במקרה זה, הנאשם נשא בתיקו אקדח גנוב עם משתיק קול תואם, ובו מחסנית הטעונה בכדור אחד.</w:t>
      </w:r>
    </w:p>
    <w:p w14:paraId="312A4090" w14:textId="77777777" w:rsidR="009A335F" w:rsidRPr="009A335F" w:rsidRDefault="009A335F" w:rsidP="009A335F">
      <w:pPr>
        <w:spacing w:line="360" w:lineRule="auto"/>
        <w:ind w:left="720" w:hanging="720"/>
        <w:jc w:val="both"/>
        <w:rPr>
          <w:rtl/>
        </w:rPr>
      </w:pPr>
      <w:r w:rsidRPr="009A335F">
        <w:rPr>
          <w:rFonts w:hint="cs"/>
          <w:rtl/>
        </w:rPr>
        <w:tab/>
      </w:r>
    </w:p>
    <w:p w14:paraId="3CFB8F5B" w14:textId="77777777" w:rsidR="009A335F" w:rsidRPr="009A335F" w:rsidRDefault="009A335F" w:rsidP="009A335F">
      <w:pPr>
        <w:spacing w:line="360" w:lineRule="auto"/>
        <w:ind w:left="720" w:hanging="720"/>
        <w:jc w:val="both"/>
        <w:rPr>
          <w:rtl/>
        </w:rPr>
      </w:pPr>
      <w:r w:rsidRPr="009A335F">
        <w:rPr>
          <w:rFonts w:hint="cs"/>
          <w:rtl/>
        </w:rPr>
        <w:tab/>
        <w:t xml:space="preserve">השימוש במשתיק קול באקדח נועד לבטל את רעש הירי הרגיל והוא מאפשר ליורה לירות בקורבנו מבלי שהרעש הנלווה לירי יסגיר את מעשהו. בדרך כלל השימוש במשתיק קול נעשה בירי מקרוב והוא בא בהקשר התקפי יזום. </w:t>
      </w:r>
    </w:p>
    <w:p w14:paraId="19B774FF" w14:textId="77777777" w:rsidR="009A335F" w:rsidRPr="009A335F" w:rsidRDefault="009A335F" w:rsidP="009A335F">
      <w:pPr>
        <w:spacing w:line="360" w:lineRule="auto"/>
        <w:ind w:left="720"/>
        <w:jc w:val="both"/>
        <w:rPr>
          <w:rtl/>
        </w:rPr>
      </w:pPr>
      <w:r w:rsidRPr="009A335F">
        <w:rPr>
          <w:rFonts w:hint="cs"/>
          <w:rtl/>
        </w:rPr>
        <w:t xml:space="preserve">נשיאת האקדח עם משתיק קול תואם, משייכת את מעשה הנאשם לקטגוריית הנסיבות העברייניות החמורות של עבירת נשיאת נשק. </w:t>
      </w:r>
    </w:p>
    <w:p w14:paraId="2E10136F" w14:textId="77777777" w:rsidR="009A335F" w:rsidRPr="009A335F" w:rsidRDefault="009A335F" w:rsidP="009A335F">
      <w:pPr>
        <w:spacing w:line="360" w:lineRule="auto"/>
        <w:ind w:left="720" w:hanging="720"/>
        <w:jc w:val="both"/>
        <w:rPr>
          <w:rtl/>
        </w:rPr>
      </w:pPr>
      <w:r w:rsidRPr="009A335F">
        <w:rPr>
          <w:rFonts w:hint="cs"/>
          <w:rtl/>
        </w:rPr>
        <w:tab/>
      </w:r>
    </w:p>
    <w:p w14:paraId="39C65707" w14:textId="77777777" w:rsidR="009A335F" w:rsidRPr="009A335F" w:rsidRDefault="009A335F" w:rsidP="009A335F">
      <w:pPr>
        <w:spacing w:line="360" w:lineRule="auto"/>
        <w:ind w:left="720" w:hanging="720"/>
        <w:jc w:val="both"/>
        <w:rPr>
          <w:rtl/>
        </w:rPr>
      </w:pPr>
      <w:r w:rsidRPr="009A335F">
        <w:rPr>
          <w:rFonts w:hint="cs"/>
          <w:rtl/>
        </w:rPr>
        <w:t>9.</w:t>
      </w:r>
      <w:r w:rsidRPr="009A335F">
        <w:rPr>
          <w:rFonts w:hint="cs"/>
          <w:rtl/>
        </w:rPr>
        <w:tab/>
        <w:t>הסכנה הטבועה במעשה שכזה, מבחינת טיבה וסיכויי התגשמותה, רבה וחמורה יותר ממקרה "רגיל" של נשיאת אקדח עם מחסנית חמושה.</w:t>
      </w:r>
    </w:p>
    <w:p w14:paraId="090568E2" w14:textId="77777777" w:rsidR="009A335F" w:rsidRPr="009A335F" w:rsidRDefault="009A335F" w:rsidP="009A335F">
      <w:pPr>
        <w:spacing w:line="360" w:lineRule="auto"/>
        <w:ind w:left="720" w:hanging="720"/>
        <w:jc w:val="both"/>
        <w:rPr>
          <w:rtl/>
        </w:rPr>
      </w:pPr>
    </w:p>
    <w:p w14:paraId="2F956890" w14:textId="77777777" w:rsidR="009A335F" w:rsidRPr="009A335F" w:rsidRDefault="009A335F" w:rsidP="009A335F">
      <w:pPr>
        <w:spacing w:line="360" w:lineRule="auto"/>
        <w:ind w:left="720" w:hanging="720"/>
        <w:jc w:val="both"/>
        <w:rPr>
          <w:rtl/>
          <w:lang w:eastAsia="he-IL"/>
        </w:rPr>
      </w:pPr>
      <w:r w:rsidRPr="009A335F">
        <w:rPr>
          <w:rFonts w:hint="cs"/>
          <w:rtl/>
        </w:rPr>
        <w:t>10.</w:t>
      </w:r>
      <w:r w:rsidRPr="009A335F">
        <w:rPr>
          <w:rFonts w:hint="cs"/>
          <w:rtl/>
        </w:rPr>
        <w:tab/>
      </w:r>
      <w:r w:rsidRPr="009A335F">
        <w:rPr>
          <w:rFonts w:hint="cs"/>
          <w:rtl/>
          <w:lang w:eastAsia="he-IL"/>
        </w:rPr>
        <w:t xml:space="preserve">בנסיבות ענייננו, מעשה הנאשם סיכן את הערכים החברתיים של שלום הציבור ובטחונו, שמירת הסדר הציבורי, ושמירת החיים והגוף, במידה גבוהה. </w:t>
      </w:r>
    </w:p>
    <w:p w14:paraId="11D93A93" w14:textId="77777777" w:rsidR="009A335F" w:rsidRPr="009A335F" w:rsidRDefault="009A335F" w:rsidP="009A335F">
      <w:pPr>
        <w:spacing w:line="360" w:lineRule="auto"/>
        <w:ind w:left="720" w:hanging="720"/>
        <w:jc w:val="both"/>
        <w:rPr>
          <w:rtl/>
          <w:lang w:eastAsia="he-IL"/>
        </w:rPr>
      </w:pPr>
    </w:p>
    <w:p w14:paraId="55A8E035" w14:textId="77777777" w:rsidR="009A335F" w:rsidRPr="009A335F" w:rsidRDefault="009A335F" w:rsidP="009A335F">
      <w:pPr>
        <w:spacing w:line="360" w:lineRule="auto"/>
        <w:ind w:left="720" w:hanging="720"/>
        <w:jc w:val="both"/>
        <w:rPr>
          <w:rtl/>
        </w:rPr>
      </w:pPr>
      <w:r w:rsidRPr="009A335F">
        <w:rPr>
          <w:rFonts w:hint="cs"/>
          <w:rtl/>
          <w:lang w:eastAsia="he-IL"/>
        </w:rPr>
        <w:t>11.</w:t>
      </w:r>
      <w:r w:rsidRPr="009A335F">
        <w:rPr>
          <w:rFonts w:hint="cs"/>
          <w:rtl/>
          <w:lang w:eastAsia="he-IL"/>
        </w:rPr>
        <w:tab/>
      </w:r>
      <w:r w:rsidRPr="009A335F">
        <w:rPr>
          <w:rFonts w:hint="cs"/>
          <w:rtl/>
        </w:rPr>
        <w:t>בשנים האחרונות, על רקע היקף תופעת החזקת הנשק הבלתי חוקי ומשמעויותיה הקשות לציבור, בית המשפט העליון קבע פעם אחר פעם את הצורך בהחמרת הענישה אף מעבר לרמה שהיתה נהוגה</w:t>
      </w:r>
      <w:r w:rsidRPr="009A335F">
        <w:rPr>
          <w:rFonts w:hint="cs"/>
          <w:rtl/>
          <w:lang w:eastAsia="he-IL"/>
        </w:rPr>
        <w:t xml:space="preserve">. (ראה והשווה </w:t>
      </w:r>
      <w:hyperlink r:id="rId14" w:history="1">
        <w:r w:rsidR="00850722" w:rsidRPr="00850722">
          <w:rPr>
            <w:color w:val="0000FF"/>
            <w:u w:val="single"/>
            <w:rtl/>
          </w:rPr>
          <w:t>ע"פ 3336/18</w:t>
        </w:r>
      </w:hyperlink>
      <w:r w:rsidRPr="009A335F">
        <w:rPr>
          <w:rFonts w:hint="cs"/>
          <w:rtl/>
        </w:rPr>
        <w:t xml:space="preserve"> </w:t>
      </w:r>
      <w:r w:rsidRPr="009A335F">
        <w:rPr>
          <w:rFonts w:hint="cs"/>
          <w:b/>
          <w:bCs/>
          <w:rtl/>
        </w:rPr>
        <w:t>מדינת ישראל</w:t>
      </w:r>
      <w:r w:rsidRPr="009A335F">
        <w:rPr>
          <w:rFonts w:hint="cs"/>
          <w:rtl/>
        </w:rPr>
        <w:t xml:space="preserve"> נגד </w:t>
      </w:r>
      <w:r w:rsidRPr="009A335F">
        <w:rPr>
          <w:rFonts w:hint="cs"/>
          <w:b/>
          <w:bCs/>
          <w:rtl/>
        </w:rPr>
        <w:t>השאם סמארה</w:t>
      </w:r>
      <w:r w:rsidRPr="009A335F">
        <w:rPr>
          <w:rFonts w:hint="cs"/>
          <w:rtl/>
        </w:rPr>
        <w:t xml:space="preserve"> (פורסם בנבו, 29.11.18); </w:t>
      </w:r>
      <w:hyperlink r:id="rId15" w:history="1">
        <w:r w:rsidR="00850722" w:rsidRPr="00850722">
          <w:rPr>
            <w:color w:val="0000FF"/>
            <w:u w:val="single"/>
            <w:rtl/>
          </w:rPr>
          <w:t>ע"פ 4406/19</w:t>
        </w:r>
      </w:hyperlink>
      <w:r w:rsidRPr="009A335F">
        <w:rPr>
          <w:rFonts w:hint="cs"/>
          <w:rtl/>
        </w:rPr>
        <w:t xml:space="preserve"> </w:t>
      </w:r>
      <w:r w:rsidRPr="009A335F">
        <w:rPr>
          <w:rFonts w:hint="cs"/>
          <w:b/>
          <w:bCs/>
          <w:rtl/>
        </w:rPr>
        <w:t xml:space="preserve">מדינת ישראל </w:t>
      </w:r>
      <w:r w:rsidRPr="009A335F">
        <w:rPr>
          <w:rFonts w:hint="cs"/>
          <w:rtl/>
        </w:rPr>
        <w:t>נ'</w:t>
      </w:r>
      <w:r w:rsidRPr="009A335F">
        <w:rPr>
          <w:rFonts w:hint="cs"/>
          <w:b/>
          <w:bCs/>
          <w:rtl/>
        </w:rPr>
        <w:t xml:space="preserve"> יונס סובח</w:t>
      </w:r>
      <w:r w:rsidRPr="009A335F">
        <w:rPr>
          <w:rFonts w:hint="cs"/>
          <w:rtl/>
        </w:rPr>
        <w:t xml:space="preserve"> (פורסם בנבו, 05.11.19); </w:t>
      </w:r>
      <w:hyperlink r:id="rId16" w:history="1">
        <w:r w:rsidR="00850722" w:rsidRPr="00850722">
          <w:rPr>
            <w:color w:val="0000FF"/>
            <w:u w:val="single"/>
            <w:rtl/>
          </w:rPr>
          <w:t>ע"פ 4530/19</w:t>
        </w:r>
      </w:hyperlink>
      <w:r w:rsidRPr="009A335F">
        <w:rPr>
          <w:rFonts w:hint="cs"/>
          <w:rtl/>
        </w:rPr>
        <w:t xml:space="preserve"> </w:t>
      </w:r>
      <w:r w:rsidRPr="009A335F">
        <w:rPr>
          <w:rFonts w:hint="cs"/>
          <w:b/>
          <w:bCs/>
          <w:rtl/>
        </w:rPr>
        <w:t xml:space="preserve">נור אלדין ג'זאווי </w:t>
      </w:r>
      <w:r w:rsidRPr="009A335F">
        <w:rPr>
          <w:rFonts w:hint="cs"/>
          <w:rtl/>
        </w:rPr>
        <w:t>נ'</w:t>
      </w:r>
      <w:r w:rsidRPr="009A335F">
        <w:rPr>
          <w:rFonts w:hint="cs"/>
          <w:b/>
          <w:bCs/>
          <w:rtl/>
        </w:rPr>
        <w:t xml:space="preserve"> מדינת ישראל</w:t>
      </w:r>
      <w:r w:rsidRPr="009A335F">
        <w:rPr>
          <w:rFonts w:hint="cs"/>
          <w:rtl/>
        </w:rPr>
        <w:t xml:space="preserve"> (פורסם בנבו, 11.08.19); </w:t>
      </w:r>
      <w:hyperlink r:id="rId17" w:history="1">
        <w:r w:rsidR="00850722" w:rsidRPr="00850722">
          <w:rPr>
            <w:color w:val="0000FF"/>
            <w:u w:val="single"/>
            <w:rtl/>
          </w:rPr>
          <w:t>ע"פ 2564/19</w:t>
        </w:r>
      </w:hyperlink>
      <w:r w:rsidRPr="009A335F">
        <w:rPr>
          <w:rFonts w:hint="cs"/>
          <w:rtl/>
        </w:rPr>
        <w:t xml:space="preserve"> </w:t>
      </w:r>
      <w:r w:rsidRPr="009A335F">
        <w:rPr>
          <w:rFonts w:hint="cs"/>
          <w:b/>
          <w:bCs/>
          <w:rtl/>
        </w:rPr>
        <w:t xml:space="preserve">איברהים אזברגה </w:t>
      </w:r>
      <w:r w:rsidRPr="009A335F">
        <w:rPr>
          <w:rFonts w:hint="cs"/>
          <w:rtl/>
        </w:rPr>
        <w:t>נ'</w:t>
      </w:r>
      <w:r w:rsidRPr="009A335F">
        <w:rPr>
          <w:rFonts w:hint="cs"/>
          <w:b/>
          <w:bCs/>
          <w:rtl/>
        </w:rPr>
        <w:t xml:space="preserve"> מדינת ישראל</w:t>
      </w:r>
      <w:r w:rsidRPr="009A335F">
        <w:rPr>
          <w:rFonts w:hint="cs"/>
          <w:rtl/>
        </w:rPr>
        <w:t xml:space="preserve"> (פורסם בנבו, 18.07.19); </w:t>
      </w:r>
      <w:hyperlink r:id="rId18" w:history="1">
        <w:r w:rsidR="00850722" w:rsidRPr="00850722">
          <w:rPr>
            <w:color w:val="0000FF"/>
            <w:u w:val="single"/>
            <w:rtl/>
          </w:rPr>
          <w:t>ע"פ 2802/18</w:t>
        </w:r>
      </w:hyperlink>
      <w:r w:rsidRPr="009A335F">
        <w:rPr>
          <w:rFonts w:hint="cs"/>
          <w:rtl/>
        </w:rPr>
        <w:t xml:space="preserve"> </w:t>
      </w:r>
      <w:r w:rsidRPr="009A335F">
        <w:rPr>
          <w:rFonts w:hint="cs"/>
          <w:b/>
          <w:bCs/>
          <w:rtl/>
        </w:rPr>
        <w:t xml:space="preserve">איוב ג'ואמיס </w:t>
      </w:r>
      <w:r w:rsidRPr="009A335F">
        <w:rPr>
          <w:rFonts w:hint="cs"/>
          <w:rtl/>
        </w:rPr>
        <w:t>נ'</w:t>
      </w:r>
      <w:r w:rsidRPr="009A335F">
        <w:rPr>
          <w:rFonts w:hint="cs"/>
          <w:b/>
          <w:bCs/>
          <w:rtl/>
        </w:rPr>
        <w:t xml:space="preserve"> מדינת ישראל</w:t>
      </w:r>
      <w:r w:rsidRPr="009A335F">
        <w:rPr>
          <w:rFonts w:hint="cs"/>
          <w:rtl/>
        </w:rPr>
        <w:t xml:space="preserve"> (פורסם בנבו, 26.07.18)).</w:t>
      </w:r>
    </w:p>
    <w:p w14:paraId="4AAE440B" w14:textId="77777777" w:rsidR="009A335F" w:rsidRPr="009A335F" w:rsidRDefault="009A335F" w:rsidP="009A335F">
      <w:pPr>
        <w:spacing w:line="360" w:lineRule="auto"/>
        <w:ind w:left="720" w:hanging="720"/>
        <w:jc w:val="both"/>
        <w:rPr>
          <w:rtl/>
        </w:rPr>
      </w:pPr>
    </w:p>
    <w:p w14:paraId="1A753E54" w14:textId="77777777" w:rsidR="009A335F" w:rsidRPr="009A335F" w:rsidRDefault="009A335F" w:rsidP="009A335F">
      <w:pPr>
        <w:spacing w:line="360" w:lineRule="auto"/>
        <w:ind w:left="720" w:hanging="720"/>
        <w:jc w:val="both"/>
        <w:rPr>
          <w:rtl/>
        </w:rPr>
      </w:pPr>
      <w:r w:rsidRPr="009A335F">
        <w:rPr>
          <w:rFonts w:hint="cs"/>
          <w:rtl/>
        </w:rPr>
        <w:t>12.</w:t>
      </w:r>
      <w:r w:rsidRPr="009A335F">
        <w:rPr>
          <w:rFonts w:hint="cs"/>
          <w:rtl/>
        </w:rPr>
        <w:tab/>
        <w:t>הלכה למעשה, רמת הענישה המקובלת להחזקת נשק בנסיבות שאין בהן מימד מיוחד של חומרה, גם כאשר הנאשם הוא צעיר נעדר עבר פלילי, הינה סביב שתי שנות מאסר בפועל.</w:t>
      </w:r>
    </w:p>
    <w:p w14:paraId="1EE4D850" w14:textId="77777777" w:rsidR="009A335F" w:rsidRPr="009A335F" w:rsidRDefault="009A335F" w:rsidP="009A335F">
      <w:pPr>
        <w:spacing w:line="360" w:lineRule="auto"/>
        <w:ind w:left="720"/>
        <w:jc w:val="both"/>
        <w:rPr>
          <w:rtl/>
        </w:rPr>
      </w:pPr>
    </w:p>
    <w:p w14:paraId="4C4B2697" w14:textId="77777777" w:rsidR="009A335F" w:rsidRPr="009A335F" w:rsidRDefault="009A335F" w:rsidP="009A335F">
      <w:pPr>
        <w:spacing w:line="360" w:lineRule="auto"/>
        <w:ind w:left="720"/>
        <w:jc w:val="both"/>
        <w:rPr>
          <w:rtl/>
        </w:rPr>
      </w:pPr>
      <w:r w:rsidRPr="009A335F">
        <w:rPr>
          <w:rFonts w:hint="cs"/>
          <w:rtl/>
        </w:rPr>
        <w:t>ב</w:t>
      </w:r>
      <w:hyperlink r:id="rId19" w:history="1">
        <w:r w:rsidR="000F43A1" w:rsidRPr="000F43A1">
          <w:rPr>
            <w:rStyle w:val="Hyperlink"/>
            <w:rFonts w:hint="eastAsia"/>
            <w:rtl/>
          </w:rPr>
          <w:t>ע</w:t>
        </w:r>
        <w:r w:rsidR="000F43A1" w:rsidRPr="000F43A1">
          <w:rPr>
            <w:rStyle w:val="Hyperlink"/>
            <w:rtl/>
          </w:rPr>
          <w:t>"פ 4354/18</w:t>
        </w:r>
      </w:hyperlink>
      <w:r w:rsidRPr="009A335F">
        <w:rPr>
          <w:rFonts w:hint="cs"/>
          <w:rtl/>
        </w:rPr>
        <w:t xml:space="preserve"> </w:t>
      </w:r>
      <w:r w:rsidRPr="009A335F">
        <w:rPr>
          <w:rFonts w:hint="cs"/>
          <w:b/>
          <w:bCs/>
          <w:rtl/>
        </w:rPr>
        <w:t xml:space="preserve">חמודא אבו עמאר </w:t>
      </w:r>
      <w:r w:rsidRPr="009A335F">
        <w:rPr>
          <w:rFonts w:hint="cs"/>
          <w:rtl/>
        </w:rPr>
        <w:t>נ'</w:t>
      </w:r>
      <w:r w:rsidRPr="009A335F">
        <w:rPr>
          <w:rFonts w:hint="cs"/>
          <w:b/>
          <w:bCs/>
          <w:rtl/>
        </w:rPr>
        <w:t xml:space="preserve"> מדינת ישראל</w:t>
      </w:r>
      <w:r w:rsidRPr="009A335F">
        <w:rPr>
          <w:rFonts w:hint="cs"/>
          <w:rtl/>
        </w:rPr>
        <w:t xml:space="preserve"> (פורסם בנבו, 29.11.18)- המערער מצא נשק מאולתר טעון במחסנית, נשא את הנשק הטעון ברכבו, נסע בחוסר זהירות ונעצר. הוא הורשע בנשיאת נשק ותחמושת ונהיגה בקלות ראש. המערער נעדר עבר פלילי והוא שולב בטיפול, ושירות המבחן המליץ על צו מבחן ומאסר בעבודות שירות. </w:t>
      </w:r>
    </w:p>
    <w:p w14:paraId="7A144B2A" w14:textId="77777777" w:rsidR="009A335F" w:rsidRPr="009A335F" w:rsidRDefault="009A335F" w:rsidP="009A335F">
      <w:pPr>
        <w:spacing w:line="360" w:lineRule="auto"/>
        <w:ind w:left="720"/>
        <w:jc w:val="both"/>
        <w:rPr>
          <w:rtl/>
        </w:rPr>
      </w:pPr>
      <w:r w:rsidRPr="009A335F">
        <w:rPr>
          <w:rFonts w:hint="cs"/>
          <w:rtl/>
        </w:rPr>
        <w:t xml:space="preserve">בית המשפט המחוזי קבע </w:t>
      </w:r>
      <w:r w:rsidRPr="009A335F">
        <w:rPr>
          <w:rFonts w:hint="cs"/>
          <w:b/>
          <w:bCs/>
          <w:rtl/>
        </w:rPr>
        <w:t>מתחם עונש הולם הנע בין 20 ל- 48 חודשי מאסר וגזר עליו 20 חודשי מאסר בפועל</w:t>
      </w:r>
      <w:r w:rsidRPr="009A335F">
        <w:rPr>
          <w:rFonts w:hint="cs"/>
          <w:rtl/>
        </w:rPr>
        <w:t xml:space="preserve">. </w:t>
      </w:r>
    </w:p>
    <w:p w14:paraId="77948211" w14:textId="77777777" w:rsidR="009A335F" w:rsidRPr="009A335F" w:rsidRDefault="009A335F" w:rsidP="009A335F">
      <w:pPr>
        <w:spacing w:line="360" w:lineRule="auto"/>
        <w:ind w:left="720"/>
        <w:jc w:val="both"/>
        <w:rPr>
          <w:rtl/>
        </w:rPr>
      </w:pPr>
      <w:r w:rsidRPr="009A335F">
        <w:rPr>
          <w:rFonts w:hint="cs"/>
          <w:rtl/>
        </w:rPr>
        <w:t xml:space="preserve">בית המשפט העליון קבע כי אין להתערב במתחם שנקבע. ובשל </w:t>
      </w:r>
      <w:r w:rsidRPr="009A335F">
        <w:rPr>
          <w:rFonts w:hint="cs"/>
          <w:b/>
          <w:bCs/>
          <w:rtl/>
        </w:rPr>
        <w:t>שיקולי שיקום</w:t>
      </w:r>
      <w:r w:rsidRPr="009A335F">
        <w:rPr>
          <w:rFonts w:hint="cs"/>
          <w:rtl/>
        </w:rPr>
        <w:t xml:space="preserve"> סטה לקולא מהמתחם שנקבע והטיל על המערער </w:t>
      </w:r>
      <w:r w:rsidRPr="009A335F">
        <w:rPr>
          <w:rFonts w:hint="cs"/>
          <w:b/>
          <w:bCs/>
          <w:rtl/>
        </w:rPr>
        <w:t>17 חודשי מאסר בפועל</w:t>
      </w:r>
      <w:r w:rsidRPr="009A335F">
        <w:rPr>
          <w:rFonts w:hint="cs"/>
          <w:rtl/>
        </w:rPr>
        <w:t>.</w:t>
      </w:r>
    </w:p>
    <w:p w14:paraId="174EB11A" w14:textId="77777777" w:rsidR="009A335F" w:rsidRPr="009A335F" w:rsidRDefault="009A335F" w:rsidP="009A335F">
      <w:pPr>
        <w:spacing w:line="360" w:lineRule="auto"/>
        <w:ind w:left="720"/>
        <w:jc w:val="both"/>
        <w:rPr>
          <w:rtl/>
        </w:rPr>
      </w:pPr>
    </w:p>
    <w:p w14:paraId="40ECEDB7" w14:textId="77777777" w:rsidR="009A335F" w:rsidRPr="009A335F" w:rsidRDefault="009A335F" w:rsidP="009A335F">
      <w:pPr>
        <w:spacing w:line="360" w:lineRule="auto"/>
        <w:ind w:left="720"/>
        <w:jc w:val="both"/>
        <w:rPr>
          <w:rtl/>
        </w:rPr>
      </w:pPr>
      <w:r w:rsidRPr="009A335F">
        <w:rPr>
          <w:rFonts w:hint="cs"/>
          <w:rtl/>
        </w:rPr>
        <w:t>ב</w:t>
      </w:r>
      <w:hyperlink r:id="rId20" w:history="1">
        <w:r w:rsidR="00850722" w:rsidRPr="00850722">
          <w:rPr>
            <w:color w:val="0000FF"/>
            <w:u w:val="single"/>
            <w:rtl/>
          </w:rPr>
          <w:t>ע"פ 2892/13</w:t>
        </w:r>
      </w:hyperlink>
      <w:r w:rsidRPr="009A335F">
        <w:rPr>
          <w:rFonts w:hint="cs"/>
          <w:rtl/>
        </w:rPr>
        <w:t xml:space="preserve"> </w:t>
      </w:r>
      <w:r w:rsidRPr="009A335F">
        <w:rPr>
          <w:rFonts w:hint="cs"/>
          <w:b/>
          <w:bCs/>
          <w:rtl/>
        </w:rPr>
        <w:t xml:space="preserve">מוחמד עודתאללה </w:t>
      </w:r>
      <w:r w:rsidRPr="009A335F">
        <w:rPr>
          <w:rFonts w:hint="cs"/>
          <w:rtl/>
        </w:rPr>
        <w:t>נ'</w:t>
      </w:r>
      <w:r w:rsidRPr="009A335F">
        <w:rPr>
          <w:rFonts w:hint="cs"/>
          <w:b/>
          <w:bCs/>
          <w:rtl/>
        </w:rPr>
        <w:t xml:space="preserve"> מדינת ישראל</w:t>
      </w:r>
      <w:r w:rsidRPr="009A335F">
        <w:rPr>
          <w:rFonts w:hint="cs"/>
          <w:rtl/>
        </w:rPr>
        <w:t xml:space="preserve"> (פורסם בנבו, 29.09.13)- המערער נתפס נוהג ברכב בו היו אקדח ובו מחסנית ריקה מכדורים. המערער ללא עבר פלילי. </w:t>
      </w:r>
    </w:p>
    <w:p w14:paraId="5C6852F4" w14:textId="77777777" w:rsidR="009A335F" w:rsidRPr="009A335F" w:rsidRDefault="009A335F" w:rsidP="009A335F">
      <w:pPr>
        <w:spacing w:line="360" w:lineRule="auto"/>
        <w:ind w:left="720"/>
        <w:jc w:val="both"/>
        <w:rPr>
          <w:rtl/>
        </w:rPr>
      </w:pPr>
      <w:r w:rsidRPr="009A335F">
        <w:rPr>
          <w:rFonts w:hint="cs"/>
          <w:rtl/>
        </w:rPr>
        <w:t>בית המשפט המחוזי קבע מתחם עונש הולם שבין שנה לשלוש שנים, וגזר עליו</w:t>
      </w:r>
      <w:r w:rsidRPr="009A335F">
        <w:rPr>
          <w:rFonts w:hint="cs"/>
          <w:b/>
          <w:bCs/>
          <w:rtl/>
        </w:rPr>
        <w:t xml:space="preserve"> 21 חודשי מאסר</w:t>
      </w:r>
      <w:r w:rsidRPr="009A335F">
        <w:rPr>
          <w:rFonts w:hint="cs"/>
          <w:rtl/>
        </w:rPr>
        <w:t xml:space="preserve">. הערעור על העונש נדחה. </w:t>
      </w:r>
    </w:p>
    <w:p w14:paraId="294353CD" w14:textId="77777777" w:rsidR="009A335F" w:rsidRPr="009A335F" w:rsidRDefault="009A335F" w:rsidP="009A335F">
      <w:pPr>
        <w:spacing w:line="360" w:lineRule="auto"/>
        <w:ind w:left="720"/>
        <w:jc w:val="both"/>
        <w:rPr>
          <w:rtl/>
        </w:rPr>
      </w:pPr>
      <w:r w:rsidRPr="009A335F">
        <w:rPr>
          <w:rFonts w:hint="cs"/>
          <w:rtl/>
        </w:rPr>
        <w:t>ב</w:t>
      </w:r>
      <w:hyperlink r:id="rId21" w:history="1">
        <w:r w:rsidR="00850722" w:rsidRPr="00850722">
          <w:rPr>
            <w:color w:val="0000FF"/>
            <w:u w:val="single"/>
            <w:rtl/>
          </w:rPr>
          <w:t>ע"פ 4329/10</w:t>
        </w:r>
      </w:hyperlink>
      <w:r w:rsidRPr="009A335F">
        <w:rPr>
          <w:rFonts w:hint="cs"/>
          <w:rtl/>
        </w:rPr>
        <w:t xml:space="preserve"> </w:t>
      </w:r>
      <w:r w:rsidRPr="009A335F">
        <w:rPr>
          <w:rFonts w:hint="cs"/>
          <w:b/>
          <w:bCs/>
          <w:rtl/>
        </w:rPr>
        <w:t>פלוני</w:t>
      </w:r>
      <w:r w:rsidRPr="009A335F">
        <w:rPr>
          <w:rFonts w:hint="cs"/>
          <w:rtl/>
        </w:rPr>
        <w:t xml:space="preserve"> נ' </w:t>
      </w:r>
      <w:r w:rsidRPr="009A335F">
        <w:rPr>
          <w:rFonts w:hint="cs"/>
          <w:b/>
          <w:bCs/>
          <w:rtl/>
        </w:rPr>
        <w:t>מדינת ישראל</w:t>
      </w:r>
      <w:r w:rsidRPr="009A335F">
        <w:rPr>
          <w:rFonts w:hint="cs"/>
          <w:rtl/>
        </w:rPr>
        <w:t xml:space="preserve"> (פורסם בנבו, 25.10.10) המערער נתפס נוהג ברכב שבבעלותו, בו היה אקדח חמוש. המערער צעיר, ללא עבר פלילי, סטודנט. שירות המבחן המליץ על מאסר בעבודות שירות. בית המשפט דן אותו ל- </w:t>
      </w:r>
      <w:r w:rsidRPr="009A335F">
        <w:rPr>
          <w:rFonts w:hint="cs"/>
          <w:b/>
          <w:bCs/>
          <w:rtl/>
        </w:rPr>
        <w:t>20 חודשי מאסר בפועל</w:t>
      </w:r>
      <w:r w:rsidRPr="009A335F">
        <w:rPr>
          <w:rFonts w:hint="cs"/>
          <w:rtl/>
        </w:rPr>
        <w:t>. הערעור על העונש נדחה.</w:t>
      </w:r>
    </w:p>
    <w:p w14:paraId="16F2AE4D" w14:textId="77777777" w:rsidR="009A335F" w:rsidRPr="009A335F" w:rsidRDefault="009A335F" w:rsidP="009A335F">
      <w:pPr>
        <w:spacing w:line="360" w:lineRule="auto"/>
        <w:ind w:left="720"/>
        <w:jc w:val="both"/>
        <w:rPr>
          <w:rtl/>
        </w:rPr>
      </w:pPr>
    </w:p>
    <w:p w14:paraId="771576BE" w14:textId="77777777" w:rsidR="009A335F" w:rsidRPr="009A335F" w:rsidRDefault="009A335F" w:rsidP="009A335F">
      <w:pPr>
        <w:spacing w:line="360" w:lineRule="auto"/>
        <w:ind w:left="720"/>
        <w:jc w:val="both"/>
        <w:rPr>
          <w:rtl/>
        </w:rPr>
      </w:pPr>
      <w:r w:rsidRPr="009A335F">
        <w:rPr>
          <w:rFonts w:hint="cs"/>
          <w:rtl/>
        </w:rPr>
        <w:t>ב</w:t>
      </w:r>
      <w:hyperlink r:id="rId22" w:history="1">
        <w:r w:rsidR="00850722" w:rsidRPr="00850722">
          <w:rPr>
            <w:color w:val="0000FF"/>
            <w:u w:val="single"/>
            <w:rtl/>
            <w:lang w:eastAsia="he-IL"/>
          </w:rPr>
          <w:t>ע"פ 3156/11</w:t>
        </w:r>
      </w:hyperlink>
      <w:r w:rsidRPr="009A335F">
        <w:rPr>
          <w:rFonts w:hint="cs"/>
          <w:b/>
          <w:bCs/>
          <w:rtl/>
        </w:rPr>
        <w:t xml:space="preserve"> ג'מיל זראיעה </w:t>
      </w:r>
      <w:r w:rsidRPr="009A335F">
        <w:rPr>
          <w:rFonts w:hint="cs"/>
          <w:rtl/>
        </w:rPr>
        <w:t>נ'</w:t>
      </w:r>
      <w:r w:rsidRPr="009A335F">
        <w:rPr>
          <w:rFonts w:hint="cs"/>
          <w:b/>
          <w:bCs/>
          <w:rtl/>
        </w:rPr>
        <w:t xml:space="preserve"> מדינת ישראל</w:t>
      </w:r>
      <w:r w:rsidRPr="009A335F">
        <w:rPr>
          <w:rFonts w:hint="cs"/>
          <w:rtl/>
        </w:rPr>
        <w:t xml:space="preserve"> (פורסם בנבו, 21.2.12), המערער החזיק ברכבו בעת שנסע בו, אקדח ותחמושת מתאימה. בעברו הרשעה קודמת אחת, ישנה, שלא מאותו סוג. בית המשפט גזר עליו </w:t>
      </w:r>
      <w:r w:rsidRPr="009A335F">
        <w:rPr>
          <w:rFonts w:hint="cs"/>
          <w:b/>
          <w:bCs/>
          <w:rtl/>
        </w:rPr>
        <w:t>24 חודשי מאסר בפועל</w:t>
      </w:r>
      <w:r w:rsidRPr="009A335F">
        <w:rPr>
          <w:rFonts w:hint="cs"/>
          <w:rtl/>
        </w:rPr>
        <w:t xml:space="preserve">, מאסר על תנאי וקנס כספי בסך של 10,000 ש"ח. ערעורו על חומרת העונש, נדחה. </w:t>
      </w:r>
    </w:p>
    <w:p w14:paraId="0D794EC3" w14:textId="77777777" w:rsidR="009A335F" w:rsidRPr="009A335F" w:rsidRDefault="009A335F" w:rsidP="009A335F">
      <w:pPr>
        <w:spacing w:line="360" w:lineRule="auto"/>
        <w:ind w:left="720" w:hanging="720"/>
        <w:jc w:val="both"/>
        <w:rPr>
          <w:rtl/>
        </w:rPr>
      </w:pPr>
    </w:p>
    <w:p w14:paraId="01CF4C83" w14:textId="77777777" w:rsidR="009A335F" w:rsidRPr="009A335F" w:rsidRDefault="009A335F" w:rsidP="009A335F">
      <w:pPr>
        <w:spacing w:line="360" w:lineRule="auto"/>
        <w:ind w:left="720" w:hanging="720"/>
        <w:jc w:val="both"/>
        <w:rPr>
          <w:rtl/>
        </w:rPr>
      </w:pPr>
      <w:r w:rsidRPr="009A335F">
        <w:rPr>
          <w:rFonts w:hint="cs"/>
          <w:rtl/>
        </w:rPr>
        <w:tab/>
        <w:t>ב</w:t>
      </w:r>
      <w:hyperlink r:id="rId23" w:history="1">
        <w:r w:rsidR="00850722" w:rsidRPr="00850722">
          <w:rPr>
            <w:color w:val="0000FF"/>
            <w:u w:val="single"/>
            <w:rtl/>
          </w:rPr>
          <w:t>ע"פ 9373/10</w:t>
        </w:r>
      </w:hyperlink>
      <w:r w:rsidRPr="009A335F">
        <w:rPr>
          <w:rFonts w:hint="cs"/>
          <w:rtl/>
        </w:rPr>
        <w:t xml:space="preserve"> </w:t>
      </w:r>
      <w:r w:rsidRPr="009A335F">
        <w:rPr>
          <w:rFonts w:hint="cs"/>
          <w:b/>
          <w:bCs/>
          <w:rtl/>
        </w:rPr>
        <w:t xml:space="preserve">חמד ותד </w:t>
      </w:r>
      <w:r w:rsidRPr="009A335F">
        <w:rPr>
          <w:rFonts w:hint="cs"/>
          <w:rtl/>
        </w:rPr>
        <w:t xml:space="preserve">נ' </w:t>
      </w:r>
      <w:r w:rsidRPr="009A335F">
        <w:rPr>
          <w:rFonts w:hint="cs"/>
          <w:b/>
          <w:bCs/>
          <w:rtl/>
        </w:rPr>
        <w:t>מדינת ישראל</w:t>
      </w:r>
      <w:r w:rsidRPr="009A335F">
        <w:rPr>
          <w:rFonts w:hint="cs"/>
          <w:rtl/>
        </w:rPr>
        <w:t xml:space="preserve"> (פורסם בנבו, 14.09.11) המערער החזיק בביתו, מתחת למזרן המיטה, אקדח ומחסנית עם כדורים,  והחזיק 63 כדורים נוספים בחצר. </w:t>
      </w:r>
    </w:p>
    <w:p w14:paraId="08B6DD83" w14:textId="77777777" w:rsidR="009A335F" w:rsidRPr="009A335F" w:rsidRDefault="009A335F" w:rsidP="009A335F">
      <w:pPr>
        <w:spacing w:line="360" w:lineRule="auto"/>
        <w:ind w:left="720"/>
        <w:jc w:val="both"/>
        <w:rPr>
          <w:b/>
          <w:bCs/>
          <w:rtl/>
        </w:rPr>
      </w:pPr>
      <w:r w:rsidRPr="009A335F">
        <w:rPr>
          <w:rFonts w:hint="cs"/>
          <w:rtl/>
        </w:rPr>
        <w:t>בית המשפט המחוזי הטיל עליו 50 חודשי מאסר בפועל. בית המשפט העליון הקל בעונשו והעמידו על</w:t>
      </w:r>
      <w:r w:rsidRPr="009A335F">
        <w:rPr>
          <w:rFonts w:hint="cs"/>
          <w:b/>
          <w:bCs/>
          <w:rtl/>
        </w:rPr>
        <w:t xml:space="preserve"> 30 חודשי מאסר בפועל. </w:t>
      </w:r>
    </w:p>
    <w:p w14:paraId="6A5CAC9A" w14:textId="77777777" w:rsidR="009A335F" w:rsidRPr="009A335F" w:rsidRDefault="009A335F" w:rsidP="009A335F">
      <w:pPr>
        <w:spacing w:line="360" w:lineRule="auto"/>
        <w:ind w:left="720" w:hanging="720"/>
        <w:jc w:val="both"/>
        <w:rPr>
          <w:rtl/>
        </w:rPr>
      </w:pPr>
    </w:p>
    <w:p w14:paraId="005681C2" w14:textId="77777777" w:rsidR="009A335F" w:rsidRPr="009A335F" w:rsidRDefault="009A335F" w:rsidP="009A335F">
      <w:pPr>
        <w:spacing w:line="360" w:lineRule="auto"/>
        <w:ind w:left="720"/>
        <w:jc w:val="both"/>
        <w:rPr>
          <w:rtl/>
        </w:rPr>
      </w:pPr>
      <w:r w:rsidRPr="009A335F">
        <w:rPr>
          <w:rFonts w:hint="cs"/>
          <w:rtl/>
        </w:rPr>
        <w:t>ב</w:t>
      </w:r>
      <w:hyperlink r:id="rId24" w:history="1">
        <w:r w:rsidR="00850722" w:rsidRPr="00850722">
          <w:rPr>
            <w:color w:val="0000FF"/>
            <w:u w:val="single"/>
            <w:rtl/>
          </w:rPr>
          <w:t>ע"פ 761/07</w:t>
        </w:r>
      </w:hyperlink>
      <w:r w:rsidRPr="009A335F">
        <w:rPr>
          <w:rFonts w:hint="cs"/>
          <w:rtl/>
        </w:rPr>
        <w:t xml:space="preserve"> </w:t>
      </w:r>
      <w:r w:rsidRPr="009A335F">
        <w:rPr>
          <w:rFonts w:hint="cs"/>
          <w:b/>
          <w:bCs/>
          <w:rtl/>
        </w:rPr>
        <w:t>מדינת ישראל נגד מיכאל אדרי</w:t>
      </w:r>
      <w:r w:rsidRPr="009A335F">
        <w:rPr>
          <w:rFonts w:hint="cs"/>
          <w:rtl/>
        </w:rPr>
        <w:t xml:space="preserve"> (פורסם בנבו, 22.02.07) המשיב עוכב לבדיקה בעת שהיה ברכבו, ונמצאו עליו אקדח, מחסנית ותחמושת עטופים. </w:t>
      </w:r>
    </w:p>
    <w:p w14:paraId="11BC904C" w14:textId="77777777" w:rsidR="009A335F" w:rsidRPr="009A335F" w:rsidRDefault="009A335F" w:rsidP="009A335F">
      <w:pPr>
        <w:spacing w:line="360" w:lineRule="auto"/>
        <w:ind w:left="720"/>
        <w:jc w:val="both"/>
        <w:rPr>
          <w:rtl/>
        </w:rPr>
      </w:pPr>
      <w:r w:rsidRPr="009A335F">
        <w:rPr>
          <w:rFonts w:hint="cs"/>
          <w:rtl/>
        </w:rPr>
        <w:t>בית המשפט המחוזי הטיל עליו 12 חודשי מאסר בפועל. בית המשפט העליון קיבל את ערעור המדינה והחמיר את עונשו ל-</w:t>
      </w:r>
      <w:r w:rsidRPr="009A335F">
        <w:rPr>
          <w:rFonts w:hint="cs"/>
          <w:b/>
          <w:bCs/>
          <w:rtl/>
        </w:rPr>
        <w:t xml:space="preserve"> 24 חודשי מאסר בפועל</w:t>
      </w:r>
      <w:r w:rsidRPr="009A335F">
        <w:rPr>
          <w:rFonts w:hint="cs"/>
          <w:rtl/>
        </w:rPr>
        <w:t>.</w:t>
      </w:r>
    </w:p>
    <w:p w14:paraId="09F87C85" w14:textId="77777777" w:rsidR="009A335F" w:rsidRPr="009A335F" w:rsidRDefault="009A335F" w:rsidP="009A335F">
      <w:pPr>
        <w:spacing w:line="360" w:lineRule="auto"/>
        <w:ind w:left="720" w:hanging="720"/>
        <w:jc w:val="both"/>
        <w:rPr>
          <w:rtl/>
        </w:rPr>
      </w:pPr>
    </w:p>
    <w:p w14:paraId="1CCDB20C" w14:textId="77777777" w:rsidR="009A335F" w:rsidRPr="009A335F" w:rsidRDefault="009A335F" w:rsidP="009A335F">
      <w:pPr>
        <w:spacing w:line="360" w:lineRule="auto"/>
        <w:ind w:left="720" w:hanging="720"/>
        <w:jc w:val="both"/>
        <w:rPr>
          <w:rtl/>
        </w:rPr>
      </w:pPr>
      <w:r w:rsidRPr="009A335F">
        <w:rPr>
          <w:rFonts w:hint="cs"/>
          <w:rtl/>
        </w:rPr>
        <w:tab/>
        <w:t>ב</w:t>
      </w:r>
      <w:hyperlink r:id="rId25" w:history="1">
        <w:r w:rsidR="00850722" w:rsidRPr="00850722">
          <w:rPr>
            <w:color w:val="0000FF"/>
            <w:u w:val="single"/>
            <w:rtl/>
          </w:rPr>
          <w:t>ע"פ 2839/05</w:t>
        </w:r>
      </w:hyperlink>
      <w:r w:rsidRPr="009A335F">
        <w:rPr>
          <w:rFonts w:hint="cs"/>
          <w:rtl/>
        </w:rPr>
        <w:t xml:space="preserve"> </w:t>
      </w:r>
      <w:r w:rsidRPr="009A335F">
        <w:rPr>
          <w:rFonts w:hint="cs"/>
          <w:b/>
          <w:bCs/>
          <w:rtl/>
        </w:rPr>
        <w:t xml:space="preserve">ראיד עבד אל קאדר </w:t>
      </w:r>
      <w:r w:rsidRPr="009A335F">
        <w:rPr>
          <w:rFonts w:hint="cs"/>
          <w:rtl/>
        </w:rPr>
        <w:t>נ'</w:t>
      </w:r>
      <w:r w:rsidRPr="009A335F">
        <w:rPr>
          <w:rFonts w:hint="cs"/>
          <w:b/>
          <w:bCs/>
          <w:rtl/>
        </w:rPr>
        <w:t xml:space="preserve"> מדינת ישראל</w:t>
      </w:r>
      <w:r w:rsidRPr="009A335F">
        <w:rPr>
          <w:rFonts w:hint="cs"/>
          <w:rtl/>
        </w:rPr>
        <w:t xml:space="preserve"> (פורסם בנבו, 17.11.05) בית המשפט העליון דחה את ערעורו של נאשם שהורשע בנשיאת אקדח עם מחסנית טעונה בכדורים, </w:t>
      </w:r>
    </w:p>
    <w:p w14:paraId="1A343715" w14:textId="77777777" w:rsidR="009A335F" w:rsidRPr="009A335F" w:rsidRDefault="009A335F" w:rsidP="009A335F">
      <w:pPr>
        <w:spacing w:line="360" w:lineRule="auto"/>
        <w:ind w:left="720" w:hanging="720"/>
        <w:jc w:val="both"/>
        <w:rPr>
          <w:b/>
          <w:bCs/>
          <w:rtl/>
        </w:rPr>
      </w:pPr>
      <w:r w:rsidRPr="009A335F">
        <w:rPr>
          <w:rFonts w:hint="cs"/>
          <w:rtl/>
        </w:rPr>
        <w:tab/>
        <w:t xml:space="preserve">והותיר על כנו את עונש המאסר שנקבע לו – </w:t>
      </w:r>
      <w:r w:rsidRPr="009A335F">
        <w:rPr>
          <w:rFonts w:hint="cs"/>
          <w:b/>
          <w:bCs/>
          <w:rtl/>
        </w:rPr>
        <w:t xml:space="preserve">36 חודשי מאסר בפועל. </w:t>
      </w:r>
    </w:p>
    <w:p w14:paraId="6031D993" w14:textId="77777777" w:rsidR="009A335F" w:rsidRPr="009A335F" w:rsidRDefault="009A335F" w:rsidP="009A335F">
      <w:pPr>
        <w:spacing w:line="360" w:lineRule="auto"/>
        <w:ind w:left="720" w:hanging="720"/>
        <w:jc w:val="both"/>
        <w:rPr>
          <w:b/>
          <w:bCs/>
          <w:rtl/>
        </w:rPr>
      </w:pPr>
    </w:p>
    <w:p w14:paraId="7374B809" w14:textId="77777777" w:rsidR="009A335F" w:rsidRPr="009A335F" w:rsidRDefault="009A335F" w:rsidP="009A335F">
      <w:pPr>
        <w:spacing w:line="360" w:lineRule="auto"/>
        <w:ind w:left="720" w:hanging="720"/>
        <w:jc w:val="both"/>
        <w:rPr>
          <w:rtl/>
        </w:rPr>
      </w:pPr>
      <w:r w:rsidRPr="009A335F">
        <w:rPr>
          <w:rFonts w:hint="cs"/>
          <w:rtl/>
        </w:rPr>
        <w:t>13.</w:t>
      </w:r>
      <w:r w:rsidRPr="009A335F">
        <w:rPr>
          <w:rFonts w:hint="cs"/>
          <w:rtl/>
        </w:rPr>
        <w:tab/>
        <w:t xml:space="preserve">אשר לנסיבות הקשורות בביצוע העבירה- מעשה הנאשם חייב מטבעו </w:t>
      </w:r>
      <w:r w:rsidRPr="009A335F">
        <w:rPr>
          <w:rFonts w:hint="cs"/>
          <w:b/>
          <w:bCs/>
          <w:rtl/>
        </w:rPr>
        <w:t>תיאום ותכנון מוקדמים</w:t>
      </w:r>
      <w:r w:rsidRPr="009A335F">
        <w:rPr>
          <w:rFonts w:hint="cs"/>
          <w:rtl/>
        </w:rPr>
        <w:t xml:space="preserve"> והוא היה כרוך בפעולה אקטיבית של הנאשם; הנאשם נשא את הנשק </w:t>
      </w:r>
      <w:r w:rsidRPr="009A335F">
        <w:rPr>
          <w:rFonts w:hint="cs"/>
          <w:b/>
          <w:bCs/>
          <w:rtl/>
        </w:rPr>
        <w:t>בעצמו</w:t>
      </w:r>
      <w:r w:rsidRPr="009A335F">
        <w:rPr>
          <w:rFonts w:hint="cs"/>
          <w:rtl/>
        </w:rPr>
        <w:t xml:space="preserve">, לבדו; כל בר דעת מבין מהו ייעודו של אקדח עם משתיק קול. ובהתאם לכך, </w:t>
      </w:r>
      <w:r w:rsidRPr="009A335F">
        <w:rPr>
          <w:rFonts w:hint="cs"/>
          <w:b/>
          <w:bCs/>
          <w:rtl/>
        </w:rPr>
        <w:t>הנזק שהיה צפוי להיגרם</w:t>
      </w:r>
      <w:r w:rsidRPr="009A335F">
        <w:rPr>
          <w:rFonts w:hint="cs"/>
          <w:rtl/>
        </w:rPr>
        <w:t xml:space="preserve"> ממעשה הנאשם לולא התערבות המשטרה, הינו </w:t>
      </w:r>
      <w:r w:rsidRPr="009A335F">
        <w:rPr>
          <w:rFonts w:hint="cs"/>
          <w:b/>
          <w:bCs/>
          <w:rtl/>
        </w:rPr>
        <w:t>מסוג הנזקים החמורים</w:t>
      </w:r>
      <w:r w:rsidRPr="009A335F">
        <w:rPr>
          <w:rFonts w:hint="cs"/>
          <w:rtl/>
        </w:rPr>
        <w:t xml:space="preserve"> הכרוכים בפגיעה בגוף </w:t>
      </w:r>
      <w:r w:rsidRPr="009A335F">
        <w:rPr>
          <w:rFonts w:hint="cs"/>
          <w:b/>
          <w:bCs/>
          <w:rtl/>
        </w:rPr>
        <w:t>עד כדי קטילת אדם</w:t>
      </w:r>
      <w:r w:rsidRPr="009A335F">
        <w:rPr>
          <w:rFonts w:hint="cs"/>
          <w:rtl/>
        </w:rPr>
        <w:t xml:space="preserve">; לאחר שהנאשם נדרש על ידי שוטרים לעצור בצד, הוא </w:t>
      </w:r>
      <w:r w:rsidRPr="009A335F">
        <w:rPr>
          <w:rFonts w:hint="cs"/>
          <w:b/>
          <w:bCs/>
          <w:rtl/>
        </w:rPr>
        <w:t>הגביר את מהירות נסיעתו וניסה לעבור דרך חסימת התנועה</w:t>
      </w:r>
      <w:r w:rsidRPr="009A335F">
        <w:rPr>
          <w:rFonts w:hint="cs"/>
          <w:rtl/>
        </w:rPr>
        <w:t xml:space="preserve"> שהיתה במקום דרך השול השמאלי, וגם לאחר שנפל מהאופנוע בו נהג, הוא קם ו</w:t>
      </w:r>
      <w:r w:rsidRPr="009A335F">
        <w:rPr>
          <w:rFonts w:hint="cs"/>
          <w:b/>
          <w:bCs/>
          <w:rtl/>
        </w:rPr>
        <w:t>ברח מהשוטרים</w:t>
      </w:r>
      <w:r w:rsidRPr="009A335F">
        <w:rPr>
          <w:rFonts w:hint="cs"/>
          <w:rtl/>
        </w:rPr>
        <w:t xml:space="preserve">; אין לדעת מהו המניע המדויק של הנאשם לביצוע העבירה, אולם ברור כי </w:t>
      </w:r>
      <w:r w:rsidRPr="009A335F">
        <w:rPr>
          <w:rFonts w:hint="cs"/>
          <w:b/>
          <w:bCs/>
          <w:rtl/>
        </w:rPr>
        <w:t>מניע זה נטוע עמוק בעולם העברייני</w:t>
      </w:r>
      <w:r w:rsidRPr="009A335F">
        <w:rPr>
          <w:rFonts w:hint="cs"/>
          <w:rtl/>
        </w:rPr>
        <w:t xml:space="preserve">. </w:t>
      </w:r>
    </w:p>
    <w:p w14:paraId="5FC53717" w14:textId="77777777" w:rsidR="009A335F" w:rsidRPr="009A335F" w:rsidRDefault="009A335F" w:rsidP="009A335F">
      <w:pPr>
        <w:pStyle w:val="aa"/>
        <w:spacing w:line="360" w:lineRule="auto"/>
        <w:ind w:left="720" w:hanging="720"/>
        <w:jc w:val="both"/>
        <w:rPr>
          <w:rtl/>
        </w:rPr>
      </w:pPr>
    </w:p>
    <w:p w14:paraId="2BDF5715" w14:textId="77777777" w:rsidR="009A335F" w:rsidRPr="009A335F" w:rsidRDefault="009A335F" w:rsidP="009A335F">
      <w:pPr>
        <w:spacing w:line="360" w:lineRule="auto"/>
        <w:ind w:left="720" w:hanging="720"/>
        <w:jc w:val="both"/>
        <w:rPr>
          <w:rtl/>
        </w:rPr>
      </w:pPr>
      <w:r w:rsidRPr="009A335F">
        <w:rPr>
          <w:rFonts w:hint="cs"/>
          <w:rtl/>
        </w:rPr>
        <w:t>14.</w:t>
      </w:r>
      <w:r w:rsidRPr="009A335F">
        <w:rPr>
          <w:rFonts w:hint="cs"/>
          <w:rtl/>
        </w:rPr>
        <w:tab/>
        <w:t xml:space="preserve">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למעשה העבירה שביצע הנאשם הוא בין 2 ל- 4.5 שנות מאסר בפועל. </w:t>
      </w:r>
      <w:r w:rsidRPr="009A335F">
        <w:rPr>
          <w:rFonts w:hint="cs"/>
          <w:rtl/>
        </w:rPr>
        <w:tab/>
      </w:r>
    </w:p>
    <w:p w14:paraId="321C7F6C" w14:textId="77777777" w:rsidR="009A335F" w:rsidRPr="009A335F" w:rsidRDefault="009A335F" w:rsidP="009A335F">
      <w:pPr>
        <w:spacing w:line="360" w:lineRule="auto"/>
        <w:ind w:left="720" w:hanging="720"/>
        <w:jc w:val="both"/>
        <w:rPr>
          <w:rtl/>
        </w:rPr>
      </w:pPr>
      <w:r w:rsidRPr="009A335F">
        <w:rPr>
          <w:rFonts w:hint="cs"/>
          <w:rtl/>
        </w:rPr>
        <w:t>15.</w:t>
      </w:r>
      <w:r w:rsidRPr="009A335F">
        <w:rPr>
          <w:rFonts w:hint="cs"/>
          <w:rtl/>
        </w:rPr>
        <w:tab/>
        <w:t xml:space="preserve">הודאת הנאשם ניתנה במסגרת הסדר טיעון שכלל הסכמה של הצדדים להמליץ לבית המשפט להטיל על הנאשם 24 חודשי מאסר בפועל ולהפעיל מאסר על תנאי בן שנה התלוי ועומד נגדו, חציו במצטבר וחציו בחופף, כך שיהיה על הנאשם לשאת 30 חודשי מאסר בפועל. </w:t>
      </w:r>
    </w:p>
    <w:p w14:paraId="0A510DF5" w14:textId="77777777" w:rsidR="009A335F" w:rsidRPr="009A335F" w:rsidRDefault="009A335F" w:rsidP="009A335F">
      <w:pPr>
        <w:spacing w:line="360" w:lineRule="auto"/>
        <w:ind w:left="720" w:hanging="720"/>
        <w:jc w:val="both"/>
        <w:rPr>
          <w:rtl/>
        </w:rPr>
      </w:pPr>
    </w:p>
    <w:p w14:paraId="62911A90" w14:textId="77777777" w:rsidR="009A335F" w:rsidRPr="009A335F" w:rsidRDefault="009A335F" w:rsidP="009A335F">
      <w:pPr>
        <w:spacing w:line="360" w:lineRule="auto"/>
        <w:ind w:left="720" w:hanging="720"/>
        <w:jc w:val="both"/>
        <w:rPr>
          <w:rtl/>
        </w:rPr>
      </w:pPr>
      <w:r w:rsidRPr="009A335F">
        <w:rPr>
          <w:rFonts w:hint="cs"/>
          <w:rtl/>
        </w:rPr>
        <w:t>16.</w:t>
      </w:r>
      <w:r w:rsidRPr="009A335F">
        <w:rPr>
          <w:rFonts w:hint="cs"/>
          <w:rtl/>
        </w:rPr>
        <w:tab/>
        <w:t xml:space="preserve">הסדרי הטיעון מגשימים תכליות חשובות ורצויות. יתרונותיהם לנאשם, לתביעה, לבית המשפט, ולאינטרס הציבורי בכללו, רבים ומובהקים. הלכה למעשה, הרוב המכריע של התיקים הפליליים המוגשים לבתי המשפט מסתיימים בהסדרי טיעון מסוג זה או אחר.  בתי המשפט מתייחסים להסדרי הטיעון בחיוב וברוב רובם של המקרים ההמלצה העונשית הכלולה בהם מתקבלת על ידי בית המשפט. (ראה </w:t>
      </w:r>
      <w:hyperlink r:id="rId26" w:history="1">
        <w:r w:rsidR="00850722" w:rsidRPr="00850722">
          <w:rPr>
            <w:color w:val="0000FF"/>
            <w:u w:val="single"/>
            <w:rtl/>
          </w:rPr>
          <w:t>ע"פ 2021/17</w:t>
        </w:r>
      </w:hyperlink>
      <w:r w:rsidRPr="009A335F">
        <w:rPr>
          <w:rFonts w:hint="cs"/>
          <w:rtl/>
        </w:rPr>
        <w:t xml:space="preserve"> </w:t>
      </w:r>
      <w:r w:rsidRPr="009A335F">
        <w:rPr>
          <w:rFonts w:hint="cs"/>
          <w:b/>
          <w:bCs/>
          <w:rtl/>
        </w:rPr>
        <w:t xml:space="preserve">יונה יחיאל מצגר </w:t>
      </w:r>
      <w:r w:rsidRPr="009A335F">
        <w:rPr>
          <w:rFonts w:hint="cs"/>
          <w:rtl/>
        </w:rPr>
        <w:t>נ'</w:t>
      </w:r>
      <w:r w:rsidRPr="009A335F">
        <w:rPr>
          <w:rFonts w:hint="cs"/>
          <w:b/>
          <w:bCs/>
          <w:rtl/>
        </w:rPr>
        <w:t xml:space="preserve"> מדינת ישראל</w:t>
      </w:r>
      <w:r w:rsidRPr="009A335F">
        <w:rPr>
          <w:rFonts w:hint="cs"/>
          <w:rtl/>
        </w:rPr>
        <w:t xml:space="preserve"> (פורסם בנבו, 30.4.17) והפסיקה הרבה המובאת שם). </w:t>
      </w:r>
    </w:p>
    <w:p w14:paraId="73B4E6BE" w14:textId="77777777" w:rsidR="009A335F" w:rsidRPr="009A335F" w:rsidRDefault="009A335F" w:rsidP="009A335F">
      <w:pPr>
        <w:spacing w:line="360" w:lineRule="auto"/>
        <w:ind w:left="720" w:hanging="720"/>
        <w:jc w:val="both"/>
        <w:rPr>
          <w:rtl/>
        </w:rPr>
      </w:pPr>
    </w:p>
    <w:p w14:paraId="7E04FE75" w14:textId="77777777" w:rsidR="009A335F" w:rsidRPr="009A335F" w:rsidRDefault="009A335F" w:rsidP="009A335F">
      <w:pPr>
        <w:spacing w:line="360" w:lineRule="auto"/>
        <w:ind w:left="720" w:hanging="720"/>
        <w:jc w:val="both"/>
        <w:rPr>
          <w:rtl/>
        </w:rPr>
      </w:pPr>
      <w:r w:rsidRPr="009A335F">
        <w:rPr>
          <w:rFonts w:hint="cs"/>
          <w:rtl/>
        </w:rPr>
        <w:t>17.</w:t>
      </w:r>
      <w:r w:rsidRPr="009A335F">
        <w:rPr>
          <w:rFonts w:hint="cs"/>
          <w:rtl/>
        </w:rPr>
        <w:tab/>
        <w:t>למרות מעמדו המיוחד של הסדר הטיעון בשיטתנו המשפטית, כאמור, אישורו על ידי בית המשפט איננו פעולה אוטומטית, המתמצת במתן גושפנקה פורמאלית בלבד להסכמות הצדדים, אלא הוא אקט הכרוך בבחינה מהותית, עניינית, של ההסדר ובהפעלת שיקול דעת.</w:t>
      </w:r>
    </w:p>
    <w:p w14:paraId="20A2BD06" w14:textId="77777777" w:rsidR="009A335F" w:rsidRPr="009A335F" w:rsidRDefault="009A335F" w:rsidP="009A335F">
      <w:pPr>
        <w:spacing w:line="360" w:lineRule="auto"/>
        <w:ind w:left="720" w:hanging="720"/>
        <w:jc w:val="both"/>
        <w:rPr>
          <w:rtl/>
        </w:rPr>
      </w:pPr>
      <w:r w:rsidRPr="009A335F">
        <w:rPr>
          <w:rFonts w:hint="cs"/>
          <w:rtl/>
        </w:rPr>
        <w:t xml:space="preserve"> </w:t>
      </w:r>
    </w:p>
    <w:p w14:paraId="1E3A6606" w14:textId="77777777" w:rsidR="009A335F" w:rsidRPr="009A335F" w:rsidRDefault="009A335F" w:rsidP="009A335F">
      <w:pPr>
        <w:spacing w:line="360" w:lineRule="auto"/>
        <w:ind w:left="720" w:hanging="720"/>
        <w:jc w:val="both"/>
        <w:rPr>
          <w:rtl/>
        </w:rPr>
      </w:pPr>
      <w:r w:rsidRPr="009A335F">
        <w:rPr>
          <w:rFonts w:hint="cs"/>
          <w:rtl/>
        </w:rPr>
        <w:t>18.</w:t>
      </w:r>
      <w:r w:rsidRPr="009A335F">
        <w:rPr>
          <w:rFonts w:hint="cs"/>
          <w:rtl/>
        </w:rPr>
        <w:tab/>
        <w:t xml:space="preserve">בבוא בית המשפט לאשר עונש המוצע על ידי הצדדים במסגרת הסדר טיעון, עליו לוודא שמתקיים איזון ראוי בין ההקלה בעונש לה זוכה הנאשם לבין התועלת שיש בעונש המוצע לאינטרס הציבור (ראה </w:t>
      </w:r>
      <w:hyperlink r:id="rId27" w:history="1">
        <w:r w:rsidR="00850722" w:rsidRPr="00850722">
          <w:rPr>
            <w:color w:val="0000FF"/>
            <w:u w:val="single"/>
            <w:rtl/>
          </w:rPr>
          <w:t>ע"פ 1958/98</w:t>
        </w:r>
      </w:hyperlink>
      <w:r w:rsidRPr="009A335F">
        <w:rPr>
          <w:rFonts w:hint="cs"/>
          <w:rtl/>
        </w:rPr>
        <w:t xml:space="preserve"> </w:t>
      </w:r>
      <w:r w:rsidRPr="009A335F">
        <w:rPr>
          <w:rFonts w:hint="cs"/>
          <w:b/>
          <w:bCs/>
          <w:rtl/>
        </w:rPr>
        <w:t xml:space="preserve">פלוני </w:t>
      </w:r>
      <w:r w:rsidRPr="009A335F">
        <w:rPr>
          <w:rFonts w:hint="cs"/>
          <w:rtl/>
        </w:rPr>
        <w:t xml:space="preserve">נ' </w:t>
      </w:r>
      <w:r w:rsidRPr="009A335F">
        <w:rPr>
          <w:rFonts w:hint="cs"/>
          <w:b/>
          <w:bCs/>
          <w:rtl/>
        </w:rPr>
        <w:t xml:space="preserve">מדינת ישראל </w:t>
      </w:r>
      <w:r w:rsidRPr="009A335F">
        <w:rPr>
          <w:rFonts w:hint="cs"/>
          <w:rtl/>
        </w:rPr>
        <w:t>(פורסם בנבו, 25.12.02)            ו</w:t>
      </w:r>
      <w:hyperlink r:id="rId28" w:history="1">
        <w:r w:rsidR="000F43A1" w:rsidRPr="000F43A1">
          <w:rPr>
            <w:rStyle w:val="Hyperlink"/>
            <w:rFonts w:hint="eastAsia"/>
            <w:rtl/>
          </w:rPr>
          <w:t>ע</w:t>
        </w:r>
        <w:r w:rsidR="000F43A1" w:rsidRPr="000F43A1">
          <w:rPr>
            <w:rStyle w:val="Hyperlink"/>
            <w:rtl/>
          </w:rPr>
          <w:t>"פ 512/13</w:t>
        </w:r>
      </w:hyperlink>
      <w:r w:rsidRPr="009A335F">
        <w:rPr>
          <w:rFonts w:hint="cs"/>
          <w:rtl/>
        </w:rPr>
        <w:t xml:space="preserve"> </w:t>
      </w:r>
      <w:r w:rsidRPr="009A335F">
        <w:rPr>
          <w:rFonts w:hint="cs"/>
          <w:b/>
          <w:bCs/>
          <w:rtl/>
        </w:rPr>
        <w:t xml:space="preserve">פלוני </w:t>
      </w:r>
      <w:r w:rsidRPr="009A335F">
        <w:rPr>
          <w:rFonts w:hint="cs"/>
          <w:rtl/>
        </w:rPr>
        <w:t xml:space="preserve">נ' </w:t>
      </w:r>
      <w:r w:rsidRPr="009A335F">
        <w:rPr>
          <w:rFonts w:hint="cs"/>
          <w:b/>
          <w:bCs/>
          <w:rtl/>
        </w:rPr>
        <w:t xml:space="preserve">מדינת ישראל </w:t>
      </w:r>
      <w:r w:rsidRPr="009A335F">
        <w:rPr>
          <w:rFonts w:hint="cs"/>
          <w:rtl/>
        </w:rPr>
        <w:t xml:space="preserve">(פורסם בנבו, 4.12.13)). </w:t>
      </w:r>
    </w:p>
    <w:p w14:paraId="4168BBA9" w14:textId="77777777" w:rsidR="009A335F" w:rsidRPr="009A335F" w:rsidRDefault="009A335F" w:rsidP="009A335F">
      <w:pPr>
        <w:spacing w:line="360" w:lineRule="auto"/>
        <w:ind w:left="720" w:hanging="720"/>
        <w:jc w:val="both"/>
        <w:rPr>
          <w:rtl/>
        </w:rPr>
      </w:pPr>
      <w:r w:rsidRPr="009A335F">
        <w:rPr>
          <w:rFonts w:hint="cs"/>
          <w:rtl/>
        </w:rPr>
        <w:t xml:space="preserve">  </w:t>
      </w:r>
      <w:r w:rsidRPr="009A335F">
        <w:rPr>
          <w:rFonts w:hint="cs"/>
          <w:rtl/>
        </w:rPr>
        <w:tab/>
        <w:t xml:space="preserve">במסגרת מבחן האיזון האמור, על בית המשפט לבחון את העונש המוצע בהסדר הטיעון אל מול העונש שהיה נגזר על הנאשם לולא הסדר הטיעון, ואת הסיבות שהביאו את התביעה להסכים להסדר המקל והמשקל שניתן להן. </w:t>
      </w:r>
    </w:p>
    <w:p w14:paraId="69F4272C" w14:textId="77777777" w:rsidR="009A335F" w:rsidRPr="009A335F" w:rsidRDefault="009A335F" w:rsidP="009A335F">
      <w:pPr>
        <w:spacing w:line="360" w:lineRule="auto"/>
        <w:ind w:left="720"/>
        <w:jc w:val="both"/>
        <w:rPr>
          <w:rtl/>
        </w:rPr>
      </w:pPr>
      <w:r w:rsidRPr="009A335F">
        <w:rPr>
          <w:rFonts w:hint="cs"/>
          <w:rtl/>
        </w:rPr>
        <w:t xml:space="preserve">בהקשר זה בית המשפט שוקל בין היתר את הראיות הקיימות ואת סיכויי ההרשעה לאורן ללא הודאת הנאשם; את הוויתור שעשה הנאשם על סיכויי זיכויו, בהתחשב בקו ההגנה שיכל לעמוד לו; את היתרונות הנובעים מהודאת הנאשם, לתביעה, המייצגת את האינטרס הציבורי; ואת ציפיית הנאשם שבית המשפט יאמץ את המלצת הצדדים במסגרת הסדר הטיעון. וכך גם נשקלים נתונים מיוחדים הנוגעים לנסיבותיו של הנאשם, מצבו הבריאותי, שיתוף הפעולה שלו בעבר ובעתיד עם גורמי האכיפה, ועוד. </w:t>
      </w:r>
    </w:p>
    <w:p w14:paraId="568FA896" w14:textId="77777777" w:rsidR="009A335F" w:rsidRPr="009A335F" w:rsidRDefault="009A335F" w:rsidP="009A335F">
      <w:pPr>
        <w:spacing w:line="360" w:lineRule="auto"/>
        <w:ind w:left="720" w:hanging="720"/>
        <w:jc w:val="both"/>
        <w:rPr>
          <w:rtl/>
        </w:rPr>
      </w:pPr>
      <w:r w:rsidRPr="009A335F">
        <w:rPr>
          <w:rFonts w:hint="cs"/>
          <w:rtl/>
        </w:rPr>
        <w:t>19.</w:t>
      </w:r>
      <w:r w:rsidRPr="009A335F">
        <w:rPr>
          <w:rFonts w:hint="cs"/>
          <w:rtl/>
        </w:rPr>
        <w:tab/>
        <w:t xml:space="preserve">במקרה זה, הנאשם נתפס בכף, כשהוא נושא על גבו תיק גב ובתוכו אקדח טעון במחסנית שבתוכה כדור, ומשתיק קול. על פני הדברים, נסיבות הימצאות הנשק בחזקת הנאשם, ניסיון החיים והחזקות שבדין הנוגעות לענין, והימנעות הנאשם מלהישמע להוראת השוטרים וניסיון בריחתו מהמקום, מהווים תשתית ראייתית מספקת לחובת הנאשם, אשר ללא הסבר מניח את הדעת מצדו יכולים לבסס הרשעה בדין. </w:t>
      </w:r>
    </w:p>
    <w:p w14:paraId="60436805" w14:textId="77777777" w:rsidR="009A335F" w:rsidRPr="009A335F" w:rsidRDefault="009A335F" w:rsidP="009A335F">
      <w:pPr>
        <w:spacing w:line="360" w:lineRule="auto"/>
        <w:ind w:left="720" w:hanging="720"/>
        <w:jc w:val="both"/>
        <w:rPr>
          <w:rtl/>
        </w:rPr>
      </w:pPr>
    </w:p>
    <w:p w14:paraId="14FA6661" w14:textId="77777777" w:rsidR="009A335F" w:rsidRDefault="009A335F" w:rsidP="009A335F">
      <w:pPr>
        <w:spacing w:line="360" w:lineRule="auto"/>
        <w:ind w:left="720" w:hanging="720"/>
        <w:jc w:val="both"/>
        <w:rPr>
          <w:rtl/>
        </w:rPr>
      </w:pPr>
      <w:r w:rsidRPr="009A335F">
        <w:rPr>
          <w:rFonts w:hint="cs"/>
          <w:rtl/>
        </w:rPr>
        <w:t>20.</w:t>
      </w:r>
      <w:r w:rsidRPr="009A335F">
        <w:rPr>
          <w:rFonts w:hint="cs"/>
          <w:rtl/>
        </w:rPr>
        <w:tab/>
        <w:t xml:space="preserve">לא התביעה ולא ההגנה טענו שבבסיס ההסדר נמצא קושי של התביעה להוכיח את המעשים והעבירה שיוחסו לנאשם. וההגנה לא טענה לקיומו של קו הגנה משמעותי לנאשם, שהיה עשוי להביא לזיכויו. התביעה ציינה שנמצא די אן איי "נוסף" על האקדח ושבעקבות זאת נחקרו אנשים נוספים, וההגנה טענה שנתון זה יכול לתמוך באפשרות שהיו מעורבים נוספים בפרשה, הגם שאין לה ראיה שכך אכן היה. </w:t>
      </w:r>
    </w:p>
    <w:p w14:paraId="6536538E" w14:textId="77777777" w:rsidR="00A52A39" w:rsidRPr="009A335F" w:rsidRDefault="00A52A39" w:rsidP="009A335F">
      <w:pPr>
        <w:spacing w:line="360" w:lineRule="auto"/>
        <w:ind w:left="720" w:hanging="720"/>
        <w:jc w:val="both"/>
        <w:rPr>
          <w:rtl/>
        </w:rPr>
      </w:pPr>
    </w:p>
    <w:p w14:paraId="703050E4" w14:textId="77777777" w:rsidR="009A335F" w:rsidRPr="009A335F" w:rsidRDefault="009A335F" w:rsidP="009A335F">
      <w:pPr>
        <w:spacing w:line="360" w:lineRule="auto"/>
        <w:ind w:left="720" w:hanging="720"/>
        <w:jc w:val="both"/>
        <w:rPr>
          <w:rtl/>
        </w:rPr>
      </w:pPr>
      <w:r w:rsidRPr="009A335F">
        <w:rPr>
          <w:rFonts w:hint="cs"/>
          <w:rtl/>
        </w:rPr>
        <w:t>21.</w:t>
      </w:r>
      <w:r w:rsidRPr="009A335F">
        <w:rPr>
          <w:rFonts w:hint="cs"/>
          <w:rtl/>
        </w:rPr>
        <w:tab/>
        <w:t xml:space="preserve">התביעה הצהירה מפורשות כי הסכמתה לעונש המוצע מבוססת על הנחתה שהנחיות פרקליט המדינה הנוגעות למדיניות הענישה של התביעה בעבירות נשק, קובעות שמתחם העונש ההולם הנטען על ידי התביעה בעבירת נשיאת אקדח, כמו בענייננו, הינו 18 עד 30 חודשי מאסר בפועל, ועל עמדתה שבנסיבות הענין, ובהתחשב מצד אחד בעברו הפלילי של הנאשם ומצד שני בגילו הצעיר, יש למקם את עונשו של הנאשם באמצע המתחם. </w:t>
      </w:r>
    </w:p>
    <w:p w14:paraId="089C20A9" w14:textId="77777777" w:rsidR="009A335F" w:rsidRPr="009A335F" w:rsidRDefault="009A335F" w:rsidP="009A335F">
      <w:pPr>
        <w:spacing w:line="360" w:lineRule="auto"/>
        <w:ind w:left="720" w:hanging="720"/>
        <w:jc w:val="both"/>
        <w:rPr>
          <w:rtl/>
        </w:rPr>
      </w:pPr>
    </w:p>
    <w:p w14:paraId="689DA12C" w14:textId="77777777" w:rsidR="009A335F" w:rsidRPr="009A335F" w:rsidRDefault="009A335F" w:rsidP="009A335F">
      <w:pPr>
        <w:spacing w:line="360" w:lineRule="auto"/>
        <w:ind w:left="720" w:hanging="720"/>
        <w:jc w:val="both"/>
        <w:rPr>
          <w:rtl/>
        </w:rPr>
      </w:pPr>
      <w:r w:rsidRPr="009A335F">
        <w:rPr>
          <w:rFonts w:hint="cs"/>
          <w:rtl/>
        </w:rPr>
        <w:t>22.</w:t>
      </w:r>
      <w:r w:rsidRPr="009A335F">
        <w:rPr>
          <w:rFonts w:hint="cs"/>
          <w:rtl/>
        </w:rPr>
        <w:tab/>
        <w:t>למעשה, התביעה טוענת שעונש המאסר לו הסכימה הוא העונש הראוי לנאשם ממילא, ואין בו, או כמעט ואין בו, משום הקלה עם הנאשם.</w:t>
      </w:r>
    </w:p>
    <w:p w14:paraId="023D1484" w14:textId="77777777" w:rsidR="009A335F" w:rsidRPr="009A335F" w:rsidRDefault="009A335F" w:rsidP="009A335F">
      <w:pPr>
        <w:spacing w:line="360" w:lineRule="auto"/>
        <w:ind w:left="720" w:hanging="720"/>
        <w:jc w:val="both"/>
        <w:rPr>
          <w:rtl/>
        </w:rPr>
      </w:pPr>
    </w:p>
    <w:p w14:paraId="7C48C545" w14:textId="77777777" w:rsidR="009A335F" w:rsidRPr="009A335F" w:rsidRDefault="009A335F" w:rsidP="009A335F">
      <w:pPr>
        <w:spacing w:line="360" w:lineRule="auto"/>
        <w:ind w:left="720" w:hanging="720"/>
        <w:jc w:val="both"/>
        <w:rPr>
          <w:rtl/>
        </w:rPr>
      </w:pPr>
      <w:r w:rsidRPr="009A335F">
        <w:rPr>
          <w:rFonts w:hint="cs"/>
          <w:rtl/>
        </w:rPr>
        <w:t>23.</w:t>
      </w:r>
      <w:r w:rsidRPr="009A335F">
        <w:rPr>
          <w:rFonts w:hint="cs"/>
          <w:rtl/>
        </w:rPr>
        <w:tab/>
        <w:t xml:space="preserve">גם ההגנה תמכה את טיעוניה בהנחיות פרקליט המדינה האמורות, וטענה שעל פיהן מתחם העונש ההולם שהתביעה טוענת לו במקרה כשלנו מתחיל ב- 18 חודשים, ושבהתחשב בקנס המשמעותי עליו הסכימו הצדדים, העונש הכולל המוצע "נמצא בתוך המתחם". </w:t>
      </w:r>
    </w:p>
    <w:p w14:paraId="0EC4E68D" w14:textId="77777777" w:rsidR="009A335F" w:rsidRPr="009A335F" w:rsidRDefault="009A335F" w:rsidP="009A335F">
      <w:pPr>
        <w:spacing w:line="360" w:lineRule="auto"/>
        <w:ind w:left="720" w:hanging="720"/>
        <w:jc w:val="both"/>
        <w:rPr>
          <w:rtl/>
        </w:rPr>
      </w:pPr>
    </w:p>
    <w:p w14:paraId="32CD6ACB" w14:textId="77777777" w:rsidR="009A335F" w:rsidRPr="009A335F" w:rsidRDefault="009A335F" w:rsidP="009A335F">
      <w:pPr>
        <w:spacing w:line="360" w:lineRule="auto"/>
        <w:ind w:left="720" w:hanging="720"/>
        <w:jc w:val="both"/>
        <w:rPr>
          <w:rtl/>
        </w:rPr>
      </w:pPr>
      <w:r w:rsidRPr="009A335F">
        <w:rPr>
          <w:rFonts w:hint="cs"/>
          <w:rtl/>
        </w:rPr>
        <w:t>24.</w:t>
      </w:r>
      <w:r w:rsidRPr="009A335F">
        <w:rPr>
          <w:rFonts w:hint="cs"/>
          <w:rtl/>
        </w:rPr>
        <w:tab/>
        <w:t xml:space="preserve">במסמך השלמת טיעונים לעונש, שהוגש במשותף על ידי התביעה וההגנה, נכתב – </w:t>
      </w:r>
    </w:p>
    <w:p w14:paraId="0D86B0BC" w14:textId="77777777" w:rsidR="009A335F" w:rsidRPr="009A335F" w:rsidRDefault="009A335F" w:rsidP="009A335F">
      <w:pPr>
        <w:spacing w:line="360" w:lineRule="auto"/>
        <w:ind w:left="1440"/>
        <w:jc w:val="both"/>
        <w:rPr>
          <w:rtl/>
        </w:rPr>
      </w:pPr>
      <w:r w:rsidRPr="009A335F">
        <w:rPr>
          <w:rFonts w:hint="cs"/>
          <w:rtl/>
        </w:rPr>
        <w:t>"יצוין עוד, כי העונש לו עתרו הצדדים במסגרת הסדר הטיעון בתיק זה, תואם את הנחיית פרקליט המדינה מס' 9.16 בדבר מדיניות ענישה בעבירות נשק ומטעני חבלה."</w:t>
      </w:r>
    </w:p>
    <w:p w14:paraId="0336DE9D" w14:textId="77777777" w:rsidR="009A335F" w:rsidRPr="009A335F" w:rsidRDefault="009A335F" w:rsidP="009A335F">
      <w:pPr>
        <w:spacing w:line="360" w:lineRule="auto"/>
        <w:ind w:left="1440"/>
        <w:jc w:val="both"/>
        <w:rPr>
          <w:rtl/>
        </w:rPr>
      </w:pPr>
    </w:p>
    <w:p w14:paraId="6B06D6FE" w14:textId="77777777" w:rsidR="009A335F" w:rsidRPr="009A335F" w:rsidRDefault="009A335F" w:rsidP="009A335F">
      <w:pPr>
        <w:spacing w:line="360" w:lineRule="auto"/>
        <w:ind w:left="720" w:hanging="720"/>
        <w:jc w:val="both"/>
        <w:rPr>
          <w:rtl/>
        </w:rPr>
      </w:pPr>
      <w:r w:rsidRPr="009A335F">
        <w:rPr>
          <w:rFonts w:hint="cs"/>
          <w:rtl/>
        </w:rPr>
        <w:t>25.</w:t>
      </w:r>
      <w:r w:rsidRPr="009A335F">
        <w:rPr>
          <w:rFonts w:hint="cs"/>
          <w:rtl/>
        </w:rPr>
        <w:tab/>
        <w:t xml:space="preserve">ההנחה המרכזית של התביעה בנוגע למתחם העונש ההולם שהתביעה טוענת לו בעבירה של נשיאת אקדח, העומדת ביסוד הסכמתה להסדר הטיעון, שגויה בעליל. </w:t>
      </w:r>
    </w:p>
    <w:p w14:paraId="0072C3B1" w14:textId="77777777" w:rsidR="009A335F" w:rsidRPr="009A335F" w:rsidRDefault="009A335F" w:rsidP="009A335F">
      <w:pPr>
        <w:spacing w:line="360" w:lineRule="auto"/>
        <w:ind w:left="720" w:hanging="720"/>
        <w:jc w:val="both"/>
        <w:rPr>
          <w:rtl/>
        </w:rPr>
      </w:pPr>
      <w:r w:rsidRPr="009A335F">
        <w:rPr>
          <w:rFonts w:hint="cs"/>
          <w:rtl/>
        </w:rPr>
        <w:tab/>
        <w:t>הנחיות פרקליט המדינה מספר 9.16, המתייחסות למדיניות הענישה של התביעה בעבירות נשק, מציגות "מתחמי מוצא" להתוויית שיקול הדעת של התביעה בקביעת עמדתה העונשית. מתחם המוצא הקבוע בהנחיות לעבירת נשיאת נשק מסוג אקדח הוא</w:t>
      </w:r>
      <w:r w:rsidRPr="009A335F">
        <w:rPr>
          <w:rFonts w:hint="cs"/>
          <w:b/>
          <w:bCs/>
          <w:rtl/>
        </w:rPr>
        <w:t xml:space="preserve"> 18 עד 48</w:t>
      </w:r>
      <w:r w:rsidRPr="009A335F">
        <w:rPr>
          <w:rFonts w:hint="cs"/>
          <w:rtl/>
        </w:rPr>
        <w:t xml:space="preserve"> חודשי מאסר בפועל, </w:t>
      </w:r>
      <w:r w:rsidRPr="009A335F">
        <w:rPr>
          <w:rFonts w:hint="cs"/>
          <w:b/>
          <w:bCs/>
          <w:rtl/>
        </w:rPr>
        <w:t>ולא 18-30</w:t>
      </w:r>
      <w:r w:rsidRPr="009A335F">
        <w:rPr>
          <w:rFonts w:hint="cs"/>
          <w:rtl/>
        </w:rPr>
        <w:t xml:space="preserve"> חודשי מאסר בפועל כפי שהניחה התביעה.</w:t>
      </w:r>
    </w:p>
    <w:p w14:paraId="4DCA199E" w14:textId="77777777" w:rsidR="009A335F" w:rsidRPr="009A335F" w:rsidRDefault="009A335F" w:rsidP="009A335F">
      <w:pPr>
        <w:spacing w:line="360" w:lineRule="auto"/>
        <w:ind w:left="720"/>
        <w:jc w:val="both"/>
        <w:rPr>
          <w:rtl/>
        </w:rPr>
      </w:pPr>
      <w:r w:rsidRPr="009A335F">
        <w:rPr>
          <w:rFonts w:hint="cs"/>
          <w:rtl/>
        </w:rPr>
        <w:t>בנוסף, מטבע הדברים, המתחם הכלול בהנחיות הוא מתחם כללי, המתייחס למקרה השגרתי, הפשוט, "שלא בנסיבות החמורות יותר". וככתוב בהנחיות עצמן, קיומן של נסיבות מחמירות יצדיק החמרה במתחם העונש ההולם. (ראה פסקאות 10,11 להנחיות)</w:t>
      </w:r>
    </w:p>
    <w:p w14:paraId="5D45A4B4" w14:textId="77777777" w:rsidR="009A335F" w:rsidRPr="009A335F" w:rsidRDefault="009A335F" w:rsidP="009A335F">
      <w:pPr>
        <w:spacing w:line="360" w:lineRule="auto"/>
        <w:ind w:left="720"/>
        <w:jc w:val="both"/>
        <w:rPr>
          <w:rtl/>
        </w:rPr>
      </w:pPr>
      <w:r w:rsidRPr="009A335F">
        <w:rPr>
          <w:rFonts w:hint="cs"/>
          <w:rtl/>
        </w:rPr>
        <w:t xml:space="preserve">בפסקה 21 להנחיות, צוינו קריטריונים שונים, המשווים למעשה קונקרטי חומרה גדולה יותר מהרגיל ומצדיקים דרישת התביעה לקביעת מתחם עונש הולם חמור יותר ממתחם המוצא, ובין היתר - </w:t>
      </w:r>
    </w:p>
    <w:p w14:paraId="53CC7EAE" w14:textId="77777777" w:rsidR="009A335F" w:rsidRPr="009A335F" w:rsidRDefault="009A335F" w:rsidP="009A335F">
      <w:pPr>
        <w:spacing w:line="360" w:lineRule="auto"/>
        <w:ind w:left="720"/>
        <w:jc w:val="both"/>
        <w:rPr>
          <w:rtl/>
        </w:rPr>
      </w:pPr>
      <w:r w:rsidRPr="009A335F">
        <w:rPr>
          <w:rFonts w:hint="cs"/>
          <w:rtl/>
        </w:rPr>
        <w:t>"מאפייני הנשק – ככל שעל פי טיבו ומאפייניו, הנשק מהווה אמצעי שפגיעתו הפוטנציאלית רבה יותר, יידרש "מתחם עונש הולם" חמור יותר";</w:t>
      </w:r>
    </w:p>
    <w:p w14:paraId="6724CBA0" w14:textId="77777777" w:rsidR="009A335F" w:rsidRPr="009A335F" w:rsidRDefault="009A335F" w:rsidP="009A335F">
      <w:pPr>
        <w:spacing w:line="360" w:lineRule="auto"/>
        <w:ind w:left="720"/>
        <w:jc w:val="both"/>
        <w:rPr>
          <w:rtl/>
        </w:rPr>
      </w:pPr>
      <w:r w:rsidRPr="009A335F">
        <w:rPr>
          <w:rFonts w:hint="cs"/>
          <w:rtl/>
        </w:rPr>
        <w:t>"היות הנשק טעון, מהווה אף הוא נסיבה לחומרה";</w:t>
      </w:r>
    </w:p>
    <w:p w14:paraId="09A4A0FB" w14:textId="77777777" w:rsidR="009A335F" w:rsidRPr="009A335F" w:rsidRDefault="009A335F" w:rsidP="009A335F">
      <w:pPr>
        <w:spacing w:line="360" w:lineRule="auto"/>
        <w:ind w:left="720"/>
        <w:jc w:val="both"/>
        <w:rPr>
          <w:rtl/>
        </w:rPr>
      </w:pPr>
      <w:r w:rsidRPr="009A335F">
        <w:rPr>
          <w:rFonts w:hint="cs"/>
          <w:rtl/>
        </w:rPr>
        <w:t xml:space="preserve">"מיקום – המיקום שבו הוחזק/נישא הנשק הינו בעל משמעות רבה לעניין זיהוי תכלית ההחזקה/הנשיאה ומידת הסיכון הכרוכה בה. ככל שהנשק הוחזק/נישא במקום בו האפשרות של עשיית שימוש בו, בכוונת מכוון או בשוגג, על ידי האדם המחזיק או על ידי אחר, גדולה יותר, כך יהווה הדבר נסיבה משמעותית להחמרה בעונש". </w:t>
      </w:r>
    </w:p>
    <w:p w14:paraId="0BC06739" w14:textId="77777777" w:rsidR="009A335F" w:rsidRPr="009A335F" w:rsidRDefault="009A335F" w:rsidP="009A335F">
      <w:pPr>
        <w:spacing w:line="360" w:lineRule="auto"/>
        <w:ind w:left="720"/>
        <w:jc w:val="both"/>
        <w:rPr>
          <w:rtl/>
        </w:rPr>
      </w:pPr>
    </w:p>
    <w:p w14:paraId="6F44A55C" w14:textId="77777777" w:rsidR="009A335F" w:rsidRPr="009A335F" w:rsidRDefault="009A335F" w:rsidP="009A335F">
      <w:pPr>
        <w:spacing w:line="360" w:lineRule="auto"/>
        <w:ind w:left="720" w:hanging="720"/>
        <w:jc w:val="both"/>
        <w:rPr>
          <w:rtl/>
        </w:rPr>
      </w:pPr>
      <w:r w:rsidRPr="009A335F">
        <w:rPr>
          <w:rFonts w:hint="cs"/>
          <w:rtl/>
        </w:rPr>
        <w:t>26.</w:t>
      </w:r>
      <w:r w:rsidRPr="009A335F">
        <w:rPr>
          <w:rFonts w:hint="cs"/>
          <w:rtl/>
        </w:rPr>
        <w:tab/>
        <w:t>נסיבות נשיאת האקדח על ידי הנאשם, ביחד עם משתיק קול ומחסנית ובה כדור, מתייגות את מעשה הנאשם כבעל חומרה גדולה יותר מהמקרה הרגיל של נשיאת אקדח.</w:t>
      </w:r>
    </w:p>
    <w:p w14:paraId="3788A858" w14:textId="77777777" w:rsidR="009A335F" w:rsidRPr="009A335F" w:rsidRDefault="009A335F" w:rsidP="009A335F">
      <w:pPr>
        <w:spacing w:line="360" w:lineRule="auto"/>
        <w:ind w:left="720" w:hanging="720"/>
        <w:jc w:val="both"/>
        <w:rPr>
          <w:rtl/>
        </w:rPr>
      </w:pPr>
    </w:p>
    <w:p w14:paraId="10AEFD6E" w14:textId="77777777" w:rsidR="009A335F" w:rsidRPr="009A335F" w:rsidRDefault="009A335F" w:rsidP="009A335F">
      <w:pPr>
        <w:spacing w:line="360" w:lineRule="auto"/>
        <w:ind w:left="720" w:hanging="720"/>
        <w:jc w:val="both"/>
        <w:rPr>
          <w:rtl/>
        </w:rPr>
      </w:pPr>
      <w:r w:rsidRPr="009A335F">
        <w:rPr>
          <w:rFonts w:hint="cs"/>
          <w:rtl/>
        </w:rPr>
        <w:t>27.</w:t>
      </w:r>
      <w:r w:rsidRPr="009A335F">
        <w:rPr>
          <w:rFonts w:hint="cs"/>
          <w:rtl/>
        </w:rPr>
        <w:tab/>
        <w:t xml:space="preserve">העולה מהאמור הוא, שעל פי הנחיות פרקליט המדינה ובהתחשב בנסיבות הקונקרטיות של העבירה, היה על התביעה לטעון למתחם עונש הולם גבוה יותר מ- 18 עד 48 חודשי מאסר בפועל. </w:t>
      </w:r>
    </w:p>
    <w:p w14:paraId="243D270D" w14:textId="77777777" w:rsidR="009A335F" w:rsidRPr="009A335F" w:rsidRDefault="009A335F" w:rsidP="009A335F">
      <w:pPr>
        <w:spacing w:line="360" w:lineRule="auto"/>
        <w:ind w:left="720" w:hanging="720"/>
        <w:jc w:val="both"/>
        <w:rPr>
          <w:rtl/>
        </w:rPr>
      </w:pPr>
    </w:p>
    <w:p w14:paraId="590FD924" w14:textId="77777777" w:rsidR="009A335F" w:rsidRPr="009A335F" w:rsidRDefault="009A335F" w:rsidP="009A335F">
      <w:pPr>
        <w:spacing w:line="360" w:lineRule="auto"/>
        <w:ind w:left="720" w:hanging="720"/>
        <w:jc w:val="both"/>
        <w:rPr>
          <w:rtl/>
        </w:rPr>
      </w:pPr>
      <w:r w:rsidRPr="009A335F">
        <w:rPr>
          <w:rFonts w:hint="cs"/>
          <w:rtl/>
        </w:rPr>
        <w:t>28.</w:t>
      </w:r>
      <w:r w:rsidRPr="009A335F">
        <w:rPr>
          <w:rFonts w:hint="cs"/>
          <w:rtl/>
        </w:rPr>
        <w:tab/>
        <w:t xml:space="preserve">ברור אפוא, כי הסכמת התביעה לעונש מאסר של 24 חודשים, המניחה שעונש זה מגלם ענישה הנמצאת באמצע מתחם העונש ההולם, בטעות יסודה. </w:t>
      </w:r>
    </w:p>
    <w:p w14:paraId="500A157D" w14:textId="77777777" w:rsidR="009A335F" w:rsidRPr="009A335F" w:rsidRDefault="009A335F" w:rsidP="009A335F">
      <w:pPr>
        <w:spacing w:line="360" w:lineRule="auto"/>
        <w:ind w:left="720" w:hanging="720"/>
        <w:jc w:val="both"/>
        <w:rPr>
          <w:rtl/>
        </w:rPr>
      </w:pPr>
    </w:p>
    <w:p w14:paraId="2DE74D54" w14:textId="77777777" w:rsidR="009A335F" w:rsidRPr="009A335F" w:rsidRDefault="009A335F" w:rsidP="009A335F">
      <w:pPr>
        <w:spacing w:line="360" w:lineRule="auto"/>
        <w:ind w:left="720" w:hanging="720"/>
        <w:jc w:val="both"/>
        <w:rPr>
          <w:rtl/>
        </w:rPr>
      </w:pPr>
      <w:r w:rsidRPr="009A335F">
        <w:rPr>
          <w:rFonts w:hint="cs"/>
          <w:rtl/>
        </w:rPr>
        <w:t>29.</w:t>
      </w:r>
      <w:r w:rsidRPr="009A335F">
        <w:rPr>
          <w:rFonts w:hint="cs"/>
          <w:rtl/>
        </w:rPr>
        <w:tab/>
        <w:t>במקרים בהם התביעה יכולה להוכיח את אשמת הנאשם ללא קושי מיוחד, והודאת הנאשם אינה כרוכה בוויתור על קו הגנה ממשי שעמד לו, ולא מתקיימות נסיבות מיוחדות בגדרן יש להודאת הנאשם ערך מיוחד – כמו למשל חיסכון משמעותי של זמן שיפוט, ייתור הצורך בהעדת נפגע עבירה או עד אחר שעדותו רגישה, ויתור על טענות הנוגעות לחיסיון מורכב, וכד' - המשקל שיש לתת לאינטרס ההסתמכות של נאשם במכלול השיקולים הנוגעים לאישור הסדר טיעון או דחייתו, מתון יותר.</w:t>
      </w:r>
    </w:p>
    <w:p w14:paraId="1D8E5F18" w14:textId="77777777" w:rsidR="009A335F" w:rsidRPr="009A335F" w:rsidRDefault="009A335F" w:rsidP="009A335F">
      <w:pPr>
        <w:spacing w:line="360" w:lineRule="auto"/>
        <w:ind w:left="720" w:hanging="720"/>
        <w:jc w:val="both"/>
        <w:rPr>
          <w:rtl/>
        </w:rPr>
      </w:pPr>
      <w:r w:rsidRPr="009A335F">
        <w:rPr>
          <w:rFonts w:hint="cs"/>
          <w:rtl/>
        </w:rPr>
        <w:tab/>
        <w:t xml:space="preserve">כך הם פני הדברים בענייננו. הראיות שבידי התביעה אפשרו הוכחת אשמת הנאשם ללא קושי מיוחד; לא היה לנאשם קו הגנה מהותי משמעותי; מספר עדי התביעה אינו גדול והזמן והתשומות האחרות שהיה צריך להקדיש לניהול המשפט אינם רבים במיוחד. ובנסיבות אלה, המשקל שיש לתת לציפיית הנאשם שהסדר הטיעון יאושר על ידי בית המשפט הוא בהתאם. </w:t>
      </w:r>
    </w:p>
    <w:p w14:paraId="79E2CB72" w14:textId="77777777" w:rsidR="009A335F" w:rsidRPr="009A335F" w:rsidRDefault="009A335F" w:rsidP="009A335F">
      <w:pPr>
        <w:spacing w:line="360" w:lineRule="auto"/>
        <w:ind w:left="720" w:hanging="720"/>
        <w:jc w:val="both"/>
        <w:rPr>
          <w:rtl/>
        </w:rPr>
      </w:pPr>
    </w:p>
    <w:p w14:paraId="0CA3C94E" w14:textId="77777777" w:rsidR="009A335F" w:rsidRPr="009A335F" w:rsidRDefault="009A335F" w:rsidP="009A335F">
      <w:pPr>
        <w:spacing w:line="360" w:lineRule="auto"/>
        <w:ind w:left="720" w:hanging="720"/>
        <w:jc w:val="both"/>
        <w:rPr>
          <w:rtl/>
        </w:rPr>
      </w:pPr>
      <w:r w:rsidRPr="009A335F">
        <w:rPr>
          <w:rFonts w:hint="cs"/>
          <w:rtl/>
        </w:rPr>
        <w:t>30.</w:t>
      </w:r>
      <w:r w:rsidRPr="009A335F">
        <w:rPr>
          <w:rFonts w:hint="cs"/>
          <w:rtl/>
        </w:rPr>
        <w:tab/>
        <w:t xml:space="preserve">הנאשם כבן 27. לחובתו הרשעות קודמות, בין היתר בעבירות אלימות, רכוש, סחיטה באיומים, ושתי עבירות נשק. </w:t>
      </w:r>
    </w:p>
    <w:p w14:paraId="026E769A" w14:textId="77777777" w:rsidR="009A335F" w:rsidRPr="009A335F" w:rsidRDefault="009A335F" w:rsidP="009A335F">
      <w:pPr>
        <w:spacing w:line="360" w:lineRule="auto"/>
        <w:ind w:left="720"/>
        <w:jc w:val="both"/>
        <w:rPr>
          <w:rtl/>
        </w:rPr>
      </w:pPr>
      <w:r w:rsidRPr="009A335F">
        <w:rPr>
          <w:rFonts w:hint="cs"/>
          <w:rtl/>
        </w:rPr>
        <w:t>בשנת 2017 הוא הורשע ב</w:t>
      </w:r>
      <w:hyperlink r:id="rId29" w:history="1">
        <w:r w:rsidR="00850722" w:rsidRPr="00850722">
          <w:rPr>
            <w:color w:val="0000FF"/>
            <w:u w:val="single"/>
            <w:rtl/>
          </w:rPr>
          <w:t>ת.פ. 3110</w:t>
        </w:r>
        <w:r w:rsidR="00850722" w:rsidRPr="00850722">
          <w:rPr>
            <w:color w:val="0000FF"/>
            <w:u w:val="single"/>
            <w:rtl/>
          </w:rPr>
          <w:t>8</w:t>
        </w:r>
        <w:r w:rsidR="00850722" w:rsidRPr="00850722">
          <w:rPr>
            <w:color w:val="0000FF"/>
            <w:u w:val="single"/>
            <w:rtl/>
          </w:rPr>
          <w:t>-04-16</w:t>
        </w:r>
      </w:hyperlink>
      <w:r w:rsidRPr="009A335F">
        <w:rPr>
          <w:rFonts w:hint="cs"/>
          <w:rtl/>
        </w:rPr>
        <w:t xml:space="preserve"> </w:t>
      </w:r>
      <w:r w:rsidR="000F43A1" w:rsidRPr="000F43A1">
        <w:rPr>
          <w:sz w:val="22"/>
          <w:rtl/>
        </w:rPr>
        <w:t xml:space="preserve">[פורסם בנבו] </w:t>
      </w:r>
      <w:r w:rsidRPr="009A335F">
        <w:rPr>
          <w:rFonts w:hint="cs"/>
          <w:rtl/>
        </w:rPr>
        <w:t xml:space="preserve">של בית המשפט המחוזי באר-שבע, בעבירה של עסקה אחרת בנשק, שיש בה מסירת חזקה לאחר. ברקע הדברים, חבירה של הנאשם יחד עם קבוצת עבריינים, להעביר ביניהם מטען חבלה. במסגרת זו הנאשם נסע עם אחרים לנתניה, ושם הוא ואחר נכנסו לחניון תת קרקעי של בניין מגורים והנאשם ניגש לאופנוע שחנה במקום והוציא מתחת למושב הנהג מטען חבלה. המטען הורכב משתי לבנות חבלה המשמשות כמטען עיקרי במערכות פיצוץ, נפץ חשמלי, המיועד ליזימת פיצוץ בהפעלה חשמלית, מערכת הפעלה אלחוטית, ולוח עץ ובו מגנטים אליו הוצמדו מרכיבי מטען החבלה, אשר יועד להצמדה לאובייקט מתכתי. הנאשם הכניס את המטען לרכב אתו הגיע ובהמשך המטען נמסר לאחרים ובשלב מסוים המשטרה תפסה אותו והסתבר שהמטען לא היה תקין, אולם עובדה זו לא היתה ידועה לנאשמים. </w:t>
      </w:r>
    </w:p>
    <w:p w14:paraId="62C8AD70" w14:textId="77777777" w:rsidR="00A52A39" w:rsidRDefault="00A52A39" w:rsidP="009A335F">
      <w:pPr>
        <w:spacing w:line="360" w:lineRule="auto"/>
        <w:ind w:left="720"/>
        <w:jc w:val="both"/>
        <w:rPr>
          <w:rtl/>
        </w:rPr>
      </w:pPr>
    </w:p>
    <w:p w14:paraId="47B28412" w14:textId="77777777" w:rsidR="009A335F" w:rsidRPr="009A335F" w:rsidRDefault="009A335F" w:rsidP="009A335F">
      <w:pPr>
        <w:spacing w:line="360" w:lineRule="auto"/>
        <w:ind w:left="720"/>
        <w:jc w:val="both"/>
        <w:rPr>
          <w:rtl/>
        </w:rPr>
      </w:pPr>
      <w:r w:rsidRPr="009A335F">
        <w:rPr>
          <w:rFonts w:hint="cs"/>
          <w:rtl/>
        </w:rPr>
        <w:t xml:space="preserve">התביעה הסכימה במסגרת הסדר טיעון, שיוטלו על הנאשם 4 שנות מאסר בפועל פחות שבוע, ועונשים נלווים, והצהירה כי הסכמתה ניתנה על רקע קושי ראייתי ו"קשיים חסיוניים ממשיים", שאלמלא הם היא היתה עותרת לעונשים גבוהים יותר. </w:t>
      </w:r>
    </w:p>
    <w:p w14:paraId="268183FA" w14:textId="77777777" w:rsidR="00A52A39" w:rsidRDefault="00A52A39" w:rsidP="009A335F">
      <w:pPr>
        <w:spacing w:line="360" w:lineRule="auto"/>
        <w:ind w:left="720"/>
        <w:jc w:val="both"/>
        <w:rPr>
          <w:rtl/>
        </w:rPr>
      </w:pPr>
    </w:p>
    <w:p w14:paraId="51B0D4B4" w14:textId="77777777" w:rsidR="009A335F" w:rsidRPr="009A335F" w:rsidRDefault="009A335F" w:rsidP="009A335F">
      <w:pPr>
        <w:spacing w:line="360" w:lineRule="auto"/>
        <w:ind w:left="720"/>
        <w:jc w:val="both"/>
        <w:rPr>
          <w:rtl/>
        </w:rPr>
      </w:pPr>
      <w:r w:rsidRPr="009A335F">
        <w:rPr>
          <w:rFonts w:hint="cs"/>
          <w:rtl/>
        </w:rPr>
        <w:t xml:space="preserve">בית המשפט אימץ את הסדר הטיעון והטיל על הנאשם מאסר למשך 35 חודשים ושלושה שבועות, והפעיל שני עונשי מאסר על תנאי – של שנה ושל שבעה חודשים, הראשון במצטבר והשני בחופף – ובסה"כ 47 חודשים ושלושה שבועות, וכן 12 חודשי מאסר על תנאי למשך 3 שנים מיום שחרורו מהמאסר, שלא יעבור עבירה מסוג פשע או עבירות נשק. </w:t>
      </w:r>
    </w:p>
    <w:p w14:paraId="07DCD0CA" w14:textId="77777777" w:rsidR="009A335F" w:rsidRPr="009A335F" w:rsidRDefault="009A335F" w:rsidP="009A335F">
      <w:pPr>
        <w:spacing w:line="360" w:lineRule="auto"/>
        <w:ind w:left="720"/>
        <w:jc w:val="both"/>
        <w:rPr>
          <w:rtl/>
        </w:rPr>
      </w:pPr>
    </w:p>
    <w:p w14:paraId="3D428F3A" w14:textId="77777777" w:rsidR="009A335F" w:rsidRPr="009A335F" w:rsidRDefault="009A335F" w:rsidP="009A335F">
      <w:pPr>
        <w:spacing w:line="360" w:lineRule="auto"/>
        <w:ind w:left="720"/>
        <w:jc w:val="both"/>
        <w:rPr>
          <w:rtl/>
        </w:rPr>
      </w:pPr>
      <w:r w:rsidRPr="009A335F">
        <w:rPr>
          <w:rFonts w:hint="cs"/>
          <w:rtl/>
        </w:rPr>
        <w:t xml:space="preserve">העבירה הנוכחית בוצעה כשלושה חודשים לאחר שחרור הנאשם מהמאסר, ואין חולק שהיא מפעילה את המאסר על תנאי. </w:t>
      </w:r>
    </w:p>
    <w:p w14:paraId="3D7D869A" w14:textId="77777777" w:rsidR="009A335F" w:rsidRPr="009A335F" w:rsidRDefault="009A335F" w:rsidP="009A335F">
      <w:pPr>
        <w:spacing w:line="360" w:lineRule="auto"/>
        <w:ind w:left="720" w:hanging="720"/>
        <w:jc w:val="both"/>
        <w:rPr>
          <w:rtl/>
        </w:rPr>
      </w:pPr>
    </w:p>
    <w:p w14:paraId="13A19651" w14:textId="77777777" w:rsidR="009A335F" w:rsidRPr="009A335F" w:rsidRDefault="009A335F" w:rsidP="009A335F">
      <w:pPr>
        <w:spacing w:line="360" w:lineRule="auto"/>
        <w:ind w:left="720" w:hanging="720"/>
        <w:jc w:val="both"/>
        <w:rPr>
          <w:rtl/>
        </w:rPr>
      </w:pPr>
      <w:r w:rsidRPr="009A335F">
        <w:rPr>
          <w:rFonts w:hint="cs"/>
          <w:rtl/>
        </w:rPr>
        <w:t>31.</w:t>
      </w:r>
      <w:r w:rsidRPr="009A335F">
        <w:rPr>
          <w:rFonts w:hint="cs"/>
          <w:rtl/>
        </w:rPr>
        <w:tab/>
        <w:t xml:space="preserve">עיננו הרואות שאין המדובר כאן במי שזו לו המעידה הפלילית הראשונה, או שזו הרשעתו הראשונה בעבירת נשק. אלא בנאשם שהוא עבריין מועד, פשוטו כמשמעו, המבצע עבירות חמורות פעם אחר פעם, אשר נדון לתקופות מאסר בלתי מבוטלות ואינו מורתע מכך, וזמן קצר ביותר לאחר שחרורו מתקופת מאסר של כ-4 שנים, הוא שב ומבצע עבירה חמורה, מאותו סוג עבירה עליה נדון למאסרו האחרון, בזמן שתלוי ועומד נגדו מאסר על תנאי של שנה. </w:t>
      </w:r>
    </w:p>
    <w:p w14:paraId="39106922" w14:textId="77777777" w:rsidR="009A335F" w:rsidRPr="009A335F" w:rsidRDefault="009A335F" w:rsidP="009A335F">
      <w:pPr>
        <w:spacing w:line="360" w:lineRule="auto"/>
        <w:ind w:left="720" w:hanging="720"/>
        <w:jc w:val="both"/>
        <w:rPr>
          <w:rtl/>
        </w:rPr>
      </w:pPr>
    </w:p>
    <w:p w14:paraId="459E10AC" w14:textId="77777777" w:rsidR="009A335F" w:rsidRPr="009A335F" w:rsidRDefault="009A335F" w:rsidP="009A335F">
      <w:pPr>
        <w:spacing w:line="360" w:lineRule="auto"/>
        <w:ind w:left="720" w:hanging="720"/>
        <w:jc w:val="both"/>
        <w:rPr>
          <w:rtl/>
        </w:rPr>
      </w:pPr>
      <w:r w:rsidRPr="009A335F">
        <w:rPr>
          <w:rFonts w:hint="cs"/>
          <w:rtl/>
        </w:rPr>
        <w:t>32.</w:t>
      </w:r>
      <w:r w:rsidRPr="009A335F">
        <w:rPr>
          <w:rFonts w:hint="cs"/>
          <w:rtl/>
        </w:rPr>
        <w:tab/>
        <w:t xml:space="preserve">התביעה הסכימה במסגרת הסדר הטיעון, ש- 6 מתוך 12 חודשי המאסר על תנאי שיש להפעיל נגד הנאשם יימנו בחופף למאסר שייגזר על הנאשם בתיק זה. </w:t>
      </w:r>
    </w:p>
    <w:p w14:paraId="5BF26FB9" w14:textId="77777777" w:rsidR="009A335F" w:rsidRPr="009A335F" w:rsidRDefault="0091390E" w:rsidP="009A335F">
      <w:pPr>
        <w:spacing w:line="360" w:lineRule="auto"/>
        <w:ind w:left="720"/>
        <w:jc w:val="both"/>
        <w:rPr>
          <w:rtl/>
        </w:rPr>
      </w:pPr>
      <w:hyperlink r:id="rId30" w:history="1">
        <w:r w:rsidRPr="0091390E">
          <w:rPr>
            <w:rStyle w:val="Hyperlink"/>
            <w:rFonts w:hint="eastAsia"/>
            <w:rtl/>
          </w:rPr>
          <w:t>סעיף</w:t>
        </w:r>
        <w:r w:rsidRPr="0091390E">
          <w:rPr>
            <w:rStyle w:val="Hyperlink"/>
            <w:rtl/>
          </w:rPr>
          <w:t xml:space="preserve"> 58</w:t>
        </w:r>
      </w:hyperlink>
      <w:r w:rsidR="009A335F" w:rsidRPr="009A335F">
        <w:rPr>
          <w:rFonts w:hint="cs"/>
          <w:rtl/>
        </w:rPr>
        <w:t xml:space="preserve"> ב</w:t>
      </w:r>
      <w:hyperlink r:id="rId31" w:history="1">
        <w:r w:rsidR="00850722" w:rsidRPr="00850722">
          <w:rPr>
            <w:color w:val="0000FF"/>
            <w:u w:val="single"/>
            <w:rtl/>
          </w:rPr>
          <w:t>חוק העונשין</w:t>
        </w:r>
      </w:hyperlink>
      <w:r w:rsidR="009A335F" w:rsidRPr="009A335F">
        <w:rPr>
          <w:rFonts w:hint="cs"/>
          <w:rtl/>
        </w:rPr>
        <w:t xml:space="preserve"> קובע, כי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שיירשמו, ששתי התקופות כולן או מקצתן יהיו חופפות". </w:t>
      </w:r>
    </w:p>
    <w:p w14:paraId="7EB4F2DB" w14:textId="77777777" w:rsidR="00A52A39" w:rsidRDefault="00A52A39" w:rsidP="009A335F">
      <w:pPr>
        <w:spacing w:line="360" w:lineRule="auto"/>
        <w:ind w:left="720"/>
        <w:jc w:val="both"/>
        <w:rPr>
          <w:rtl/>
        </w:rPr>
      </w:pPr>
    </w:p>
    <w:p w14:paraId="7ED5B5EA" w14:textId="77777777" w:rsidR="009A335F" w:rsidRPr="009A335F" w:rsidRDefault="009A335F" w:rsidP="009A335F">
      <w:pPr>
        <w:spacing w:line="360" w:lineRule="auto"/>
        <w:ind w:left="720"/>
        <w:jc w:val="both"/>
        <w:rPr>
          <w:rtl/>
        </w:rPr>
      </w:pPr>
      <w:r w:rsidRPr="009A335F">
        <w:rPr>
          <w:rFonts w:hint="cs"/>
          <w:rtl/>
        </w:rPr>
        <w:t>לא שמעתי מפי התביעה או ההגנה טעם משכנע אחד המצדיק חפיפת חלק מתקופת המאסר שיש להפעיל.</w:t>
      </w:r>
    </w:p>
    <w:p w14:paraId="67B0C3AC" w14:textId="77777777" w:rsidR="00A52A39" w:rsidRDefault="00A52A39" w:rsidP="009A335F">
      <w:pPr>
        <w:spacing w:line="360" w:lineRule="auto"/>
        <w:ind w:left="720"/>
        <w:jc w:val="both"/>
        <w:rPr>
          <w:rtl/>
        </w:rPr>
      </w:pPr>
    </w:p>
    <w:p w14:paraId="034F8C75" w14:textId="77777777" w:rsidR="009A335F" w:rsidRPr="009A335F" w:rsidRDefault="009A335F" w:rsidP="009A335F">
      <w:pPr>
        <w:spacing w:line="360" w:lineRule="auto"/>
        <w:ind w:left="720"/>
        <w:jc w:val="both"/>
        <w:rPr>
          <w:rtl/>
        </w:rPr>
      </w:pPr>
      <w:r w:rsidRPr="009A335F">
        <w:rPr>
          <w:rFonts w:hint="cs"/>
          <w:rtl/>
        </w:rPr>
        <w:t xml:space="preserve">אינני רואה איזו הצדקה יכולה להיות לאי הפעלת מלוא תקופת מאסר על תנאי התלויה ועומדת נגד נאשם בוגר, בעל עבר פלילי משמעותי, אשר מיד עם שחרורו מהכלא חוזר ומבצע עבירה מאותו סוג עבירות שבעטיו הוטל עליו המאסר על תנאי. </w:t>
      </w:r>
    </w:p>
    <w:p w14:paraId="1DCC185B" w14:textId="77777777" w:rsidR="009A335F" w:rsidRPr="009A335F" w:rsidRDefault="009A335F" w:rsidP="009A335F">
      <w:pPr>
        <w:spacing w:line="360" w:lineRule="auto"/>
        <w:ind w:left="720"/>
        <w:jc w:val="both"/>
        <w:rPr>
          <w:rtl/>
        </w:rPr>
      </w:pPr>
    </w:p>
    <w:p w14:paraId="39CF2936" w14:textId="77777777" w:rsidR="009A335F" w:rsidRPr="009A335F" w:rsidRDefault="009A335F" w:rsidP="009A335F">
      <w:pPr>
        <w:spacing w:line="360" w:lineRule="auto"/>
        <w:ind w:left="720" w:hanging="720"/>
        <w:jc w:val="both"/>
        <w:rPr>
          <w:rtl/>
        </w:rPr>
      </w:pPr>
      <w:r w:rsidRPr="009A335F">
        <w:rPr>
          <w:rFonts w:hint="cs"/>
          <w:rtl/>
        </w:rPr>
        <w:t>33.</w:t>
      </w:r>
      <w:r w:rsidRPr="009A335F">
        <w:rPr>
          <w:rFonts w:hint="cs"/>
          <w:rtl/>
        </w:rPr>
        <w:tab/>
        <w:t xml:space="preserve">בית המשפט המטיל מאסר על תנאי על נאשם אומר לו "היזהר לך, אם תשוב ותבצע עבירה מהסוג ובתקופה שנקבעו, המאסר על תנאי יופעל". והחוק קובע שמי שמבצע עבירה המפרה את התנאי יש להפעיל כלפיו את עונש המאסר במצטבר, אלא אם כן יש הצדקה לחרוג מכך.           </w:t>
      </w:r>
    </w:p>
    <w:p w14:paraId="5B6CD867" w14:textId="77777777" w:rsidR="009A335F" w:rsidRPr="009A335F" w:rsidRDefault="009A335F" w:rsidP="009A335F">
      <w:pPr>
        <w:spacing w:line="360" w:lineRule="auto"/>
        <w:ind w:left="720" w:hanging="720"/>
        <w:jc w:val="both"/>
        <w:rPr>
          <w:rtl/>
        </w:rPr>
      </w:pPr>
    </w:p>
    <w:p w14:paraId="79B6D4CF" w14:textId="77777777" w:rsidR="009A335F" w:rsidRPr="009A335F" w:rsidRDefault="009A335F" w:rsidP="009A335F">
      <w:pPr>
        <w:spacing w:line="360" w:lineRule="auto"/>
        <w:ind w:left="720"/>
        <w:jc w:val="both"/>
        <w:rPr>
          <w:rtl/>
        </w:rPr>
      </w:pPr>
      <w:r w:rsidRPr="009A335F">
        <w:rPr>
          <w:rFonts w:hint="cs"/>
          <w:rtl/>
        </w:rPr>
        <w:t xml:space="preserve">בנסיבות ענייננו, חפיפת מחצית מתקופת המאסר על תנאי שהופעל לתקופת המאסר שתוטל על הנאשם בתיק זה, תעביר מסר של זילות ברכיב העונשי של מאסר על תנאי, תערער את האמון במערכת האכיפה ותיפגע בעקרון השוויון בין הנאשמים. </w:t>
      </w:r>
    </w:p>
    <w:p w14:paraId="760F10E4" w14:textId="77777777" w:rsidR="009A335F" w:rsidRPr="009A335F" w:rsidRDefault="009A335F" w:rsidP="009A335F">
      <w:pPr>
        <w:spacing w:line="360" w:lineRule="auto"/>
        <w:ind w:left="720"/>
        <w:jc w:val="both"/>
        <w:rPr>
          <w:rtl/>
        </w:rPr>
      </w:pPr>
    </w:p>
    <w:p w14:paraId="3B07F93C" w14:textId="77777777" w:rsidR="009A335F" w:rsidRPr="009A335F" w:rsidRDefault="009A335F" w:rsidP="009A335F">
      <w:pPr>
        <w:spacing w:line="360" w:lineRule="auto"/>
        <w:ind w:left="720" w:hanging="720"/>
        <w:jc w:val="both"/>
        <w:rPr>
          <w:rtl/>
        </w:rPr>
      </w:pPr>
      <w:r w:rsidRPr="009A335F">
        <w:rPr>
          <w:rFonts w:hint="cs"/>
          <w:rtl/>
        </w:rPr>
        <w:t>34.</w:t>
      </w:r>
      <w:r w:rsidRPr="009A335F">
        <w:rPr>
          <w:rFonts w:hint="cs"/>
          <w:rtl/>
        </w:rPr>
        <w:tab/>
      </w:r>
      <w:r w:rsidRPr="009A335F">
        <w:rPr>
          <w:rFonts w:hint="cs"/>
          <w:rtl/>
          <w:lang w:eastAsia="he-IL"/>
        </w:rPr>
        <w:t xml:space="preserve">המלחמה בעבריינות הקשה; סכנת הנפשות הטמונה בשימוש העברייני בכלי נשק; וההיקף הניכר של עבירות הנשק; מחייבים את הערכאות הדיוניות לממש את מדיניות הענישה המחמירה שנקבעה בפסיקת בית המשפט העליון בעבירות הנשק. אין די ברטוריקה שיפוטית חריפה, שאינה מרשימה את העבריינים. יש צורך בביטוי עונשי מעשי, מובן ומורגש, שיהלום את חומרת העבירה בנסיבותיה ואת מידת אשמו של הנאשם, ויהיה בו כדי להרתיע. </w:t>
      </w:r>
    </w:p>
    <w:p w14:paraId="3BF136C2" w14:textId="77777777" w:rsidR="009A335F" w:rsidRPr="009A335F" w:rsidRDefault="009A335F" w:rsidP="009A335F">
      <w:pPr>
        <w:spacing w:line="360" w:lineRule="auto"/>
        <w:ind w:left="720" w:hanging="720"/>
        <w:jc w:val="both"/>
        <w:rPr>
          <w:rtl/>
        </w:rPr>
      </w:pPr>
    </w:p>
    <w:p w14:paraId="2FCE80A7" w14:textId="77777777" w:rsidR="009A335F" w:rsidRPr="009A335F" w:rsidRDefault="009A335F" w:rsidP="009A335F">
      <w:pPr>
        <w:spacing w:line="360" w:lineRule="auto"/>
        <w:ind w:left="720" w:hanging="720"/>
        <w:jc w:val="both"/>
        <w:rPr>
          <w:rtl/>
        </w:rPr>
      </w:pPr>
      <w:r w:rsidRPr="009A335F">
        <w:rPr>
          <w:rFonts w:hint="cs"/>
          <w:rtl/>
        </w:rPr>
        <w:t>35.</w:t>
      </w:r>
      <w:r w:rsidRPr="009A335F">
        <w:rPr>
          <w:rFonts w:hint="cs"/>
          <w:rtl/>
        </w:rPr>
        <w:tab/>
        <w:t xml:space="preserve">לולא הסדר הטיעון, הרי שבהתחשב בהודאת הנאשם ובהינתן עברו הפלילי החמור, היה מקום לקבוע את עונשו של הנאשם בשליש העליון של מתחם העונש ההולם, ולהפעיל במצטבר את המאסר על תנאי התלוי ועומד נגדו, כך שעונשו הכללי היה עומד על 56 חודשי מאסר בפועל (44 חודשי מאסר על העבירה כאן ו-12 חודשי מאסר מהפעלת המאסר על תנאי). </w:t>
      </w:r>
    </w:p>
    <w:p w14:paraId="202A47C8" w14:textId="77777777" w:rsidR="009A335F" w:rsidRPr="009A335F" w:rsidRDefault="009A335F" w:rsidP="009A335F">
      <w:pPr>
        <w:spacing w:line="360" w:lineRule="auto"/>
        <w:ind w:left="720" w:hanging="720"/>
        <w:jc w:val="both"/>
        <w:rPr>
          <w:rtl/>
        </w:rPr>
      </w:pPr>
    </w:p>
    <w:p w14:paraId="11109794" w14:textId="77777777" w:rsidR="009A335F" w:rsidRPr="009A335F" w:rsidRDefault="009A335F" w:rsidP="009A335F">
      <w:pPr>
        <w:spacing w:line="360" w:lineRule="auto"/>
        <w:ind w:left="720" w:hanging="720"/>
        <w:jc w:val="both"/>
        <w:rPr>
          <w:rtl/>
        </w:rPr>
      </w:pPr>
      <w:r w:rsidRPr="009A335F">
        <w:rPr>
          <w:rFonts w:hint="cs"/>
          <w:rtl/>
        </w:rPr>
        <w:t>36.</w:t>
      </w:r>
      <w:r w:rsidRPr="009A335F">
        <w:rPr>
          <w:rFonts w:hint="cs"/>
          <w:rtl/>
        </w:rPr>
        <w:tab/>
        <w:t xml:space="preserve">כאשר בית המשפט דוחה הסדר טיעון, עליו לקבוע איזון חדש, המשקלל בצורה נכונה את כל שיקולי הענישה כאילו נערך על ידו הסדר טיעון הולם. בסופו של דבר העונש שייקבע יהיה קל מזה שהיה מוטל על נאשם שהורשע באותה עבירה בנסיבות דומות, שלא הודה במסגרת הסדר טיעון. (ראה </w:t>
      </w:r>
      <w:hyperlink r:id="rId32" w:history="1">
        <w:r w:rsidR="00850722" w:rsidRPr="00850722">
          <w:rPr>
            <w:color w:val="0000FF"/>
            <w:u w:val="single"/>
            <w:rtl/>
          </w:rPr>
          <w:t>ע"פ 1958/98 פלוני נ' מדינת ישראל, פ"ד נ"ז</w:t>
        </w:r>
      </w:hyperlink>
      <w:r w:rsidRPr="009A335F">
        <w:rPr>
          <w:rFonts w:hint="cs"/>
          <w:rtl/>
        </w:rPr>
        <w:t xml:space="preserve">(1) 577, 612-613). </w:t>
      </w:r>
    </w:p>
    <w:p w14:paraId="4493CD06" w14:textId="77777777" w:rsidR="009A335F" w:rsidRPr="009A335F" w:rsidRDefault="009A335F" w:rsidP="009A335F">
      <w:pPr>
        <w:spacing w:line="360" w:lineRule="auto"/>
        <w:ind w:left="720" w:hanging="720"/>
        <w:jc w:val="both"/>
        <w:rPr>
          <w:rtl/>
        </w:rPr>
      </w:pPr>
    </w:p>
    <w:p w14:paraId="752D4B39" w14:textId="77777777" w:rsidR="009A335F" w:rsidRPr="009A335F" w:rsidRDefault="009A335F" w:rsidP="009A335F">
      <w:pPr>
        <w:spacing w:line="360" w:lineRule="auto"/>
        <w:ind w:left="720" w:hanging="720"/>
        <w:jc w:val="both"/>
        <w:rPr>
          <w:rtl/>
        </w:rPr>
      </w:pPr>
      <w:r w:rsidRPr="009A335F">
        <w:rPr>
          <w:rFonts w:hint="cs"/>
          <w:rtl/>
        </w:rPr>
        <w:t xml:space="preserve">37. </w:t>
      </w:r>
      <w:r w:rsidRPr="009A335F">
        <w:rPr>
          <w:rFonts w:hint="cs"/>
          <w:rtl/>
        </w:rPr>
        <w:tab/>
        <w:t>עיינתי בפסקי הדין אליהם הפנו הצדדים, בהם הוטלו על נאשמים בעבירות נשק עונשי מאסר קלים יחסית, ולא מצאתי שיש לגזור מהם את העונש הראוי לנאשם. כפי שכבר צוין, מגמת הענישה המוצהרת בעבירות נשק היא של החמרה, ובפועל בתי המשפט מטילים עונשי מאסר משמעותיים על נאשמים שהורשעו בעבירות נשק. כמו ברוב העבירות גם בעבירות הנשק ניתן למצוא מקרים בהם הוטלו עונשים קלים יחסית, אך המדובר בחריגים ולא בכלל.</w:t>
      </w:r>
    </w:p>
    <w:p w14:paraId="65ABC70F" w14:textId="77777777" w:rsidR="009A335F" w:rsidRPr="009A335F" w:rsidRDefault="009A335F" w:rsidP="009A335F">
      <w:pPr>
        <w:spacing w:line="360" w:lineRule="auto"/>
        <w:ind w:left="720" w:hanging="720"/>
        <w:jc w:val="both"/>
        <w:rPr>
          <w:rtl/>
        </w:rPr>
      </w:pPr>
    </w:p>
    <w:p w14:paraId="0A00864F" w14:textId="77777777" w:rsidR="009A335F" w:rsidRPr="009A335F" w:rsidRDefault="009A335F" w:rsidP="009A335F">
      <w:pPr>
        <w:spacing w:line="360" w:lineRule="auto"/>
        <w:ind w:left="720" w:hanging="720"/>
        <w:jc w:val="both"/>
        <w:rPr>
          <w:rtl/>
          <w:lang w:eastAsia="he-IL"/>
        </w:rPr>
      </w:pPr>
      <w:r w:rsidRPr="009A335F">
        <w:rPr>
          <w:rFonts w:hint="cs"/>
          <w:rtl/>
        </w:rPr>
        <w:t>38.</w:t>
      </w:r>
      <w:r w:rsidRPr="009A335F">
        <w:rPr>
          <w:rFonts w:hint="cs"/>
          <w:rtl/>
        </w:rPr>
        <w:tab/>
        <w:t>בגזירת עונשו של הנאשם אני לוקח בחשבון בין היתר את הודאת הנאשם; העובדה שההודאה ניתנה במסגרת הסדר טיעון שכלל הסכמה לענין העונש; את נסיבותיו האישיות של הנאשם; ואת השפעת עונשו של הנאשם עליו.</w:t>
      </w:r>
      <w:r w:rsidRPr="009A335F">
        <w:rPr>
          <w:rFonts w:hint="cs"/>
          <w:rtl/>
          <w:lang w:eastAsia="he-IL"/>
        </w:rPr>
        <w:t xml:space="preserve"> ומנגד, אני מתחשב בעברו הפלילי של הנאשם ובצורך בהרתעת הנאשם והציבור. </w:t>
      </w:r>
    </w:p>
    <w:p w14:paraId="512D41D7" w14:textId="77777777" w:rsidR="00A52A39" w:rsidRDefault="00A52A39" w:rsidP="009A335F">
      <w:pPr>
        <w:spacing w:line="360" w:lineRule="auto"/>
        <w:ind w:left="720"/>
        <w:jc w:val="both"/>
        <w:rPr>
          <w:rtl/>
          <w:lang w:eastAsia="he-IL"/>
        </w:rPr>
      </w:pPr>
    </w:p>
    <w:p w14:paraId="5043B756" w14:textId="77777777" w:rsidR="009A335F" w:rsidRPr="009A335F" w:rsidRDefault="009A335F" w:rsidP="009A335F">
      <w:pPr>
        <w:spacing w:line="360" w:lineRule="auto"/>
        <w:ind w:left="720"/>
        <w:jc w:val="both"/>
        <w:rPr>
          <w:rtl/>
          <w:lang w:eastAsia="he-IL"/>
        </w:rPr>
      </w:pPr>
      <w:r w:rsidRPr="009A335F">
        <w:rPr>
          <w:rFonts w:hint="cs"/>
          <w:rtl/>
          <w:lang w:eastAsia="he-IL"/>
        </w:rPr>
        <w:t xml:space="preserve">בסופו של דבר עונש המאסר שייגזר על הנאשם יהיה עדיין קל מזה שהיה ראוי לו לולא הסדר הטיעון. </w:t>
      </w:r>
    </w:p>
    <w:p w14:paraId="50DD3D1A" w14:textId="77777777" w:rsidR="00A52A39" w:rsidRDefault="00A52A39" w:rsidP="009A335F">
      <w:pPr>
        <w:spacing w:line="360" w:lineRule="auto"/>
        <w:ind w:left="720"/>
        <w:jc w:val="both"/>
        <w:rPr>
          <w:rtl/>
          <w:lang w:eastAsia="he-IL"/>
        </w:rPr>
      </w:pPr>
    </w:p>
    <w:p w14:paraId="527DE6A3" w14:textId="77777777" w:rsidR="009A335F" w:rsidRPr="009A335F" w:rsidRDefault="009A335F" w:rsidP="009A335F">
      <w:pPr>
        <w:spacing w:line="360" w:lineRule="auto"/>
        <w:ind w:left="720"/>
        <w:jc w:val="both"/>
        <w:rPr>
          <w:rtl/>
        </w:rPr>
      </w:pPr>
      <w:r w:rsidRPr="009A335F">
        <w:rPr>
          <w:rFonts w:hint="cs"/>
          <w:rtl/>
          <w:lang w:eastAsia="he-IL"/>
        </w:rPr>
        <w:t xml:space="preserve">יש להניח שהסכמת הצדדים בנוגע לסכום הקנס שיוטל על הנאשם הושפעה מההקלה שהוא היה צפוי לקבל ברכיב המאסר. בהתחשב בכך שהמלצת הצדדים לרכיב המאסר של הנאשם לא התקבלה, הקנס שיוטל על הנאשם יהיה נמוך משמעותית מזה שעליו הסכימו הצדדים. </w:t>
      </w:r>
    </w:p>
    <w:p w14:paraId="4305CD09" w14:textId="77777777" w:rsidR="009A335F" w:rsidRDefault="009A335F" w:rsidP="009A335F">
      <w:pPr>
        <w:spacing w:line="360" w:lineRule="auto"/>
        <w:ind w:left="720"/>
        <w:jc w:val="both"/>
        <w:rPr>
          <w:rtl/>
        </w:rPr>
      </w:pPr>
    </w:p>
    <w:p w14:paraId="5097B998" w14:textId="77777777" w:rsidR="00A52A39" w:rsidRDefault="00A52A39" w:rsidP="009A335F">
      <w:pPr>
        <w:spacing w:line="360" w:lineRule="auto"/>
        <w:ind w:left="720"/>
        <w:jc w:val="both"/>
        <w:rPr>
          <w:rtl/>
        </w:rPr>
      </w:pPr>
    </w:p>
    <w:p w14:paraId="67B7E890" w14:textId="77777777" w:rsidR="00A52A39" w:rsidRPr="009A335F" w:rsidRDefault="00A52A39" w:rsidP="009A335F">
      <w:pPr>
        <w:spacing w:line="360" w:lineRule="auto"/>
        <w:ind w:left="720"/>
        <w:jc w:val="both"/>
        <w:rPr>
          <w:rtl/>
        </w:rPr>
      </w:pPr>
    </w:p>
    <w:p w14:paraId="1561CF2E" w14:textId="77777777" w:rsidR="009A335F" w:rsidRDefault="009A335F" w:rsidP="009A335F">
      <w:pPr>
        <w:spacing w:line="360" w:lineRule="auto"/>
        <w:ind w:left="720" w:hanging="720"/>
        <w:jc w:val="both"/>
        <w:rPr>
          <w:rtl/>
        </w:rPr>
      </w:pPr>
      <w:r w:rsidRPr="009A335F">
        <w:rPr>
          <w:rFonts w:hint="cs"/>
          <w:rtl/>
        </w:rPr>
        <w:t>39.</w:t>
      </w:r>
      <w:r w:rsidRPr="009A335F">
        <w:rPr>
          <w:rFonts w:hint="cs"/>
          <w:rtl/>
        </w:rPr>
        <w:tab/>
        <w:t>בהתחשב בכל האמור אני דן את הנאשם לעונשים הבאים:</w:t>
      </w:r>
    </w:p>
    <w:p w14:paraId="6455DCA5" w14:textId="77777777" w:rsidR="00A52A39" w:rsidRPr="009A335F" w:rsidRDefault="00A52A39" w:rsidP="009A335F">
      <w:pPr>
        <w:spacing w:line="360" w:lineRule="auto"/>
        <w:ind w:left="720" w:hanging="720"/>
        <w:jc w:val="both"/>
        <w:rPr>
          <w:rtl/>
        </w:rPr>
      </w:pPr>
    </w:p>
    <w:p w14:paraId="4CFE83FA" w14:textId="77777777" w:rsidR="009A335F" w:rsidRPr="009A335F" w:rsidRDefault="009A335F" w:rsidP="009A335F">
      <w:pPr>
        <w:spacing w:line="360" w:lineRule="auto"/>
        <w:ind w:firstLine="720"/>
        <w:jc w:val="both"/>
        <w:rPr>
          <w:rtl/>
          <w:lang w:eastAsia="he-IL"/>
        </w:rPr>
      </w:pPr>
      <w:r w:rsidRPr="009A335F">
        <w:rPr>
          <w:rFonts w:hint="cs"/>
          <w:rtl/>
          <w:lang w:eastAsia="he-IL"/>
        </w:rPr>
        <w:t>א.</w:t>
      </w:r>
      <w:r w:rsidRPr="009A335F">
        <w:rPr>
          <w:rFonts w:hint="cs"/>
          <w:rtl/>
          <w:lang w:eastAsia="he-IL"/>
        </w:rPr>
        <w:tab/>
        <w:t xml:space="preserve">30 חודשי מאסר בפועל, מיום מעצרו. </w:t>
      </w:r>
    </w:p>
    <w:p w14:paraId="5B19E616" w14:textId="77777777" w:rsidR="009A335F" w:rsidRPr="009A335F" w:rsidRDefault="009A335F" w:rsidP="009A335F">
      <w:pPr>
        <w:spacing w:line="360" w:lineRule="auto"/>
        <w:ind w:left="1440" w:hanging="720"/>
        <w:jc w:val="both"/>
        <w:rPr>
          <w:rtl/>
          <w:lang w:eastAsia="he-IL"/>
        </w:rPr>
      </w:pPr>
      <w:r w:rsidRPr="009A335F">
        <w:rPr>
          <w:rFonts w:hint="cs"/>
          <w:rtl/>
          <w:lang w:eastAsia="he-IL"/>
        </w:rPr>
        <w:t>ב.</w:t>
      </w:r>
      <w:r w:rsidRPr="009A335F">
        <w:rPr>
          <w:rFonts w:hint="cs"/>
          <w:rtl/>
          <w:lang w:eastAsia="he-IL"/>
        </w:rPr>
        <w:tab/>
        <w:t>אני מפעיל את המאסר על תנאי בן 12 החודשים התלוי ועומד נגד הנאשם מ</w:t>
      </w:r>
      <w:hyperlink r:id="rId33" w:history="1">
        <w:r w:rsidR="00850722" w:rsidRPr="00850722">
          <w:rPr>
            <w:color w:val="0000FF"/>
            <w:u w:val="single"/>
            <w:rtl/>
            <w:lang w:eastAsia="he-IL"/>
          </w:rPr>
          <w:t>ת.פ. 31108-04-16</w:t>
        </w:r>
      </w:hyperlink>
      <w:r w:rsidRPr="009A335F">
        <w:rPr>
          <w:rFonts w:hint="cs"/>
          <w:rtl/>
          <w:lang w:eastAsia="he-IL"/>
        </w:rPr>
        <w:t xml:space="preserve"> </w:t>
      </w:r>
      <w:r w:rsidR="000F43A1" w:rsidRPr="000F43A1">
        <w:rPr>
          <w:sz w:val="22"/>
          <w:rtl/>
          <w:lang w:eastAsia="he-IL"/>
        </w:rPr>
        <w:t xml:space="preserve">[פורסם בנבו] </w:t>
      </w:r>
      <w:r w:rsidRPr="009A335F">
        <w:rPr>
          <w:rFonts w:hint="cs"/>
          <w:rtl/>
          <w:lang w:eastAsia="he-IL"/>
        </w:rPr>
        <w:t xml:space="preserve">של בית המשפט המחוזי באר-שבע. הנאשם ישא את שתי תקופות המאסר בזו אחר זו, ובסה"כ 42 חודשי מאסר בפועל, מיום מעצרו. </w:t>
      </w:r>
    </w:p>
    <w:p w14:paraId="0B9CB2C9" w14:textId="77777777" w:rsidR="009A335F" w:rsidRPr="009A335F" w:rsidRDefault="009A335F" w:rsidP="009A335F">
      <w:pPr>
        <w:spacing w:line="360" w:lineRule="auto"/>
        <w:ind w:left="1440" w:hanging="720"/>
        <w:jc w:val="both"/>
        <w:rPr>
          <w:rtl/>
          <w:lang w:eastAsia="he-IL"/>
        </w:rPr>
      </w:pPr>
      <w:r w:rsidRPr="009A335F">
        <w:rPr>
          <w:rFonts w:hint="cs"/>
          <w:rtl/>
          <w:lang w:eastAsia="he-IL"/>
        </w:rPr>
        <w:t xml:space="preserve">ג. </w:t>
      </w:r>
      <w:r w:rsidRPr="009A335F">
        <w:rPr>
          <w:rFonts w:hint="cs"/>
          <w:rtl/>
          <w:lang w:eastAsia="he-IL"/>
        </w:rPr>
        <w:tab/>
        <w:t xml:space="preserve">12 חודשי מאסר על תנאי למשך 3 שנים מיום שחרורו מהמאסר, שלא יעבור עבירת אלימות או נשק שהיא פשע. </w:t>
      </w:r>
    </w:p>
    <w:p w14:paraId="158385DD" w14:textId="77777777" w:rsidR="009A335F" w:rsidRPr="009A335F" w:rsidRDefault="009A335F" w:rsidP="009A335F">
      <w:pPr>
        <w:spacing w:line="360" w:lineRule="auto"/>
        <w:ind w:left="1440" w:hanging="720"/>
        <w:jc w:val="both"/>
        <w:rPr>
          <w:rtl/>
          <w:lang w:eastAsia="he-IL"/>
        </w:rPr>
      </w:pPr>
      <w:r w:rsidRPr="009A335F">
        <w:rPr>
          <w:rFonts w:hint="cs"/>
          <w:rtl/>
          <w:lang w:eastAsia="he-IL"/>
        </w:rPr>
        <w:t>ד.</w:t>
      </w:r>
      <w:r w:rsidRPr="009A335F">
        <w:rPr>
          <w:rFonts w:hint="cs"/>
          <w:rtl/>
          <w:lang w:eastAsia="he-IL"/>
        </w:rPr>
        <w:tab/>
        <w:t xml:space="preserve">קנס בסך 10,000 ₪ או 45 ימי מאסר תחתיו. </w:t>
      </w:r>
    </w:p>
    <w:p w14:paraId="71B335A4" w14:textId="77777777" w:rsidR="009A335F" w:rsidRPr="009A335F" w:rsidRDefault="009A335F" w:rsidP="009A335F">
      <w:pPr>
        <w:spacing w:line="360" w:lineRule="auto"/>
        <w:jc w:val="both"/>
        <w:rPr>
          <w:rtl/>
        </w:rPr>
      </w:pPr>
    </w:p>
    <w:p w14:paraId="031DC3ED" w14:textId="77777777" w:rsidR="009A335F" w:rsidRPr="009A335F" w:rsidRDefault="009A335F" w:rsidP="009A335F">
      <w:pPr>
        <w:spacing w:line="360" w:lineRule="auto"/>
        <w:jc w:val="both"/>
        <w:rPr>
          <w:b/>
          <w:bCs/>
          <w:rtl/>
          <w:lang w:eastAsia="he-IL"/>
        </w:rPr>
      </w:pPr>
      <w:r w:rsidRPr="009A335F">
        <w:rPr>
          <w:rFonts w:hint="cs"/>
          <w:b/>
          <w:bCs/>
          <w:rtl/>
          <w:lang w:eastAsia="he-IL"/>
        </w:rPr>
        <w:t xml:space="preserve">זכות ערעור תוך 45 יום. </w:t>
      </w:r>
    </w:p>
    <w:p w14:paraId="27F20B94" w14:textId="77777777" w:rsidR="009A335F" w:rsidRDefault="009A335F" w:rsidP="009A335F">
      <w:pPr>
        <w:spacing w:line="360" w:lineRule="auto"/>
        <w:jc w:val="both"/>
        <w:rPr>
          <w:rFonts w:hint="cs"/>
          <w:b/>
          <w:bCs/>
          <w:rtl/>
          <w:lang w:eastAsia="he-IL"/>
        </w:rPr>
      </w:pPr>
    </w:p>
    <w:p w14:paraId="0BB2F441" w14:textId="77777777" w:rsidR="000F43A1" w:rsidRDefault="000F43A1" w:rsidP="009A335F">
      <w:pPr>
        <w:spacing w:line="360" w:lineRule="auto"/>
        <w:jc w:val="both"/>
        <w:rPr>
          <w:rFonts w:hint="cs"/>
          <w:b/>
          <w:bCs/>
          <w:rtl/>
          <w:lang w:eastAsia="he-IL"/>
        </w:rPr>
      </w:pPr>
      <w:bookmarkStart w:id="6" w:name="Nitan"/>
      <w:r w:rsidRPr="00850722">
        <w:rPr>
          <w:b/>
          <w:bCs/>
          <w:color w:val="FFFFFF"/>
          <w:sz w:val="2"/>
          <w:szCs w:val="2"/>
          <w:rtl/>
        </w:rPr>
        <w:t>54678313</w:t>
      </w:r>
      <w:r>
        <w:rPr>
          <w:b/>
          <w:bCs/>
          <w:rtl/>
        </w:rPr>
        <w:t>ניתנה והודעה היום כ"א אב תש"פ, 11/08/2020 במעמד הנוכחים.</w:t>
      </w:r>
      <w:bookmarkEnd w:id="6"/>
    </w:p>
    <w:p w14:paraId="6B5110AA" w14:textId="77777777" w:rsidR="00A52A39" w:rsidRPr="009A335F" w:rsidRDefault="00A52A39" w:rsidP="009A335F">
      <w:pPr>
        <w:spacing w:line="360" w:lineRule="auto"/>
        <w:jc w:val="both"/>
        <w:rPr>
          <w:b/>
          <w:bCs/>
          <w:rtl/>
          <w:lang w:eastAsia="he-IL"/>
        </w:rPr>
      </w:pPr>
    </w:p>
    <w:p w14:paraId="1FF94CA9" w14:textId="77777777" w:rsidR="009A335F" w:rsidRPr="009A335F" w:rsidRDefault="00850722" w:rsidP="009A335F">
      <w:pPr>
        <w:pStyle w:val="12"/>
        <w:spacing w:line="360" w:lineRule="auto"/>
        <w:jc w:val="both"/>
        <w:rPr>
          <w:rFonts w:ascii="David" w:hAnsi="David"/>
          <w:b w:val="0"/>
          <w:bCs w:val="0"/>
          <w:sz w:val="6"/>
          <w:szCs w:val="6"/>
          <w:u w:val="none"/>
          <w:rtl/>
        </w:rPr>
      </w:pPr>
      <w:r w:rsidRPr="00850722">
        <w:rPr>
          <w:rFonts w:ascii="David" w:hAnsi="David"/>
          <w:b w:val="0"/>
          <w:bCs w:val="0"/>
          <w:color w:val="FFFFFF"/>
          <w:sz w:val="2"/>
          <w:szCs w:val="2"/>
          <w:u w:val="none"/>
          <w:rtl/>
        </w:rPr>
        <w:t>5129371</w:t>
      </w:r>
      <w:r w:rsidR="009A335F" w:rsidRPr="009A335F">
        <w:rPr>
          <w:rFonts w:ascii="David" w:hAnsi="David"/>
          <w:b w:val="0"/>
          <w:bCs w:val="0"/>
          <w:sz w:val="6"/>
          <w:szCs w:val="6"/>
          <w:u w:val="none"/>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A335F" w:rsidRPr="009A335F" w14:paraId="7A9E00F4" w14:textId="77777777" w:rsidTr="003777A0">
        <w:trPr>
          <w:trHeight w:val="316"/>
          <w:jc w:val="right"/>
        </w:trPr>
        <w:tc>
          <w:tcPr>
            <w:tcW w:w="3936" w:type="dxa"/>
            <w:tcBorders>
              <w:top w:val="nil"/>
              <w:left w:val="nil"/>
              <w:bottom w:val="single" w:sz="4" w:space="0" w:color="auto"/>
              <w:right w:val="nil"/>
            </w:tcBorders>
            <w:shd w:val="clear" w:color="auto" w:fill="auto"/>
          </w:tcPr>
          <w:p w14:paraId="39FEAF75" w14:textId="77777777" w:rsidR="009A335F" w:rsidRPr="009A335F" w:rsidRDefault="009A335F" w:rsidP="00850722">
            <w:pPr>
              <w:jc w:val="center"/>
              <w:rPr>
                <w:rFonts w:hint="cs"/>
                <w:rtl/>
              </w:rPr>
            </w:pPr>
          </w:p>
        </w:tc>
      </w:tr>
      <w:tr w:rsidR="009A335F" w:rsidRPr="009A335F" w14:paraId="79AF359D" w14:textId="77777777" w:rsidTr="003777A0">
        <w:trPr>
          <w:trHeight w:val="361"/>
          <w:jc w:val="right"/>
        </w:trPr>
        <w:tc>
          <w:tcPr>
            <w:tcW w:w="3936" w:type="dxa"/>
            <w:tcBorders>
              <w:top w:val="single" w:sz="4" w:space="0" w:color="auto"/>
              <w:left w:val="nil"/>
              <w:bottom w:val="nil"/>
              <w:right w:val="nil"/>
            </w:tcBorders>
            <w:shd w:val="clear" w:color="auto" w:fill="auto"/>
          </w:tcPr>
          <w:p w14:paraId="1A978E99" w14:textId="77777777" w:rsidR="009A335F" w:rsidRPr="003777A0" w:rsidRDefault="009A335F" w:rsidP="003777A0">
            <w:pPr>
              <w:jc w:val="center"/>
              <w:rPr>
                <w:b/>
                <w:bCs/>
                <w:rtl/>
              </w:rPr>
            </w:pPr>
            <w:r w:rsidRPr="003777A0">
              <w:rPr>
                <w:rFonts w:hint="cs"/>
                <w:b/>
                <w:bCs/>
                <w:rtl/>
              </w:rPr>
              <w:t>אליהו ביתן, שופט</w:t>
            </w:r>
          </w:p>
          <w:p w14:paraId="43464418" w14:textId="77777777" w:rsidR="009A335F" w:rsidRPr="003777A0" w:rsidRDefault="009A335F" w:rsidP="003777A0">
            <w:pPr>
              <w:jc w:val="center"/>
              <w:rPr>
                <w:b/>
                <w:bCs/>
                <w:rtl/>
              </w:rPr>
            </w:pPr>
            <w:r w:rsidRPr="003777A0">
              <w:rPr>
                <w:rFonts w:hint="cs"/>
                <w:b/>
                <w:bCs/>
                <w:rtl/>
              </w:rPr>
              <w:t>סגן הנשיאה</w:t>
            </w:r>
          </w:p>
        </w:tc>
      </w:tr>
    </w:tbl>
    <w:p w14:paraId="51A8D3A0" w14:textId="77777777" w:rsidR="00507694" w:rsidRPr="00850722" w:rsidRDefault="00507694" w:rsidP="00850722">
      <w:pPr>
        <w:keepNext/>
        <w:spacing w:line="360" w:lineRule="auto"/>
        <w:rPr>
          <w:rFonts w:ascii="David" w:hAnsi="David"/>
          <w:color w:val="000000"/>
          <w:sz w:val="22"/>
          <w:szCs w:val="22"/>
          <w:rtl/>
        </w:rPr>
      </w:pPr>
    </w:p>
    <w:p w14:paraId="54CB8A40" w14:textId="77777777" w:rsidR="00850722" w:rsidRPr="00850722" w:rsidRDefault="00850722" w:rsidP="00850722">
      <w:pPr>
        <w:keepNext/>
        <w:spacing w:line="360" w:lineRule="auto"/>
        <w:rPr>
          <w:rFonts w:ascii="David" w:hAnsi="David"/>
          <w:color w:val="000000"/>
          <w:sz w:val="22"/>
          <w:szCs w:val="22"/>
          <w:rtl/>
        </w:rPr>
      </w:pPr>
      <w:r w:rsidRPr="00850722">
        <w:rPr>
          <w:rFonts w:ascii="David" w:hAnsi="David"/>
          <w:color w:val="000000"/>
          <w:sz w:val="22"/>
          <w:szCs w:val="22"/>
          <w:rtl/>
        </w:rPr>
        <w:t>אליהו ביתן 54678313</w:t>
      </w:r>
    </w:p>
    <w:p w14:paraId="1F838D06" w14:textId="77777777" w:rsidR="00850722" w:rsidRDefault="00850722" w:rsidP="00850722">
      <w:pPr>
        <w:spacing w:line="360" w:lineRule="auto"/>
        <w:rPr>
          <w:rFonts w:ascii="David" w:hAnsi="David"/>
          <w:rtl/>
        </w:rPr>
      </w:pPr>
      <w:r w:rsidRPr="00850722">
        <w:rPr>
          <w:rFonts w:ascii="David" w:hAnsi="David"/>
          <w:color w:val="000000"/>
          <w:rtl/>
        </w:rPr>
        <w:t>נוסח מסמך זה כפוף לשינויי ניסוח ועריכה</w:t>
      </w:r>
    </w:p>
    <w:p w14:paraId="14C5D581" w14:textId="77777777" w:rsidR="00850722" w:rsidRDefault="00850722" w:rsidP="00850722">
      <w:pPr>
        <w:spacing w:line="360" w:lineRule="auto"/>
        <w:rPr>
          <w:rFonts w:ascii="David" w:hAnsi="David"/>
          <w:rtl/>
        </w:rPr>
      </w:pPr>
    </w:p>
    <w:p w14:paraId="049C83CB" w14:textId="77777777" w:rsidR="00850722" w:rsidRDefault="00850722" w:rsidP="00850722">
      <w:pPr>
        <w:spacing w:line="360" w:lineRule="auto"/>
        <w:jc w:val="center"/>
        <w:rPr>
          <w:rFonts w:ascii="David" w:hAnsi="David"/>
          <w:color w:val="0000FF"/>
          <w:u w:val="single"/>
          <w:rtl/>
        </w:rPr>
      </w:pPr>
      <w:hyperlink r:id="rId34" w:history="1">
        <w:r>
          <w:rPr>
            <w:rFonts w:ascii="David" w:hAnsi="David"/>
            <w:color w:val="0000FF"/>
            <w:u w:val="single"/>
            <w:rtl/>
          </w:rPr>
          <w:t>בעניין עריכה ושינויים במסמכי פסיקה, חקיקה ועוד באתר נבו – הקש כאן</w:t>
        </w:r>
      </w:hyperlink>
    </w:p>
    <w:p w14:paraId="0378B2A1" w14:textId="77777777" w:rsidR="00850722" w:rsidRPr="00850722" w:rsidRDefault="00850722" w:rsidP="00850722">
      <w:pPr>
        <w:spacing w:line="360" w:lineRule="auto"/>
        <w:jc w:val="center"/>
        <w:rPr>
          <w:rFonts w:ascii="David" w:hAnsi="David"/>
          <w:color w:val="0000FF"/>
          <w:u w:val="single"/>
          <w:rtl/>
        </w:rPr>
      </w:pPr>
    </w:p>
    <w:sectPr w:rsidR="00850722" w:rsidRPr="00850722" w:rsidSect="0085072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FC45" w14:textId="77777777" w:rsidR="002D7D3F" w:rsidRDefault="002D7D3F">
      <w:r>
        <w:separator/>
      </w:r>
    </w:p>
  </w:endnote>
  <w:endnote w:type="continuationSeparator" w:id="0">
    <w:p w14:paraId="296D6FEC" w14:textId="77777777" w:rsidR="002D7D3F" w:rsidRDefault="002D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2D68E" w14:textId="77777777" w:rsidR="00850722" w:rsidRDefault="00850722" w:rsidP="0085072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6DE07A" w14:textId="77777777" w:rsidR="00BD67E7" w:rsidRPr="00850722" w:rsidRDefault="00850722" w:rsidP="0085072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3CED" w14:textId="77777777" w:rsidR="00850722" w:rsidRDefault="00850722" w:rsidP="0085072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18AC">
      <w:rPr>
        <w:rFonts w:ascii="FrankRuehl" w:hAnsi="FrankRuehl" w:cs="FrankRuehl"/>
        <w:noProof/>
        <w:rtl/>
      </w:rPr>
      <w:t>1</w:t>
    </w:r>
    <w:r>
      <w:rPr>
        <w:rFonts w:ascii="FrankRuehl" w:hAnsi="FrankRuehl" w:cs="FrankRuehl"/>
        <w:rtl/>
      </w:rPr>
      <w:fldChar w:fldCharType="end"/>
    </w:r>
  </w:p>
  <w:p w14:paraId="05E32392" w14:textId="77777777" w:rsidR="00BD67E7" w:rsidRPr="00850722" w:rsidRDefault="00850722" w:rsidP="00850722">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D9E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6D9E1" w14:textId="77777777" w:rsidR="002D7D3F" w:rsidRDefault="002D7D3F">
      <w:r>
        <w:separator/>
      </w:r>
    </w:p>
  </w:footnote>
  <w:footnote w:type="continuationSeparator" w:id="0">
    <w:p w14:paraId="04A9A086" w14:textId="77777777" w:rsidR="002D7D3F" w:rsidRDefault="002D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15F9" w14:textId="77777777" w:rsidR="00850722" w:rsidRPr="00850722" w:rsidRDefault="00850722" w:rsidP="008507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15423-12-19</w:t>
    </w:r>
    <w:r>
      <w:rPr>
        <w:rFonts w:ascii="David" w:hAnsi="David"/>
        <w:color w:val="000000"/>
        <w:sz w:val="22"/>
        <w:szCs w:val="22"/>
        <w:rtl/>
      </w:rPr>
      <w:tab/>
      <w:t xml:space="preserve"> מדינת ישראל נ' איתמר רוש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19E4C" w14:textId="77777777" w:rsidR="00507694" w:rsidRPr="00850722" w:rsidRDefault="00850722" w:rsidP="008507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15423-12-19</w:t>
    </w:r>
    <w:r>
      <w:rPr>
        <w:rFonts w:ascii="David" w:hAnsi="David"/>
        <w:color w:val="000000"/>
        <w:sz w:val="22"/>
        <w:szCs w:val="22"/>
        <w:rtl/>
      </w:rPr>
      <w:tab/>
      <w:t xml:space="preserve"> מדינת ישראל נ' איתמר רוש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51693980">
    <w:abstractNumId w:val="1"/>
  </w:num>
  <w:num w:numId="2" w16cid:durableId="131977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0F43A1"/>
    <w:rsid w:val="00100577"/>
    <w:rsid w:val="00212125"/>
    <w:rsid w:val="002645CA"/>
    <w:rsid w:val="002D6C61"/>
    <w:rsid w:val="002D7D3F"/>
    <w:rsid w:val="00367565"/>
    <w:rsid w:val="003777A0"/>
    <w:rsid w:val="003E0C9F"/>
    <w:rsid w:val="004156BE"/>
    <w:rsid w:val="004215DC"/>
    <w:rsid w:val="004C04B9"/>
    <w:rsid w:val="004D0427"/>
    <w:rsid w:val="00507694"/>
    <w:rsid w:val="005C7B0B"/>
    <w:rsid w:val="00683ABD"/>
    <w:rsid w:val="00684E84"/>
    <w:rsid w:val="006C2095"/>
    <w:rsid w:val="00753B53"/>
    <w:rsid w:val="00757983"/>
    <w:rsid w:val="007F3EE5"/>
    <w:rsid w:val="00802DC0"/>
    <w:rsid w:val="00821F29"/>
    <w:rsid w:val="00832D73"/>
    <w:rsid w:val="0083715B"/>
    <w:rsid w:val="00850722"/>
    <w:rsid w:val="008819B4"/>
    <w:rsid w:val="0091390E"/>
    <w:rsid w:val="0094289D"/>
    <w:rsid w:val="00987585"/>
    <w:rsid w:val="009A335F"/>
    <w:rsid w:val="009A37A3"/>
    <w:rsid w:val="009E0934"/>
    <w:rsid w:val="009E35A7"/>
    <w:rsid w:val="009E49A1"/>
    <w:rsid w:val="009F504D"/>
    <w:rsid w:val="00A504C4"/>
    <w:rsid w:val="00A52A39"/>
    <w:rsid w:val="00AC6105"/>
    <w:rsid w:val="00B05847"/>
    <w:rsid w:val="00B22E0A"/>
    <w:rsid w:val="00BD67E7"/>
    <w:rsid w:val="00BE0015"/>
    <w:rsid w:val="00C02463"/>
    <w:rsid w:val="00C05D88"/>
    <w:rsid w:val="00C55E62"/>
    <w:rsid w:val="00C572E8"/>
    <w:rsid w:val="00D202F4"/>
    <w:rsid w:val="00D3203D"/>
    <w:rsid w:val="00DD525E"/>
    <w:rsid w:val="00DE7261"/>
    <w:rsid w:val="00E04022"/>
    <w:rsid w:val="00E70F9C"/>
    <w:rsid w:val="00EF70D5"/>
    <w:rsid w:val="00F318AC"/>
    <w:rsid w:val="00F75AFC"/>
    <w:rsid w:val="00F80AE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A1D126"/>
  <w15:chartTrackingRefBased/>
  <w15:docId w15:val="{B1C0B310-FF16-4E73-B726-263EF4C5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Hyperlink">
    <w:name w:val="Hyperlink"/>
    <w:unhideWhenUsed/>
    <w:rsid w:val="009A335F"/>
    <w:rPr>
      <w:color w:val="0000FF"/>
      <w:u w:val="single"/>
    </w:rPr>
  </w:style>
  <w:style w:type="paragraph" w:styleId="aa">
    <w:name w:val="No Spacing"/>
    <w:uiPriority w:val="1"/>
    <w:qFormat/>
    <w:rsid w:val="009A335F"/>
    <w:pPr>
      <w:bidi/>
    </w:pPr>
    <w:rPr>
      <w:rFonts w:ascii="David" w:eastAsia="David" w:hAnsi="David" w:cs="David"/>
      <w:sz w:val="24"/>
      <w:szCs w:val="24"/>
    </w:rPr>
  </w:style>
  <w:style w:type="paragraph" w:customStyle="1" w:styleId="12">
    <w:name w:val="רגיל + ‏12 נק'"/>
    <w:aliases w:val="מיושר לשני הצדדים,מרווח בין שורות:  שורה וחצי"/>
    <w:basedOn w:val="a"/>
    <w:rsid w:val="009A335F"/>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7353">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case/17929065" TargetMode="External"/><Relationship Id="rId18" Type="http://schemas.openxmlformats.org/officeDocument/2006/relationships/hyperlink" Target="http://www.nevo.co.il/case/23850962" TargetMode="External"/><Relationship Id="rId26" Type="http://schemas.openxmlformats.org/officeDocument/2006/relationships/hyperlink" Target="http://www.nevo.co.il/case/22294063" TargetMode="External"/><Relationship Id="rId39" Type="http://schemas.openxmlformats.org/officeDocument/2006/relationships/fontTable" Target="fontTable.xml"/><Relationship Id="rId21" Type="http://schemas.openxmlformats.org/officeDocument/2006/relationships/hyperlink" Target="http://www.nevo.co.il/case/5950172" TargetMode="External"/><Relationship Id="rId34" Type="http://schemas.openxmlformats.org/officeDocument/2006/relationships/hyperlink" Target="http://www.nevo.co.il/advertisements/nevo-100.doc" TargetMode="Externa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5859902" TargetMode="External"/><Relationship Id="rId33" Type="http://schemas.openxmlformats.org/officeDocument/2006/relationships/hyperlink" Target="http://www.nevo.co.il/case/21304291"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case/25836997" TargetMode="External"/><Relationship Id="rId20" Type="http://schemas.openxmlformats.org/officeDocument/2006/relationships/hyperlink" Target="http://www.nevo.co.il/case/6949290" TargetMode="External"/><Relationship Id="rId29" Type="http://schemas.openxmlformats.org/officeDocument/2006/relationships/hyperlink" Target="http://www.nevo.co.il/case/2130429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144.b" TargetMode="External"/><Relationship Id="rId24" Type="http://schemas.openxmlformats.org/officeDocument/2006/relationships/hyperlink" Target="http://www.nevo.co.il/case/5724364" TargetMode="External"/><Relationship Id="rId32" Type="http://schemas.openxmlformats.org/officeDocument/2006/relationships/hyperlink" Target="http://www.nevo.co.il/case/16189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case/25824863" TargetMode="External"/><Relationship Id="rId23" Type="http://schemas.openxmlformats.org/officeDocument/2006/relationships/hyperlink" Target="http://www.nevo.co.il/case/6151556" TargetMode="External"/><Relationship Id="rId28" Type="http://schemas.openxmlformats.org/officeDocument/2006/relationships/hyperlink" Target="http://www.nevo.co.il/case/5569233"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4269595" TargetMode="External"/><Relationship Id="rId31"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58" TargetMode="External"/><Relationship Id="rId14" Type="http://schemas.openxmlformats.org/officeDocument/2006/relationships/hyperlink" Target="http://www.nevo.co.il/case/24140726"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161892" TargetMode="External"/><Relationship Id="rId30" Type="http://schemas.openxmlformats.org/officeDocument/2006/relationships/hyperlink" Target="http://www.nevo.co.il/law/70301/58"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3943</Words>
  <Characters>19718</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23614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3932279</vt:i4>
      </vt:variant>
      <vt:variant>
        <vt:i4>75</vt:i4>
      </vt:variant>
      <vt:variant>
        <vt:i4>0</vt:i4>
      </vt:variant>
      <vt:variant>
        <vt:i4>5</vt:i4>
      </vt:variant>
      <vt:variant>
        <vt:lpwstr>http://www.nevo.co.il/case/21304291</vt:lpwstr>
      </vt:variant>
      <vt:variant>
        <vt:lpwstr/>
      </vt:variant>
      <vt:variant>
        <vt:i4>589898</vt:i4>
      </vt:variant>
      <vt:variant>
        <vt:i4>72</vt:i4>
      </vt:variant>
      <vt:variant>
        <vt:i4>0</vt:i4>
      </vt:variant>
      <vt:variant>
        <vt:i4>5</vt:i4>
      </vt:variant>
      <vt:variant>
        <vt:lpwstr>http://www.nevo.co.il/case/161892</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7143520</vt:i4>
      </vt:variant>
      <vt:variant>
        <vt:i4>66</vt:i4>
      </vt:variant>
      <vt:variant>
        <vt:i4>0</vt:i4>
      </vt:variant>
      <vt:variant>
        <vt:i4>5</vt:i4>
      </vt:variant>
      <vt:variant>
        <vt:lpwstr>http://www.nevo.co.il/law/70301/58</vt:lpwstr>
      </vt:variant>
      <vt:variant>
        <vt:lpwstr/>
      </vt:variant>
      <vt:variant>
        <vt:i4>3932279</vt:i4>
      </vt:variant>
      <vt:variant>
        <vt:i4>63</vt:i4>
      </vt:variant>
      <vt:variant>
        <vt:i4>0</vt:i4>
      </vt:variant>
      <vt:variant>
        <vt:i4>5</vt:i4>
      </vt:variant>
      <vt:variant>
        <vt:lpwstr>http://www.nevo.co.il/case/21304291</vt:lpwstr>
      </vt:variant>
      <vt:variant>
        <vt:lpwstr/>
      </vt:variant>
      <vt:variant>
        <vt:i4>3276923</vt:i4>
      </vt:variant>
      <vt:variant>
        <vt:i4>60</vt:i4>
      </vt:variant>
      <vt:variant>
        <vt:i4>0</vt:i4>
      </vt:variant>
      <vt:variant>
        <vt:i4>5</vt:i4>
      </vt:variant>
      <vt:variant>
        <vt:lpwstr>http://www.nevo.co.il/case/5569233</vt:lpwstr>
      </vt:variant>
      <vt:variant>
        <vt:lpwstr/>
      </vt:variant>
      <vt:variant>
        <vt:i4>589898</vt:i4>
      </vt:variant>
      <vt:variant>
        <vt:i4>57</vt:i4>
      </vt:variant>
      <vt:variant>
        <vt:i4>0</vt:i4>
      </vt:variant>
      <vt:variant>
        <vt:i4>5</vt:i4>
      </vt:variant>
      <vt:variant>
        <vt:lpwstr>http://www.nevo.co.il/case/161892</vt:lpwstr>
      </vt:variant>
      <vt:variant>
        <vt:lpwstr/>
      </vt:variant>
      <vt:variant>
        <vt:i4>3276927</vt:i4>
      </vt:variant>
      <vt:variant>
        <vt:i4>54</vt:i4>
      </vt:variant>
      <vt:variant>
        <vt:i4>0</vt:i4>
      </vt:variant>
      <vt:variant>
        <vt:i4>5</vt:i4>
      </vt:variant>
      <vt:variant>
        <vt:lpwstr>http://www.nevo.co.il/case/22294063</vt:lpwstr>
      </vt:variant>
      <vt:variant>
        <vt:lpwstr/>
      </vt:variant>
      <vt:variant>
        <vt:i4>3866741</vt:i4>
      </vt:variant>
      <vt:variant>
        <vt:i4>51</vt:i4>
      </vt:variant>
      <vt:variant>
        <vt:i4>0</vt:i4>
      </vt:variant>
      <vt:variant>
        <vt:i4>5</vt:i4>
      </vt:variant>
      <vt:variant>
        <vt:lpwstr>http://www.nevo.co.il/case/5859902</vt:lpwstr>
      </vt:variant>
      <vt:variant>
        <vt:lpwstr/>
      </vt:variant>
      <vt:variant>
        <vt:i4>3145841</vt:i4>
      </vt:variant>
      <vt:variant>
        <vt:i4>48</vt:i4>
      </vt:variant>
      <vt:variant>
        <vt:i4>0</vt:i4>
      </vt:variant>
      <vt:variant>
        <vt:i4>5</vt:i4>
      </vt:variant>
      <vt:variant>
        <vt:lpwstr>http://www.nevo.co.il/case/5724364</vt:lpwstr>
      </vt:variant>
      <vt:variant>
        <vt:lpwstr/>
      </vt:variant>
      <vt:variant>
        <vt:i4>3145841</vt:i4>
      </vt:variant>
      <vt:variant>
        <vt:i4>45</vt:i4>
      </vt:variant>
      <vt:variant>
        <vt:i4>0</vt:i4>
      </vt:variant>
      <vt:variant>
        <vt:i4>5</vt:i4>
      </vt:variant>
      <vt:variant>
        <vt:lpwstr>http://www.nevo.co.il/case/6151556</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3342458</vt:i4>
      </vt:variant>
      <vt:variant>
        <vt:i4>39</vt:i4>
      </vt:variant>
      <vt:variant>
        <vt:i4>0</vt:i4>
      </vt:variant>
      <vt:variant>
        <vt:i4>5</vt:i4>
      </vt:variant>
      <vt:variant>
        <vt:lpwstr>http://www.nevo.co.il/case/5950172</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3145843</vt:i4>
      </vt:variant>
      <vt:variant>
        <vt:i4>33</vt:i4>
      </vt:variant>
      <vt:variant>
        <vt:i4>0</vt:i4>
      </vt:variant>
      <vt:variant>
        <vt:i4>5</vt:i4>
      </vt:variant>
      <vt:variant>
        <vt:lpwstr>http://www.nevo.co.il/case/24269595</vt:lpwstr>
      </vt:variant>
      <vt:variant>
        <vt:lpwstr/>
      </vt:variant>
      <vt:variant>
        <vt:i4>3932283</vt:i4>
      </vt:variant>
      <vt:variant>
        <vt:i4>30</vt:i4>
      </vt:variant>
      <vt:variant>
        <vt:i4>0</vt:i4>
      </vt:variant>
      <vt:variant>
        <vt:i4>5</vt:i4>
      </vt:variant>
      <vt:variant>
        <vt:lpwstr>http://www.nevo.co.il/case/23850962</vt:lpwstr>
      </vt:variant>
      <vt:variant>
        <vt:lpwstr/>
      </vt:variant>
      <vt:variant>
        <vt:i4>4063353</vt:i4>
      </vt:variant>
      <vt:variant>
        <vt:i4>27</vt:i4>
      </vt:variant>
      <vt:variant>
        <vt:i4>0</vt:i4>
      </vt:variant>
      <vt:variant>
        <vt:i4>5</vt:i4>
      </vt:variant>
      <vt:variant>
        <vt:lpwstr>http://www.nevo.co.il/case/25612982</vt:lpwstr>
      </vt:variant>
      <vt:variant>
        <vt:lpwstr/>
      </vt:variant>
      <vt:variant>
        <vt:i4>3473531</vt:i4>
      </vt:variant>
      <vt:variant>
        <vt:i4>24</vt:i4>
      </vt:variant>
      <vt:variant>
        <vt:i4>0</vt:i4>
      </vt:variant>
      <vt:variant>
        <vt:i4>5</vt:i4>
      </vt:variant>
      <vt:variant>
        <vt:lpwstr>http://www.nevo.co.il/case/25836997</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3211379</vt:i4>
      </vt:variant>
      <vt:variant>
        <vt:i4>18</vt:i4>
      </vt:variant>
      <vt:variant>
        <vt:i4>0</vt:i4>
      </vt:variant>
      <vt:variant>
        <vt:i4>5</vt:i4>
      </vt:variant>
      <vt:variant>
        <vt:lpwstr>http://www.nevo.co.il/case/24140726</vt:lpwstr>
      </vt:variant>
      <vt:variant>
        <vt:lpwstr/>
      </vt:variant>
      <vt:variant>
        <vt:i4>3604593</vt:i4>
      </vt:variant>
      <vt:variant>
        <vt:i4>15</vt:i4>
      </vt:variant>
      <vt:variant>
        <vt:i4>0</vt:i4>
      </vt:variant>
      <vt:variant>
        <vt:i4>5</vt:i4>
      </vt:variant>
      <vt:variant>
        <vt:lpwstr>http://www.nevo.co.il/case/17929065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2023-12-07T12:26:00Z</dcterms:created>
  <dcterms:modified xsi:type="dcterms:W3CDTF">2023-12-07T12:26:00Z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15423</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איתמר רוש</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20200811</vt:lpwstr>
  </property>
  <property fmtid="{D5CDD505-2E9C-101B-9397-08002B2CF9AE}" pid="13" name="TYPE_N_DATE">
    <vt:lpwstr>39020200811</vt:lpwstr>
  </property>
  <property fmtid="{D5CDD505-2E9C-101B-9397-08002B2CF9AE}" pid="14" name="WORDNUMPAGES">
    <vt:lpwstr>13</vt:lpwstr>
  </property>
  <property fmtid="{D5CDD505-2E9C-101B-9397-08002B2CF9AE}" pid="15" name="TYPE_ABS_DATE">
    <vt:lpwstr>390120200811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17929065;24140726;25824863;25836997;25612982;23850962;24269595;6949290;5950172;5878682;6151556;5724364;5859902;22294063;161892:2;5569233;21304291:2</vt:lpwstr>
  </property>
  <property fmtid="{D5CDD505-2E9C-101B-9397-08002B2CF9AE}" pid="36" name="LAWLISTTMP1">
    <vt:lpwstr>70301/144.b;058</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13800</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20200825</vt:lpwstr>
  </property>
  <property fmtid="{D5CDD505-2E9C-101B-9397-08002B2CF9AE}" pid="71" name="METAKZER">
    <vt:lpwstr>עומרי</vt:lpwstr>
  </property>
</Properties>
</file>