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8"/>
        <w:gridCol w:w="3663"/>
      </w:tblGrid>
      <w:tr w:rsidR="00EE1353" w:rsidRPr="00D93461" w14:paraId="6EAE86BE" w14:textId="77777777" w:rsidTr="00215B24">
        <w:trPr>
          <w:trHeight w:hRule="exact" w:val="418"/>
          <w:jc w:val="center"/>
        </w:trPr>
        <w:tc>
          <w:tcPr>
            <w:tcW w:w="8721" w:type="dxa"/>
            <w:gridSpan w:val="2"/>
          </w:tcPr>
          <w:p w14:paraId="003E3CC8" w14:textId="77777777" w:rsidR="00EE1353" w:rsidRPr="00D93461" w:rsidRDefault="00EE1353" w:rsidP="00E45FC5">
            <w:pPr>
              <w:pStyle w:val="a3"/>
              <w:jc w:val="center"/>
              <w:rPr>
                <w:rFonts w:ascii="Tahoma" w:hAnsi="Tahoma" w:cs="Tahoma"/>
                <w:color w:val="000080"/>
                <w:rtl/>
              </w:rPr>
            </w:pPr>
            <w:bookmarkStart w:id="0" w:name="FirstLawyer"/>
            <w:bookmarkStart w:id="1" w:name="LastJudge"/>
            <w:r w:rsidRPr="00D93461">
              <w:rPr>
                <w:rFonts w:ascii="Tahoma" w:hAnsi="Tahoma" w:cs="Tahoma"/>
                <w:b/>
                <w:bCs/>
                <w:color w:val="000080"/>
                <w:rtl/>
              </w:rPr>
              <w:t>בית המשפט המחוזי בירושלים</w:t>
            </w:r>
          </w:p>
        </w:tc>
      </w:tr>
      <w:tr w:rsidR="00EE1353" w:rsidRPr="00D93461" w14:paraId="124624E5" w14:textId="77777777" w:rsidTr="00215B24">
        <w:trPr>
          <w:trHeight w:val="337"/>
          <w:jc w:val="center"/>
        </w:trPr>
        <w:tc>
          <w:tcPr>
            <w:tcW w:w="5058" w:type="dxa"/>
          </w:tcPr>
          <w:p w14:paraId="3874144E" w14:textId="77777777" w:rsidR="00EE1353" w:rsidRPr="00D93461" w:rsidRDefault="00EE1353" w:rsidP="00E45FC5">
            <w:pPr>
              <w:rPr>
                <w:rFonts w:cs="FrankRuehl"/>
                <w:sz w:val="28"/>
                <w:szCs w:val="28"/>
                <w:rtl/>
              </w:rPr>
            </w:pPr>
            <w:r w:rsidRPr="00D93461">
              <w:rPr>
                <w:rFonts w:cs="FrankRuehl"/>
                <w:sz w:val="28"/>
                <w:szCs w:val="28"/>
                <w:rtl/>
              </w:rPr>
              <w:t>ת"פ</w:t>
            </w:r>
            <w:r w:rsidRPr="00D93461">
              <w:rPr>
                <w:rFonts w:cs="FrankRuehl" w:hint="cs"/>
                <w:sz w:val="28"/>
                <w:szCs w:val="28"/>
                <w:rtl/>
              </w:rPr>
              <w:t xml:space="preserve"> </w:t>
            </w:r>
            <w:r w:rsidRPr="00D93461">
              <w:rPr>
                <w:rFonts w:cs="FrankRuehl"/>
                <w:sz w:val="28"/>
                <w:szCs w:val="28"/>
                <w:rtl/>
              </w:rPr>
              <w:t>20425-02-20</w:t>
            </w:r>
            <w:r w:rsidRPr="00D93461">
              <w:rPr>
                <w:rFonts w:cs="FrankRuehl" w:hint="cs"/>
                <w:sz w:val="28"/>
                <w:szCs w:val="28"/>
                <w:rtl/>
              </w:rPr>
              <w:t xml:space="preserve"> </w:t>
            </w:r>
            <w:r w:rsidRPr="00D93461">
              <w:rPr>
                <w:rFonts w:cs="FrankRuehl"/>
                <w:sz w:val="28"/>
                <w:szCs w:val="28"/>
                <w:rtl/>
              </w:rPr>
              <w:t>מדינת ישראל נ' מזערו(עציר)</w:t>
            </w:r>
          </w:p>
          <w:p w14:paraId="583BCA47" w14:textId="77777777" w:rsidR="00EE1353" w:rsidRPr="00D93461" w:rsidRDefault="00EE1353" w:rsidP="00E45FC5">
            <w:pPr>
              <w:pStyle w:val="a3"/>
              <w:rPr>
                <w:rFonts w:cs="FrankRuehl"/>
                <w:sz w:val="28"/>
                <w:szCs w:val="28"/>
                <w:rtl/>
              </w:rPr>
            </w:pPr>
          </w:p>
        </w:tc>
        <w:tc>
          <w:tcPr>
            <w:tcW w:w="3663" w:type="dxa"/>
          </w:tcPr>
          <w:p w14:paraId="08CBECC0" w14:textId="77777777" w:rsidR="00EE1353" w:rsidRPr="00D93461" w:rsidRDefault="00EE1353" w:rsidP="00E45FC5">
            <w:pPr>
              <w:pStyle w:val="a3"/>
              <w:jc w:val="right"/>
              <w:rPr>
                <w:rFonts w:cs="FrankRuehl"/>
                <w:sz w:val="28"/>
                <w:szCs w:val="28"/>
                <w:rtl/>
              </w:rPr>
            </w:pPr>
          </w:p>
        </w:tc>
      </w:tr>
    </w:tbl>
    <w:p w14:paraId="28021FF0" w14:textId="77777777" w:rsidR="00EE1353" w:rsidRPr="00D93461" w:rsidRDefault="00EE1353" w:rsidP="00EE1353">
      <w:pPr>
        <w:pStyle w:val="a3"/>
        <w:rPr>
          <w:rtl/>
        </w:rPr>
      </w:pPr>
      <w:r w:rsidRPr="00D93461">
        <w:rPr>
          <w:rFonts w:hint="cs"/>
          <w:rtl/>
        </w:rPr>
        <w:t xml:space="preserve"> </w:t>
      </w:r>
    </w:p>
    <w:p w14:paraId="748FFD3F" w14:textId="77777777" w:rsidR="00EE1353" w:rsidRPr="00D93461" w:rsidRDefault="00EE1353" w:rsidP="00EE1353">
      <w:pPr>
        <w:rPr>
          <w:rFonts w:ascii="David" w:hAnsi="David"/>
          <w:rtl/>
        </w:rPr>
      </w:pPr>
    </w:p>
    <w:p w14:paraId="52F34987" w14:textId="77777777" w:rsidR="00EE1353" w:rsidRPr="00D93461" w:rsidRDefault="00EE1353" w:rsidP="00EE1353">
      <w:pPr>
        <w:rPr>
          <w:rFonts w:ascii="David" w:hAnsi="David"/>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EE1353" w:rsidRPr="00D93461" w14:paraId="7E6B2CB5" w14:textId="77777777" w:rsidTr="00EE1353">
        <w:trPr>
          <w:trHeight w:val="295"/>
          <w:jc w:val="center"/>
        </w:trPr>
        <w:tc>
          <w:tcPr>
            <w:tcW w:w="923" w:type="dxa"/>
            <w:tcBorders>
              <w:top w:val="nil"/>
              <w:left w:val="nil"/>
              <w:bottom w:val="nil"/>
              <w:right w:val="nil"/>
            </w:tcBorders>
            <w:shd w:val="clear" w:color="auto" w:fill="auto"/>
          </w:tcPr>
          <w:p w14:paraId="5A58B2C2" w14:textId="77777777" w:rsidR="00EE1353" w:rsidRPr="00D93461" w:rsidRDefault="00EE1353" w:rsidP="00EE1353">
            <w:pPr>
              <w:jc w:val="both"/>
              <w:rPr>
                <w:rFonts w:ascii="David" w:hAnsi="David"/>
                <w:sz w:val="28"/>
                <w:szCs w:val="28"/>
              </w:rPr>
            </w:pPr>
            <w:r w:rsidRPr="00D93461">
              <w:rPr>
                <w:rFonts w:ascii="David" w:hAnsi="David"/>
                <w:sz w:val="28"/>
                <w:szCs w:val="28"/>
                <w:rtl/>
              </w:rPr>
              <w:t xml:space="preserve">בפני </w:t>
            </w:r>
          </w:p>
        </w:tc>
        <w:tc>
          <w:tcPr>
            <w:tcW w:w="7897" w:type="dxa"/>
            <w:gridSpan w:val="2"/>
            <w:tcBorders>
              <w:top w:val="nil"/>
              <w:left w:val="nil"/>
              <w:bottom w:val="nil"/>
              <w:right w:val="nil"/>
            </w:tcBorders>
            <w:shd w:val="clear" w:color="auto" w:fill="auto"/>
          </w:tcPr>
          <w:p w14:paraId="17CE99D7" w14:textId="77777777" w:rsidR="00EE1353" w:rsidRPr="00D93461" w:rsidRDefault="00EE1353" w:rsidP="00E45FC5">
            <w:pPr>
              <w:rPr>
                <w:rFonts w:ascii="David" w:hAnsi="David"/>
                <w:b/>
                <w:bCs/>
                <w:rtl/>
              </w:rPr>
            </w:pPr>
            <w:r w:rsidRPr="00D93461">
              <w:rPr>
                <w:rFonts w:ascii="David" w:hAnsi="David"/>
                <w:b/>
                <w:bCs/>
                <w:rtl/>
              </w:rPr>
              <w:t>כבוד השופטת  חגית מאק-קלמנוביץ</w:t>
            </w:r>
          </w:p>
          <w:p w14:paraId="6BF08D04" w14:textId="77777777" w:rsidR="00EE1353" w:rsidRPr="00D93461" w:rsidRDefault="00EE1353" w:rsidP="00E45FC5">
            <w:pPr>
              <w:rPr>
                <w:rFonts w:ascii="David" w:hAnsi="David"/>
                <w:rtl/>
              </w:rPr>
            </w:pPr>
          </w:p>
          <w:p w14:paraId="065ED056" w14:textId="77777777" w:rsidR="00EE1353" w:rsidRPr="00D93461" w:rsidRDefault="00EE1353" w:rsidP="00EE1353">
            <w:pPr>
              <w:jc w:val="both"/>
              <w:rPr>
                <w:rFonts w:ascii="David" w:hAnsi="David"/>
                <w:sz w:val="28"/>
                <w:szCs w:val="28"/>
              </w:rPr>
            </w:pPr>
          </w:p>
        </w:tc>
      </w:tr>
      <w:tr w:rsidR="00EE1353" w:rsidRPr="00D93461" w14:paraId="5435F416" w14:textId="77777777" w:rsidTr="00EE1353">
        <w:trPr>
          <w:trHeight w:val="355"/>
          <w:jc w:val="center"/>
        </w:trPr>
        <w:tc>
          <w:tcPr>
            <w:tcW w:w="923" w:type="dxa"/>
            <w:tcBorders>
              <w:top w:val="nil"/>
              <w:left w:val="nil"/>
              <w:bottom w:val="nil"/>
              <w:right w:val="nil"/>
            </w:tcBorders>
            <w:shd w:val="clear" w:color="auto" w:fill="auto"/>
          </w:tcPr>
          <w:p w14:paraId="709F282B" w14:textId="77777777" w:rsidR="00EE1353" w:rsidRPr="00D93461" w:rsidRDefault="00EE1353" w:rsidP="00EE1353">
            <w:pPr>
              <w:jc w:val="both"/>
              <w:rPr>
                <w:rFonts w:ascii="David" w:hAnsi="David"/>
                <w:b/>
                <w:bCs/>
                <w:sz w:val="28"/>
                <w:szCs w:val="28"/>
              </w:rPr>
            </w:pPr>
            <w:bookmarkStart w:id="2" w:name="FirstAppellant"/>
            <w:r w:rsidRPr="00D93461">
              <w:rPr>
                <w:rFonts w:ascii="David" w:hAnsi="David"/>
                <w:b/>
                <w:bCs/>
                <w:sz w:val="28"/>
                <w:szCs w:val="28"/>
                <w:rtl/>
              </w:rPr>
              <w:t>בעניין:</w:t>
            </w:r>
          </w:p>
        </w:tc>
        <w:tc>
          <w:tcPr>
            <w:tcW w:w="4126" w:type="dxa"/>
            <w:tcBorders>
              <w:top w:val="nil"/>
              <w:left w:val="nil"/>
              <w:bottom w:val="nil"/>
              <w:right w:val="nil"/>
            </w:tcBorders>
            <w:shd w:val="clear" w:color="auto" w:fill="auto"/>
          </w:tcPr>
          <w:p w14:paraId="24D4E2BF" w14:textId="77777777" w:rsidR="00EE1353" w:rsidRPr="00D93461" w:rsidRDefault="00EE1353" w:rsidP="00E45FC5">
            <w:pPr>
              <w:rPr>
                <w:rFonts w:ascii="David" w:hAnsi="David"/>
                <w:b/>
                <w:bCs/>
              </w:rPr>
            </w:pPr>
            <w:r w:rsidRPr="00D93461">
              <w:rPr>
                <w:rFonts w:ascii="David" w:hAnsi="David"/>
                <w:b/>
                <w:bCs/>
                <w:sz w:val="28"/>
                <w:szCs w:val="28"/>
                <w:rtl/>
              </w:rPr>
              <w:t>מדינת ישראל</w:t>
            </w:r>
            <w:r w:rsidRPr="00D93461">
              <w:rPr>
                <w:rFonts w:ascii="David" w:hAnsi="David"/>
                <w:b/>
                <w:bCs/>
                <w:sz w:val="28"/>
                <w:szCs w:val="28"/>
                <w:rtl/>
              </w:rPr>
              <w:br/>
            </w:r>
            <w:r w:rsidRPr="00D93461">
              <w:rPr>
                <w:rFonts w:ascii="David" w:hAnsi="David" w:hint="cs"/>
                <w:b/>
                <w:bCs/>
                <w:rtl/>
              </w:rPr>
              <w:t xml:space="preserve">ע"י עו"ד גל נשרים </w:t>
            </w:r>
            <w:r w:rsidRPr="00D93461">
              <w:rPr>
                <w:rFonts w:ascii="David" w:hAnsi="David"/>
                <w:b/>
                <w:bCs/>
                <w:rtl/>
              </w:rPr>
              <w:br/>
            </w:r>
            <w:r w:rsidRPr="00D93461">
              <w:rPr>
                <w:rFonts w:ascii="David" w:hAnsi="David" w:hint="cs"/>
                <w:b/>
                <w:bCs/>
                <w:rtl/>
              </w:rPr>
              <w:t>מפרקליטות מחוז ירושלים (פלילי)</w:t>
            </w:r>
          </w:p>
        </w:tc>
        <w:tc>
          <w:tcPr>
            <w:tcW w:w="3771" w:type="dxa"/>
            <w:tcBorders>
              <w:top w:val="nil"/>
              <w:left w:val="nil"/>
              <w:bottom w:val="nil"/>
              <w:right w:val="nil"/>
            </w:tcBorders>
            <w:shd w:val="clear" w:color="auto" w:fill="auto"/>
          </w:tcPr>
          <w:p w14:paraId="160B8D3C" w14:textId="77777777" w:rsidR="00EE1353" w:rsidRPr="00D93461" w:rsidRDefault="00EE1353" w:rsidP="00EE1353">
            <w:pPr>
              <w:jc w:val="both"/>
              <w:rPr>
                <w:rFonts w:ascii="David" w:hAnsi="David"/>
                <w:b/>
                <w:bCs/>
                <w:sz w:val="28"/>
                <w:szCs w:val="28"/>
              </w:rPr>
            </w:pPr>
          </w:p>
        </w:tc>
      </w:tr>
      <w:bookmarkEnd w:id="2"/>
      <w:tr w:rsidR="00EE1353" w:rsidRPr="00D93461" w14:paraId="71A8F12F" w14:textId="77777777" w:rsidTr="00EE1353">
        <w:trPr>
          <w:trHeight w:val="355"/>
          <w:jc w:val="center"/>
        </w:trPr>
        <w:tc>
          <w:tcPr>
            <w:tcW w:w="923" w:type="dxa"/>
            <w:tcBorders>
              <w:top w:val="nil"/>
              <w:left w:val="nil"/>
              <w:bottom w:val="nil"/>
              <w:right w:val="nil"/>
            </w:tcBorders>
            <w:shd w:val="clear" w:color="auto" w:fill="auto"/>
          </w:tcPr>
          <w:p w14:paraId="34E1E029" w14:textId="77777777" w:rsidR="00EE1353" w:rsidRPr="00D93461" w:rsidRDefault="00EE1353" w:rsidP="00EE1353">
            <w:pPr>
              <w:jc w:val="both"/>
              <w:rPr>
                <w:rFonts w:ascii="David" w:hAnsi="David"/>
                <w:b/>
                <w:bCs/>
                <w:sz w:val="28"/>
                <w:szCs w:val="28"/>
                <w:rtl/>
              </w:rPr>
            </w:pPr>
          </w:p>
        </w:tc>
        <w:tc>
          <w:tcPr>
            <w:tcW w:w="4126" w:type="dxa"/>
            <w:tcBorders>
              <w:top w:val="nil"/>
              <w:left w:val="nil"/>
              <w:bottom w:val="nil"/>
              <w:right w:val="nil"/>
            </w:tcBorders>
            <w:shd w:val="clear" w:color="auto" w:fill="auto"/>
          </w:tcPr>
          <w:p w14:paraId="58615B83" w14:textId="77777777" w:rsidR="00EE1353" w:rsidRPr="00D93461" w:rsidRDefault="00EE1353" w:rsidP="00EE1353">
            <w:pPr>
              <w:jc w:val="both"/>
              <w:rPr>
                <w:rFonts w:ascii="David" w:hAnsi="David"/>
                <w:b/>
                <w:bCs/>
                <w:rtl/>
              </w:rPr>
            </w:pPr>
          </w:p>
        </w:tc>
        <w:tc>
          <w:tcPr>
            <w:tcW w:w="3771" w:type="dxa"/>
            <w:tcBorders>
              <w:top w:val="nil"/>
              <w:left w:val="nil"/>
              <w:bottom w:val="nil"/>
              <w:right w:val="nil"/>
            </w:tcBorders>
            <w:shd w:val="clear" w:color="auto" w:fill="auto"/>
          </w:tcPr>
          <w:p w14:paraId="2A008988" w14:textId="77777777" w:rsidR="00EE1353" w:rsidRPr="00D93461" w:rsidRDefault="00EE1353" w:rsidP="00EE1353">
            <w:pPr>
              <w:jc w:val="right"/>
              <w:rPr>
                <w:rFonts w:ascii="David" w:hAnsi="David"/>
                <w:b/>
                <w:bCs/>
                <w:sz w:val="28"/>
                <w:szCs w:val="28"/>
                <w:rtl/>
              </w:rPr>
            </w:pPr>
            <w:r w:rsidRPr="00D93461">
              <w:rPr>
                <w:rFonts w:ascii="David" w:hAnsi="David"/>
                <w:b/>
                <w:bCs/>
                <w:sz w:val="28"/>
                <w:szCs w:val="28"/>
                <w:rtl/>
              </w:rPr>
              <w:t>המאשימה</w:t>
            </w:r>
          </w:p>
        </w:tc>
      </w:tr>
      <w:tr w:rsidR="00EE1353" w:rsidRPr="00D93461" w14:paraId="7619A53A" w14:textId="77777777" w:rsidTr="00EE1353">
        <w:trPr>
          <w:trHeight w:val="355"/>
          <w:jc w:val="center"/>
        </w:trPr>
        <w:tc>
          <w:tcPr>
            <w:tcW w:w="923" w:type="dxa"/>
            <w:tcBorders>
              <w:top w:val="nil"/>
              <w:left w:val="nil"/>
              <w:bottom w:val="nil"/>
              <w:right w:val="nil"/>
            </w:tcBorders>
            <w:shd w:val="clear" w:color="auto" w:fill="auto"/>
          </w:tcPr>
          <w:p w14:paraId="79397C8D" w14:textId="77777777" w:rsidR="00EE1353" w:rsidRPr="00D93461" w:rsidRDefault="00EE1353" w:rsidP="00EE1353">
            <w:pPr>
              <w:jc w:val="both"/>
              <w:rPr>
                <w:rFonts w:ascii="David" w:hAnsi="David"/>
                <w:b/>
                <w:bCs/>
                <w:sz w:val="28"/>
                <w:szCs w:val="28"/>
                <w:rtl/>
              </w:rPr>
            </w:pPr>
          </w:p>
        </w:tc>
        <w:tc>
          <w:tcPr>
            <w:tcW w:w="7897" w:type="dxa"/>
            <w:gridSpan w:val="2"/>
            <w:tcBorders>
              <w:top w:val="nil"/>
              <w:left w:val="nil"/>
              <w:bottom w:val="nil"/>
              <w:right w:val="nil"/>
            </w:tcBorders>
            <w:shd w:val="clear" w:color="auto" w:fill="auto"/>
          </w:tcPr>
          <w:p w14:paraId="2D6C1D64" w14:textId="77777777" w:rsidR="00EE1353" w:rsidRPr="00D93461" w:rsidRDefault="00EE1353" w:rsidP="00EE1353">
            <w:pPr>
              <w:jc w:val="center"/>
              <w:rPr>
                <w:rFonts w:ascii="David" w:hAnsi="David"/>
                <w:b/>
                <w:bCs/>
                <w:sz w:val="28"/>
                <w:szCs w:val="28"/>
                <w:rtl/>
              </w:rPr>
            </w:pPr>
          </w:p>
          <w:p w14:paraId="27B05C06" w14:textId="77777777" w:rsidR="00EE1353" w:rsidRPr="00D93461" w:rsidRDefault="00EE1353" w:rsidP="00EE1353">
            <w:pPr>
              <w:jc w:val="center"/>
              <w:rPr>
                <w:rFonts w:ascii="David" w:hAnsi="David"/>
                <w:b/>
                <w:bCs/>
                <w:sz w:val="28"/>
                <w:szCs w:val="28"/>
                <w:rtl/>
              </w:rPr>
            </w:pPr>
            <w:r w:rsidRPr="00D93461">
              <w:rPr>
                <w:rFonts w:ascii="David" w:hAnsi="David"/>
                <w:b/>
                <w:bCs/>
                <w:sz w:val="28"/>
                <w:szCs w:val="28"/>
                <w:rtl/>
              </w:rPr>
              <w:t>נגד</w:t>
            </w:r>
          </w:p>
          <w:p w14:paraId="33C70BBA" w14:textId="77777777" w:rsidR="00EE1353" w:rsidRPr="00D93461" w:rsidRDefault="00EE1353" w:rsidP="00EE1353">
            <w:pPr>
              <w:jc w:val="both"/>
              <w:rPr>
                <w:rFonts w:ascii="David" w:hAnsi="David"/>
                <w:b/>
                <w:bCs/>
                <w:sz w:val="28"/>
                <w:szCs w:val="28"/>
              </w:rPr>
            </w:pPr>
          </w:p>
        </w:tc>
      </w:tr>
      <w:tr w:rsidR="00EE1353" w:rsidRPr="00D93461" w14:paraId="39DB90BD" w14:textId="77777777" w:rsidTr="00EE1353">
        <w:trPr>
          <w:trHeight w:val="355"/>
          <w:jc w:val="center"/>
        </w:trPr>
        <w:tc>
          <w:tcPr>
            <w:tcW w:w="923" w:type="dxa"/>
            <w:tcBorders>
              <w:top w:val="nil"/>
              <w:left w:val="nil"/>
              <w:bottom w:val="nil"/>
              <w:right w:val="nil"/>
            </w:tcBorders>
            <w:shd w:val="clear" w:color="auto" w:fill="auto"/>
          </w:tcPr>
          <w:p w14:paraId="50E486EC" w14:textId="77777777" w:rsidR="00EE1353" w:rsidRPr="00D93461" w:rsidRDefault="00EE1353" w:rsidP="00E45FC5">
            <w:pPr>
              <w:rPr>
                <w:rFonts w:ascii="David" w:hAnsi="David"/>
                <w:b/>
                <w:bCs/>
                <w:sz w:val="28"/>
                <w:szCs w:val="28"/>
                <w:rtl/>
              </w:rPr>
            </w:pPr>
          </w:p>
        </w:tc>
        <w:tc>
          <w:tcPr>
            <w:tcW w:w="4126" w:type="dxa"/>
            <w:tcBorders>
              <w:top w:val="nil"/>
              <w:left w:val="nil"/>
              <w:bottom w:val="nil"/>
              <w:right w:val="nil"/>
            </w:tcBorders>
            <w:shd w:val="clear" w:color="auto" w:fill="auto"/>
          </w:tcPr>
          <w:p w14:paraId="6A18F874" w14:textId="77777777" w:rsidR="00EE1353" w:rsidRPr="00D93461" w:rsidRDefault="00EE1353" w:rsidP="00E45FC5">
            <w:pPr>
              <w:rPr>
                <w:rFonts w:ascii="David" w:hAnsi="David"/>
                <w:b/>
                <w:bCs/>
                <w:rtl/>
              </w:rPr>
            </w:pPr>
            <w:r w:rsidRPr="00D93461">
              <w:rPr>
                <w:rFonts w:ascii="David" w:hAnsi="David"/>
                <w:b/>
                <w:bCs/>
                <w:sz w:val="28"/>
                <w:szCs w:val="28"/>
                <w:rtl/>
              </w:rPr>
              <w:t>הייתם מזערו (עציר)</w:t>
            </w:r>
            <w:r w:rsidRPr="00D93461">
              <w:rPr>
                <w:rFonts w:ascii="David" w:hAnsi="David"/>
                <w:b/>
                <w:bCs/>
                <w:sz w:val="28"/>
                <w:szCs w:val="28"/>
                <w:rtl/>
              </w:rPr>
              <w:br/>
            </w:r>
            <w:r w:rsidRPr="00D93461">
              <w:rPr>
                <w:rFonts w:ascii="David" w:hAnsi="David" w:hint="cs"/>
                <w:b/>
                <w:bCs/>
                <w:rtl/>
              </w:rPr>
              <w:t>ע"י ב"כ עו"ד מוסטפא יחיא</w:t>
            </w:r>
          </w:p>
        </w:tc>
        <w:tc>
          <w:tcPr>
            <w:tcW w:w="3771" w:type="dxa"/>
            <w:tcBorders>
              <w:top w:val="nil"/>
              <w:left w:val="nil"/>
              <w:bottom w:val="nil"/>
              <w:right w:val="nil"/>
            </w:tcBorders>
            <w:shd w:val="clear" w:color="auto" w:fill="auto"/>
          </w:tcPr>
          <w:p w14:paraId="5B00697C" w14:textId="77777777" w:rsidR="00EE1353" w:rsidRPr="00D93461" w:rsidRDefault="00EE1353" w:rsidP="00EE1353">
            <w:pPr>
              <w:jc w:val="right"/>
              <w:rPr>
                <w:rFonts w:ascii="David" w:hAnsi="David"/>
                <w:b/>
                <w:bCs/>
                <w:sz w:val="28"/>
                <w:szCs w:val="28"/>
              </w:rPr>
            </w:pPr>
          </w:p>
        </w:tc>
      </w:tr>
      <w:tr w:rsidR="00EE1353" w:rsidRPr="00D93461" w14:paraId="54950A86" w14:textId="77777777" w:rsidTr="00EE1353">
        <w:trPr>
          <w:trHeight w:val="355"/>
          <w:jc w:val="center"/>
        </w:trPr>
        <w:tc>
          <w:tcPr>
            <w:tcW w:w="923" w:type="dxa"/>
            <w:tcBorders>
              <w:top w:val="nil"/>
              <w:left w:val="nil"/>
              <w:bottom w:val="nil"/>
              <w:right w:val="nil"/>
            </w:tcBorders>
            <w:shd w:val="clear" w:color="auto" w:fill="auto"/>
          </w:tcPr>
          <w:p w14:paraId="374C8292" w14:textId="77777777" w:rsidR="00EE1353" w:rsidRPr="00D93461" w:rsidRDefault="00EE1353" w:rsidP="00EE1353">
            <w:pPr>
              <w:jc w:val="both"/>
              <w:rPr>
                <w:rFonts w:ascii="David" w:hAnsi="David"/>
                <w:b/>
                <w:bCs/>
                <w:sz w:val="28"/>
                <w:szCs w:val="28"/>
                <w:rtl/>
              </w:rPr>
            </w:pPr>
          </w:p>
        </w:tc>
        <w:tc>
          <w:tcPr>
            <w:tcW w:w="4126" w:type="dxa"/>
            <w:tcBorders>
              <w:top w:val="nil"/>
              <w:left w:val="nil"/>
              <w:bottom w:val="nil"/>
              <w:right w:val="nil"/>
            </w:tcBorders>
            <w:shd w:val="clear" w:color="auto" w:fill="auto"/>
          </w:tcPr>
          <w:p w14:paraId="0D39E1B3" w14:textId="77777777" w:rsidR="00EE1353" w:rsidRPr="00D93461" w:rsidRDefault="00EE1353" w:rsidP="00EE1353">
            <w:pPr>
              <w:jc w:val="both"/>
              <w:rPr>
                <w:rFonts w:ascii="David" w:hAnsi="David"/>
                <w:b/>
                <w:bCs/>
                <w:rtl/>
              </w:rPr>
            </w:pPr>
          </w:p>
        </w:tc>
        <w:tc>
          <w:tcPr>
            <w:tcW w:w="3771" w:type="dxa"/>
            <w:tcBorders>
              <w:top w:val="nil"/>
              <w:left w:val="nil"/>
              <w:bottom w:val="nil"/>
              <w:right w:val="nil"/>
            </w:tcBorders>
            <w:shd w:val="clear" w:color="auto" w:fill="auto"/>
          </w:tcPr>
          <w:p w14:paraId="00944E86" w14:textId="77777777" w:rsidR="00EE1353" w:rsidRPr="00D93461" w:rsidRDefault="00EE1353" w:rsidP="00EE1353">
            <w:pPr>
              <w:jc w:val="right"/>
              <w:rPr>
                <w:rFonts w:ascii="David" w:hAnsi="David"/>
                <w:b/>
                <w:bCs/>
                <w:sz w:val="28"/>
                <w:szCs w:val="28"/>
              </w:rPr>
            </w:pPr>
            <w:r w:rsidRPr="00D93461">
              <w:rPr>
                <w:rFonts w:ascii="David" w:hAnsi="David"/>
                <w:b/>
                <w:bCs/>
                <w:sz w:val="28"/>
                <w:szCs w:val="28"/>
                <w:rtl/>
              </w:rPr>
              <w:t>הנאשם</w:t>
            </w:r>
          </w:p>
        </w:tc>
      </w:tr>
    </w:tbl>
    <w:p w14:paraId="74C19816" w14:textId="77777777" w:rsidR="00502379" w:rsidRDefault="00502379" w:rsidP="00502379">
      <w:pPr>
        <w:rPr>
          <w:rFonts w:ascii="David" w:hAnsi="David"/>
          <w:rtl/>
        </w:rPr>
      </w:pPr>
      <w:bookmarkStart w:id="3" w:name="LawTable"/>
      <w:bookmarkEnd w:id="3"/>
    </w:p>
    <w:p w14:paraId="41F46E64" w14:textId="77777777" w:rsidR="00502379" w:rsidRPr="00502379" w:rsidRDefault="00502379" w:rsidP="00502379">
      <w:pPr>
        <w:spacing w:before="120" w:after="120" w:line="240" w:lineRule="exact"/>
        <w:ind w:left="283" w:hanging="283"/>
        <w:jc w:val="both"/>
        <w:rPr>
          <w:rFonts w:ascii="FrankRuehl" w:hAnsi="FrankRuehl" w:cs="FrankRuehl"/>
          <w:rtl/>
        </w:rPr>
      </w:pPr>
    </w:p>
    <w:p w14:paraId="593BC978" w14:textId="77777777" w:rsidR="00502379" w:rsidRPr="00502379" w:rsidRDefault="00502379" w:rsidP="00502379">
      <w:pPr>
        <w:spacing w:before="120" w:after="120" w:line="240" w:lineRule="exact"/>
        <w:ind w:left="283" w:hanging="283"/>
        <w:jc w:val="both"/>
        <w:rPr>
          <w:rFonts w:ascii="FrankRuehl" w:hAnsi="FrankRuehl" w:cs="FrankRuehl"/>
          <w:rtl/>
        </w:rPr>
      </w:pPr>
    </w:p>
    <w:p w14:paraId="65ACE3F2" w14:textId="77777777" w:rsidR="00502379" w:rsidRPr="00502379" w:rsidRDefault="00502379" w:rsidP="00502379">
      <w:pPr>
        <w:spacing w:before="120" w:after="120" w:line="240" w:lineRule="exact"/>
        <w:ind w:left="283" w:hanging="283"/>
        <w:jc w:val="both"/>
        <w:rPr>
          <w:rFonts w:ascii="FrankRuehl" w:hAnsi="FrankRuehl" w:cs="FrankRuehl"/>
          <w:rtl/>
        </w:rPr>
      </w:pPr>
      <w:r w:rsidRPr="00502379">
        <w:rPr>
          <w:rFonts w:ascii="FrankRuehl" w:hAnsi="FrankRuehl" w:cs="FrankRuehl"/>
          <w:rtl/>
        </w:rPr>
        <w:t xml:space="preserve">חקיקה שאוזכרה: </w:t>
      </w:r>
    </w:p>
    <w:p w14:paraId="34B1B593" w14:textId="77777777" w:rsidR="00502379" w:rsidRPr="00502379" w:rsidRDefault="00502379" w:rsidP="00502379">
      <w:pPr>
        <w:spacing w:before="120" w:after="120" w:line="240" w:lineRule="exact"/>
        <w:ind w:left="283" w:hanging="283"/>
        <w:jc w:val="both"/>
        <w:rPr>
          <w:rFonts w:ascii="FrankRuehl" w:hAnsi="FrankRuehl" w:cs="FrankRuehl"/>
          <w:rtl/>
        </w:rPr>
      </w:pPr>
      <w:hyperlink r:id="rId6" w:history="1">
        <w:r w:rsidRPr="00502379">
          <w:rPr>
            <w:rFonts w:ascii="FrankRuehl" w:hAnsi="FrankRuehl" w:cs="FrankRuehl"/>
            <w:color w:val="0000FF"/>
            <w:rtl/>
          </w:rPr>
          <w:t>חוק העונשין, תשל"ז-1977</w:t>
        </w:r>
      </w:hyperlink>
      <w:r w:rsidRPr="00502379">
        <w:rPr>
          <w:rFonts w:ascii="FrankRuehl" w:hAnsi="FrankRuehl" w:cs="FrankRuehl"/>
          <w:rtl/>
        </w:rPr>
        <w:t xml:space="preserve">: סע'  </w:t>
      </w:r>
      <w:hyperlink r:id="rId7" w:history="1">
        <w:r w:rsidRPr="00502379">
          <w:rPr>
            <w:rFonts w:ascii="FrankRuehl" w:hAnsi="FrankRuehl" w:cs="FrankRuehl"/>
            <w:color w:val="0000FF"/>
            <w:rtl/>
          </w:rPr>
          <w:t>144(ב2)</w:t>
        </w:r>
      </w:hyperlink>
    </w:p>
    <w:p w14:paraId="208F8925" w14:textId="77777777" w:rsidR="00502379" w:rsidRPr="00502379" w:rsidRDefault="00502379" w:rsidP="00502379">
      <w:pPr>
        <w:rPr>
          <w:rFonts w:ascii="David" w:hAnsi="David"/>
          <w:rtl/>
        </w:rPr>
      </w:pPr>
      <w:bookmarkStart w:id="4" w:name="LawTable_End"/>
      <w:bookmarkEnd w:id="4"/>
    </w:p>
    <w:p w14:paraId="3D8D0185" w14:textId="77777777" w:rsidR="00EE1353" w:rsidRPr="00215B24" w:rsidRDefault="00EE1353" w:rsidP="00215B24">
      <w:pPr>
        <w:rPr>
          <w:rFonts w:ascii="David" w:hAnsi="David"/>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E1353" w:rsidRPr="0032151E" w14:paraId="0A24E0B4" w14:textId="77777777" w:rsidTr="00EE1353">
        <w:trPr>
          <w:trHeight w:val="355"/>
          <w:jc w:val="center"/>
        </w:trPr>
        <w:tc>
          <w:tcPr>
            <w:tcW w:w="8820" w:type="dxa"/>
            <w:tcBorders>
              <w:top w:val="nil"/>
              <w:left w:val="nil"/>
              <w:bottom w:val="nil"/>
              <w:right w:val="nil"/>
            </w:tcBorders>
            <w:shd w:val="clear" w:color="auto" w:fill="auto"/>
          </w:tcPr>
          <w:p w14:paraId="6580242E" w14:textId="77777777" w:rsidR="00D93461" w:rsidRPr="00D93461" w:rsidRDefault="00D93461" w:rsidP="00D93461">
            <w:pPr>
              <w:jc w:val="center"/>
              <w:rPr>
                <w:rFonts w:ascii="David" w:hAnsi="David"/>
                <w:b/>
                <w:bCs/>
                <w:sz w:val="32"/>
                <w:szCs w:val="32"/>
                <w:u w:val="single"/>
                <w:rtl/>
              </w:rPr>
            </w:pPr>
            <w:bookmarkStart w:id="5" w:name="PsakDin" w:colFirst="0" w:colLast="0"/>
            <w:bookmarkEnd w:id="0"/>
            <w:bookmarkEnd w:id="1"/>
            <w:r w:rsidRPr="00D93461">
              <w:rPr>
                <w:rFonts w:ascii="David" w:hAnsi="David"/>
                <w:b/>
                <w:bCs/>
                <w:sz w:val="32"/>
                <w:szCs w:val="32"/>
                <w:u w:val="single"/>
                <w:rtl/>
              </w:rPr>
              <w:t>גזר דין</w:t>
            </w:r>
          </w:p>
          <w:p w14:paraId="7FF8E2E1" w14:textId="77777777" w:rsidR="00EE1353" w:rsidRPr="00D93461" w:rsidRDefault="00EE1353" w:rsidP="00D93461">
            <w:pPr>
              <w:jc w:val="center"/>
              <w:rPr>
                <w:rFonts w:ascii="David" w:hAnsi="David"/>
                <w:bCs/>
                <w:sz w:val="32"/>
                <w:szCs w:val="32"/>
                <w:u w:val="single"/>
                <w:rtl/>
              </w:rPr>
            </w:pPr>
          </w:p>
        </w:tc>
      </w:tr>
      <w:bookmarkEnd w:id="5"/>
    </w:tbl>
    <w:p w14:paraId="43CD22BF" w14:textId="77777777" w:rsidR="00EE1353" w:rsidRPr="00B05847" w:rsidRDefault="00EE1353" w:rsidP="00EE1353">
      <w:pPr>
        <w:rPr>
          <w:rtl/>
        </w:rPr>
      </w:pPr>
    </w:p>
    <w:p w14:paraId="2FBACC8F" w14:textId="77777777" w:rsidR="00EE1353" w:rsidRPr="00E737DA" w:rsidRDefault="00EE1353" w:rsidP="00EE1353">
      <w:pPr>
        <w:spacing w:after="240" w:line="360" w:lineRule="auto"/>
        <w:jc w:val="both"/>
        <w:rPr>
          <w:b/>
          <w:bCs/>
          <w:u w:val="single"/>
          <w:rtl/>
        </w:rPr>
      </w:pPr>
      <w:r w:rsidRPr="00E737DA">
        <w:rPr>
          <w:rFonts w:hint="cs"/>
          <w:b/>
          <w:bCs/>
          <w:u w:val="single"/>
          <w:rtl/>
        </w:rPr>
        <w:t>העובדות</w:t>
      </w:r>
    </w:p>
    <w:p w14:paraId="2C465541" w14:textId="77777777" w:rsidR="00EE1353" w:rsidRDefault="00EE1353" w:rsidP="00EE1353">
      <w:pPr>
        <w:spacing w:after="240" w:line="360" w:lineRule="auto"/>
        <w:jc w:val="both"/>
        <w:rPr>
          <w:rtl/>
        </w:rPr>
      </w:pPr>
      <w:r>
        <w:rPr>
          <w:rFonts w:hint="cs"/>
          <w:rtl/>
        </w:rPr>
        <w:t>1.</w:t>
      </w:r>
      <w:r>
        <w:rPr>
          <w:rFonts w:hint="cs"/>
          <w:rtl/>
        </w:rPr>
        <w:tab/>
      </w:r>
      <w:bookmarkStart w:id="6" w:name="ABSTRACT_START"/>
      <w:bookmarkEnd w:id="6"/>
      <w:r>
        <w:rPr>
          <w:rFonts w:hint="cs"/>
          <w:rtl/>
        </w:rPr>
        <w:t xml:space="preserve">הנאשם הודה והורשע בעבירה של סחר בנשק </w:t>
      </w:r>
      <w:r>
        <w:rPr>
          <w:rtl/>
        </w:rPr>
        <w:t>–</w:t>
      </w:r>
      <w:r>
        <w:rPr>
          <w:rFonts w:hint="cs"/>
          <w:rtl/>
        </w:rPr>
        <w:t xml:space="preserve"> עבירה לפי </w:t>
      </w:r>
      <w:hyperlink r:id="rId8" w:history="1">
        <w:r w:rsidR="00215B24" w:rsidRPr="00215B24">
          <w:rPr>
            <w:rStyle w:val="Hyperlink"/>
            <w:rFonts w:hint="eastAsia"/>
            <w:rtl/>
          </w:rPr>
          <w:t>סעיף</w:t>
        </w:r>
        <w:r w:rsidR="00215B24" w:rsidRPr="00215B24">
          <w:rPr>
            <w:rStyle w:val="Hyperlink"/>
            <w:rtl/>
          </w:rPr>
          <w:t xml:space="preserve"> 144(ב2)</w:t>
        </w:r>
      </w:hyperlink>
      <w:r>
        <w:rPr>
          <w:rFonts w:hint="cs"/>
          <w:rtl/>
        </w:rPr>
        <w:t xml:space="preserve"> ל</w:t>
      </w:r>
      <w:hyperlink r:id="rId9" w:history="1">
        <w:r w:rsidR="00D93461" w:rsidRPr="00D93461">
          <w:rPr>
            <w:color w:val="0000FF"/>
            <w:u w:val="single"/>
            <w:rtl/>
          </w:rPr>
          <w:t>חוק העונשין</w:t>
        </w:r>
      </w:hyperlink>
      <w:r>
        <w:rPr>
          <w:rFonts w:hint="cs"/>
          <w:rtl/>
        </w:rPr>
        <w:t xml:space="preserve"> תשל"ז-1977. ההודאה באה במסגרת הסדר טיעון שכלל תיקון כתב האישום ללא הסכמה לעניין העונש. </w:t>
      </w:r>
    </w:p>
    <w:p w14:paraId="21416725" w14:textId="77777777" w:rsidR="00EE1353" w:rsidRDefault="00EE1353" w:rsidP="00EE1353">
      <w:pPr>
        <w:spacing w:after="240" w:line="360" w:lineRule="auto"/>
        <w:jc w:val="both"/>
        <w:rPr>
          <w:rtl/>
        </w:rPr>
      </w:pPr>
      <w:r>
        <w:rPr>
          <w:rtl/>
        </w:rPr>
        <w:tab/>
      </w:r>
      <w:r>
        <w:rPr>
          <w:rFonts w:hint="cs"/>
          <w:rtl/>
        </w:rPr>
        <w:t xml:space="preserve">על פי עובדות כתב האישום המתוקן, הנאשם התקשר עם סוכן משטרתי סמוי בעסקה לרכישת אקדח 9 מ"מ מסוג סטאר בחודש דצמבר 2019 תמורת 30,000 ₪. בכתב האישום מתואר כי ביום 10.12.20 התקשר הסוכן לנאשם והשניים קבעו פגישה בבית חנינה, שם הציע הנאשם לסוכן לרכוש אחד משני אקדחים שהיו ברשותו </w:t>
      </w:r>
      <w:r>
        <w:rPr>
          <w:rtl/>
        </w:rPr>
        <w:t>–</w:t>
      </w:r>
      <w:r>
        <w:rPr>
          <w:rFonts w:hint="cs"/>
          <w:rtl/>
        </w:rPr>
        <w:t xml:space="preserve"> סטאר תמורת 30,000 ₪ או גלוק תמורת 45,000 ₪. הסוכן השיב כי הוא מעוניין באקדח הסטאר אך ביקש לבדוק את הדבר. השניים קבעו שם קוד לאקדח, אותו כינו בשיחותיהם "הרכב", והמשיכו במשא ומתן טלפוני. ביום 11.12.20 שוחחו </w:t>
      </w:r>
      <w:r>
        <w:rPr>
          <w:rFonts w:hint="cs"/>
          <w:rtl/>
        </w:rPr>
        <w:lastRenderedPageBreak/>
        <w:t xml:space="preserve">הנאשם והסוכן וקבעו פגישה בתחנת דלק בכניסה לענתא. הסוכן הגיע למקום, ובן דודו של הנאשם אסף אותו ברכב. לאחר נסיעה קצרה עלה גם הנאשם לרכב, והשלושה נסעו למקום נסתר במטרה לנסות את האקדח. לאחר שהגיעו הסוכן ירה מהאקדח פעמיים, ולאחר כל יריה המחסנית נתקעה. בן דוד של הנאשם, אשר הוצג על ידי הנאשם כשותפו, תיקן את האקדח, והשלושה נכנסו לרכב וניהלו משא ומתן על המחיר. בסופו של דבר שילם הסוכן סכום של 29,500 ₪ תמורת האקדח והמחסנית. </w:t>
      </w:r>
    </w:p>
    <w:p w14:paraId="651EC9AF" w14:textId="77777777" w:rsidR="00EE1353" w:rsidRDefault="00EE1353" w:rsidP="00EE1353">
      <w:pPr>
        <w:spacing w:after="240" w:line="360" w:lineRule="auto"/>
        <w:jc w:val="both"/>
        <w:rPr>
          <w:b/>
          <w:bCs/>
          <w:u w:val="single"/>
          <w:rtl/>
        </w:rPr>
      </w:pPr>
      <w:bookmarkStart w:id="7" w:name="ABSTRACT_END"/>
      <w:bookmarkEnd w:id="7"/>
    </w:p>
    <w:p w14:paraId="692C3735" w14:textId="77777777" w:rsidR="00EE1353" w:rsidRPr="00E737DA" w:rsidRDefault="00EE1353" w:rsidP="00EE1353">
      <w:pPr>
        <w:spacing w:after="240" w:line="360" w:lineRule="auto"/>
        <w:jc w:val="both"/>
        <w:rPr>
          <w:b/>
          <w:bCs/>
          <w:u w:val="single"/>
          <w:rtl/>
        </w:rPr>
      </w:pPr>
      <w:r w:rsidRPr="00E737DA">
        <w:rPr>
          <w:rFonts w:hint="cs"/>
          <w:b/>
          <w:bCs/>
          <w:u w:val="single"/>
          <w:rtl/>
        </w:rPr>
        <w:t xml:space="preserve">טענות הצדדים   </w:t>
      </w:r>
    </w:p>
    <w:p w14:paraId="604ED706" w14:textId="77777777" w:rsidR="00EE1353" w:rsidRDefault="00EE1353" w:rsidP="00EE1353">
      <w:pPr>
        <w:spacing w:after="240" w:line="360" w:lineRule="auto"/>
        <w:jc w:val="both"/>
        <w:rPr>
          <w:rtl/>
        </w:rPr>
      </w:pPr>
      <w:r>
        <w:rPr>
          <w:rFonts w:hint="cs"/>
          <w:b/>
          <w:bCs/>
          <w:rtl/>
        </w:rPr>
        <w:t>2.</w:t>
      </w:r>
      <w:r>
        <w:rPr>
          <w:rFonts w:hint="cs"/>
          <w:b/>
          <w:bCs/>
          <w:rtl/>
        </w:rPr>
        <w:tab/>
      </w:r>
      <w:r w:rsidRPr="00D94EB7">
        <w:rPr>
          <w:rFonts w:hint="cs"/>
          <w:b/>
          <w:bCs/>
          <w:rtl/>
        </w:rPr>
        <w:t>ב"כ המאשימה</w:t>
      </w:r>
      <w:r>
        <w:rPr>
          <w:rFonts w:hint="cs"/>
          <w:rtl/>
        </w:rPr>
        <w:t xml:space="preserve"> טען כי עבירות של סחר בלתי חוקי בנשק גורמות לפגיעה בערכים של שלמות הגוף </w:t>
      </w:r>
      <w:r w:rsidRPr="00FE4773">
        <w:rPr>
          <w:rFonts w:hint="cs"/>
          <w:rtl/>
        </w:rPr>
        <w:t>וחיי אדם</w:t>
      </w:r>
      <w:r>
        <w:rPr>
          <w:rFonts w:hint="cs"/>
          <w:rtl/>
        </w:rPr>
        <w:t xml:space="preserve">, במיוחד כשמדובר בנשק בלתי תקני כפי שהיה במקרה זה. הפסיקה נתנה בכורה, בעבירות אלו, לשיקולי הרתעה ולאינטרס הציבורי. לגבי נסיבות ביצוע העבירה טען כי היא בוצעה תוך תכנון מראש ותחכום </w:t>
      </w:r>
      <w:r>
        <w:rPr>
          <w:rtl/>
        </w:rPr>
        <w:t>–</w:t>
      </w:r>
      <w:r>
        <w:rPr>
          <w:rFonts w:hint="cs"/>
          <w:rtl/>
        </w:rPr>
        <w:t xml:space="preserve"> שימוש במילת קוד, כשהנאשם מגלה מוטיבציה ודומיננטיות, הוא יוזם העסקה והוא המוציאה לפועל. הוא הוסיף כי הנאשם הורשע בעבירה של סחר בנשק, בעוד בן דודו הורשע בעבירת סיוע בלבד.</w:t>
      </w:r>
    </w:p>
    <w:p w14:paraId="4B9BFB2A" w14:textId="77777777" w:rsidR="00EE1353" w:rsidRDefault="00EE1353" w:rsidP="00EE1353">
      <w:pPr>
        <w:spacing w:after="240" w:line="360" w:lineRule="auto"/>
        <w:jc w:val="both"/>
        <w:rPr>
          <w:rtl/>
        </w:rPr>
      </w:pPr>
      <w:r>
        <w:rPr>
          <w:rFonts w:hint="cs"/>
          <w:rtl/>
        </w:rPr>
        <w:tab/>
        <w:t xml:space="preserve">התובע הפנה למספר פסקי דין שיידונו בהמשך, וכן להנחיית פרקליט המדינה בנוגע לעבירות אלו. הוא ביקש לקבוע מתחם בין 2.5 לבין 6 שנות מאסר. </w:t>
      </w:r>
    </w:p>
    <w:p w14:paraId="39FF4902" w14:textId="77777777" w:rsidR="00EE1353" w:rsidRDefault="00EE1353" w:rsidP="00EE1353">
      <w:pPr>
        <w:spacing w:after="240" w:line="360" w:lineRule="auto"/>
        <w:jc w:val="both"/>
        <w:rPr>
          <w:rtl/>
        </w:rPr>
      </w:pPr>
      <w:r>
        <w:rPr>
          <w:rFonts w:hint="cs"/>
          <w:rtl/>
        </w:rPr>
        <w:tab/>
        <w:t>באשר לעונש במסגרת המתחם ציין ב"כ המאשימה מחד גיסא כי הנאשם הודה וחסך זמן, ומאידך גיסא את העדר ההמלצה של שירות המבחן והעובדה שהנאשם לא עבר הליך שיקום. לפיכך ביקש לגזור על הנאשם עונש של 3 שנות מאסר בפועל, מאסר על תנאי וקנס.</w:t>
      </w:r>
    </w:p>
    <w:p w14:paraId="11A0A7E6" w14:textId="77777777" w:rsidR="00EE1353" w:rsidRDefault="00EE1353" w:rsidP="00EE1353">
      <w:pPr>
        <w:spacing w:after="240" w:line="360" w:lineRule="auto"/>
        <w:jc w:val="both"/>
        <w:rPr>
          <w:rtl/>
        </w:rPr>
      </w:pPr>
      <w:r>
        <w:rPr>
          <w:rFonts w:hint="cs"/>
          <w:b/>
          <w:bCs/>
          <w:rtl/>
        </w:rPr>
        <w:t>3.</w:t>
      </w:r>
      <w:r>
        <w:rPr>
          <w:rFonts w:hint="cs"/>
          <w:b/>
          <w:bCs/>
          <w:rtl/>
        </w:rPr>
        <w:tab/>
      </w:r>
      <w:r w:rsidRPr="00D94EB7">
        <w:rPr>
          <w:rFonts w:hint="cs"/>
          <w:b/>
          <w:bCs/>
          <w:rtl/>
        </w:rPr>
        <w:t>ב"כ הנאשם</w:t>
      </w:r>
      <w:r>
        <w:rPr>
          <w:rFonts w:hint="cs"/>
          <w:rtl/>
        </w:rPr>
        <w:t xml:space="preserve"> ציין כי הנאשם הוא בן 25, ללא עבר פלילי. הוא לא עבר הליך שיקום בשל היותו עצור, והגם שלא הכיר באחריותו במשטרה, בבית המשפט הנאשם הודה אף ללא הסכמה לעניין העונש, נטל אחריות והבין את חומרת מעשיו. הסניגור הפנה לנסיבותיו האישיות של הנאשם כמפורט בתסקיר, החיובי בעיקרו. הוא הוסיף כי הנאשם עובד עבודה סדירה כפקח תנועה. הוא עבר משבר בשל נישואין שנכשלו, ונקלע לקשיים כלכליים. </w:t>
      </w:r>
    </w:p>
    <w:p w14:paraId="5B55D1AF" w14:textId="77777777" w:rsidR="00EE1353" w:rsidRDefault="00EE1353" w:rsidP="00EE1353">
      <w:pPr>
        <w:spacing w:after="240" w:line="360" w:lineRule="auto"/>
        <w:jc w:val="both"/>
        <w:rPr>
          <w:rtl/>
        </w:rPr>
      </w:pPr>
      <w:r>
        <w:rPr>
          <w:rtl/>
        </w:rPr>
        <w:tab/>
      </w:r>
      <w:r>
        <w:rPr>
          <w:rFonts w:hint="cs"/>
          <w:rtl/>
        </w:rPr>
        <w:t xml:space="preserve">הסניגור הפנה אף הוא לפסקי דין, ובין היתר לגזר דינו של שותפו של הנאשם, שהורשע אמנם בעבירת סיוע אך בנסיבות דומות. הוא ציין בעניינו של הנאשם שמדובר בנשק מאולתר ותקול, וטען כי העונש מושפע מהפרטים והנסיבות השונות. הסניגור ביקש להקל בעונשו של הנאשם. </w:t>
      </w:r>
    </w:p>
    <w:p w14:paraId="065A0A15" w14:textId="77777777" w:rsidR="00EE1353" w:rsidRDefault="00EE1353" w:rsidP="00EE1353">
      <w:pPr>
        <w:spacing w:after="240" w:line="360" w:lineRule="auto"/>
        <w:jc w:val="both"/>
        <w:rPr>
          <w:rtl/>
        </w:rPr>
      </w:pPr>
      <w:r w:rsidRPr="00375C73">
        <w:rPr>
          <w:rFonts w:hint="cs"/>
          <w:b/>
          <w:bCs/>
          <w:rtl/>
        </w:rPr>
        <w:t>4.</w:t>
      </w:r>
      <w:r w:rsidRPr="00375C73">
        <w:rPr>
          <w:rFonts w:hint="cs"/>
          <w:b/>
          <w:bCs/>
          <w:rtl/>
        </w:rPr>
        <w:tab/>
        <w:t>הנאשם</w:t>
      </w:r>
      <w:r>
        <w:rPr>
          <w:rFonts w:hint="cs"/>
          <w:rtl/>
        </w:rPr>
        <w:t xml:space="preserve"> עצמו הביע חרטה והתחייב לא לחזור על המעשים. הוא ציין כי היה מטפל באשתו ובאמו. </w:t>
      </w:r>
    </w:p>
    <w:p w14:paraId="4741837F" w14:textId="77777777" w:rsidR="00EE1353" w:rsidRDefault="00EE1353" w:rsidP="00EE1353">
      <w:pPr>
        <w:spacing w:after="240" w:line="360" w:lineRule="auto"/>
        <w:jc w:val="both"/>
        <w:rPr>
          <w:rtl/>
        </w:rPr>
      </w:pPr>
      <w:r w:rsidRPr="00375C73">
        <w:rPr>
          <w:b/>
          <w:bCs/>
          <w:rtl/>
        </w:rPr>
        <w:lastRenderedPageBreak/>
        <w:tab/>
      </w:r>
      <w:r w:rsidRPr="00375C73">
        <w:rPr>
          <w:rFonts w:hint="cs"/>
          <w:b/>
          <w:bCs/>
          <w:rtl/>
        </w:rPr>
        <w:t>אביו של הנאשם</w:t>
      </w:r>
      <w:r>
        <w:rPr>
          <w:rFonts w:hint="cs"/>
          <w:rtl/>
        </w:rPr>
        <w:t xml:space="preserve"> אף הוא ביקש להוסיף דברים. לדבריו הנאשם הוא הבכור מבין 6 ילדים, עבד אתו כפקח תנועה ופיקח</w:t>
      </w:r>
      <w:r w:rsidRPr="00D63EEB">
        <w:rPr>
          <w:rFonts w:hint="cs"/>
          <w:rtl/>
        </w:rPr>
        <w:t xml:space="preserve"> על 700 איש.</w:t>
      </w:r>
      <w:r>
        <w:rPr>
          <w:rFonts w:hint="cs"/>
          <w:rtl/>
        </w:rPr>
        <w:t xml:space="preserve"> לדברי האב בנו</w:t>
      </w:r>
      <w:r w:rsidRPr="00D63EEB">
        <w:rPr>
          <w:rFonts w:hint="cs"/>
          <w:rtl/>
        </w:rPr>
        <w:t xml:space="preserve"> עשה טעות בגלל </w:t>
      </w:r>
      <w:r>
        <w:rPr>
          <w:rFonts w:hint="cs"/>
          <w:rtl/>
        </w:rPr>
        <w:t xml:space="preserve">גירושיו, ולא </w:t>
      </w:r>
      <w:r w:rsidRPr="00D63EEB">
        <w:rPr>
          <w:rFonts w:hint="cs"/>
          <w:rtl/>
        </w:rPr>
        <w:t>יחזור על כך.</w:t>
      </w:r>
      <w:r>
        <w:rPr>
          <w:rFonts w:hint="cs"/>
          <w:rtl/>
        </w:rPr>
        <w:t xml:space="preserve"> האב ביקש </w:t>
      </w:r>
      <w:r w:rsidRPr="00D63EEB">
        <w:rPr>
          <w:rFonts w:hint="cs"/>
          <w:rtl/>
        </w:rPr>
        <w:t>לרחם על</w:t>
      </w:r>
      <w:r>
        <w:rPr>
          <w:rFonts w:hint="cs"/>
          <w:rtl/>
        </w:rPr>
        <w:t xml:space="preserve"> בנו והביע חשש שיושפע בתקופת מאסרו</w:t>
      </w:r>
      <w:r w:rsidRPr="00D63EEB">
        <w:rPr>
          <w:rFonts w:hint="cs"/>
          <w:rtl/>
        </w:rPr>
        <w:t>.</w:t>
      </w:r>
    </w:p>
    <w:p w14:paraId="375E7DFF" w14:textId="77777777" w:rsidR="00EE1353" w:rsidRPr="00375C73" w:rsidRDefault="00EE1353" w:rsidP="00EE1353">
      <w:pPr>
        <w:spacing w:after="240" w:line="360" w:lineRule="auto"/>
        <w:jc w:val="both"/>
        <w:rPr>
          <w:b/>
          <w:bCs/>
          <w:u w:val="single"/>
          <w:rtl/>
        </w:rPr>
      </w:pPr>
      <w:r w:rsidRPr="00375C73">
        <w:rPr>
          <w:rFonts w:hint="cs"/>
          <w:b/>
          <w:bCs/>
          <w:u w:val="single"/>
          <w:rtl/>
        </w:rPr>
        <w:t>תסקיר שירות המבחן</w:t>
      </w:r>
    </w:p>
    <w:p w14:paraId="3F1477D4" w14:textId="77777777" w:rsidR="00EE1353" w:rsidRDefault="00EE1353" w:rsidP="00EE1353">
      <w:pPr>
        <w:spacing w:after="240" w:line="360" w:lineRule="auto"/>
        <w:jc w:val="both"/>
        <w:rPr>
          <w:rtl/>
        </w:rPr>
      </w:pPr>
      <w:r>
        <w:rPr>
          <w:rFonts w:hint="cs"/>
          <w:rtl/>
        </w:rPr>
        <w:t>5.</w:t>
      </w:r>
      <w:r>
        <w:rPr>
          <w:rFonts w:hint="cs"/>
          <w:rtl/>
        </w:rPr>
        <w:tab/>
        <w:t xml:space="preserve">שירות המבחן הגיש תסקיר בעניינו של הנאשם. מהתסקיר עולה כי הנאשם כבן 25, גרוש, בן בכור במשפחה נורמטיבית ותומכת. לפני מעצרו סייע בטיפול באחיו הקטן הסובל מפיגור, וכן באמו שחלתה לאחרונה. הנאשם היה תלמיד מצטיין, עבד כפקח תנועה וזכה להערכה על עבודתו. הוא חווה טלטלה בעקבות גירושיו, והביע רצון לחזור לאורח חיים חיובי ולשקם את חייו לאחר שחרורו. קצין המבחן התרשם מקושי לבחון את הדפוסים הבעייתיים העומדים ברקע העבירה, ומהעדר גבולות פנימיים וברורים. הוא המליץ על עונש הרתעתי ומציב גבולות של מאסר בפועל, תוך התחשבות בתקופת מעצרו של הנאשם עד כה ובכך שמאסר ממושך לא יפתור את הקשיים העומדים בבסיס נטייתו של הנאשם למעורבות פלילית. </w:t>
      </w:r>
    </w:p>
    <w:p w14:paraId="0F45D1D7" w14:textId="77777777" w:rsidR="00EE1353" w:rsidRPr="008F5567" w:rsidRDefault="00EE1353" w:rsidP="00EE1353">
      <w:pPr>
        <w:spacing w:after="240" w:line="360" w:lineRule="auto"/>
        <w:jc w:val="both"/>
        <w:rPr>
          <w:b/>
          <w:bCs/>
          <w:u w:val="single"/>
          <w:rtl/>
        </w:rPr>
      </w:pPr>
      <w:r w:rsidRPr="008F5567">
        <w:rPr>
          <w:rFonts w:hint="cs"/>
          <w:b/>
          <w:bCs/>
          <w:u w:val="single"/>
          <w:rtl/>
        </w:rPr>
        <w:t>מתחם העונש ההולם</w:t>
      </w:r>
    </w:p>
    <w:p w14:paraId="048FE612" w14:textId="77777777" w:rsidR="00EE1353" w:rsidRDefault="00EE1353" w:rsidP="00EE1353">
      <w:pPr>
        <w:spacing w:after="240" w:line="360" w:lineRule="auto"/>
        <w:jc w:val="both"/>
        <w:rPr>
          <w:rtl/>
        </w:rPr>
      </w:pPr>
      <w:r>
        <w:rPr>
          <w:rFonts w:hint="cs"/>
          <w:rtl/>
        </w:rPr>
        <w:t>6.</w:t>
      </w:r>
      <w:r>
        <w:rPr>
          <w:rFonts w:hint="cs"/>
          <w:rtl/>
        </w:rPr>
        <w:tab/>
        <w:t xml:space="preserve">העבירה של  סחר בנשק מביאה להימצאותו של נשק בידי גורמים שאינם מורשים לכך. במצב זה עלול הנשק לשמש למטרות שונות, פליליות ולאומניות. נשק בלתי מורשה עלול לעבר מיד ליד, כך שמרגע שהעבירו לאחר, למוכר הנשק אין שליטה על זהות הגורמים המחזיקים בו. בכך גורמת המכירה לסיכון חייהם ושלמות גופם של אחרים, העשויים להיות גם אנשים תמימים וחפים מפשע. </w:t>
      </w:r>
    </w:p>
    <w:p w14:paraId="1F7A0686" w14:textId="77777777" w:rsidR="00EE1353" w:rsidRPr="006562EF" w:rsidRDefault="00EE1353" w:rsidP="00EE1353">
      <w:pPr>
        <w:spacing w:after="240" w:line="360" w:lineRule="auto"/>
        <w:jc w:val="both"/>
        <w:rPr>
          <w:rFonts w:ascii="Arial" w:hAnsi="Arial"/>
          <w:rtl/>
        </w:rPr>
      </w:pPr>
      <w:r>
        <w:rPr>
          <w:rFonts w:hint="cs"/>
          <w:rtl/>
        </w:rPr>
        <w:t>7.</w:t>
      </w:r>
      <w:r>
        <w:rPr>
          <w:rFonts w:hint="cs"/>
          <w:rtl/>
        </w:rPr>
        <w:tab/>
        <w:t>בית המשפט העליון עמד במקרים רבים על חומרתן של עבירות הסחר בנשק והענישה הנגזרת מכך.</w:t>
      </w:r>
      <w:r w:rsidRPr="006562EF">
        <w:rPr>
          <w:rFonts w:ascii="Arial" w:hAnsi="Arial"/>
          <w:rtl/>
        </w:rPr>
        <w:t xml:space="preserve"> כך, לדוגמא, נקבע </w:t>
      </w:r>
      <w:r w:rsidRPr="006562EF">
        <w:rPr>
          <w:rFonts w:ascii="Arial" w:hAnsi="Arial" w:hint="cs"/>
          <w:rtl/>
        </w:rPr>
        <w:t>ב</w:t>
      </w:r>
      <w:hyperlink r:id="rId10" w:history="1">
        <w:r w:rsidR="00D93461" w:rsidRPr="00D93461">
          <w:rPr>
            <w:rFonts w:ascii="Arial" w:hAnsi="Arial"/>
            <w:color w:val="0000FF"/>
            <w:u w:val="single"/>
            <w:rtl/>
          </w:rPr>
          <w:t>ע"פ 4154/16</w:t>
        </w:r>
      </w:hyperlink>
      <w:r w:rsidRPr="006562EF">
        <w:rPr>
          <w:rFonts w:ascii="Arial" w:hAnsi="Arial" w:hint="cs"/>
          <w:rtl/>
        </w:rPr>
        <w:t xml:space="preserve">, </w:t>
      </w:r>
      <w:r w:rsidRPr="006562EF">
        <w:rPr>
          <w:rFonts w:ascii="Arial" w:hAnsi="Arial" w:hint="cs"/>
          <w:b/>
          <w:bCs/>
          <w:rtl/>
        </w:rPr>
        <w:t>רונן דהוד נ' מדינת ישראל</w:t>
      </w:r>
      <w:r w:rsidRPr="006562EF">
        <w:rPr>
          <w:rFonts w:ascii="Arial" w:hAnsi="Arial" w:hint="cs"/>
          <w:rtl/>
        </w:rPr>
        <w:t xml:space="preserve"> (19.1.17)</w:t>
      </w:r>
      <w:r>
        <w:rPr>
          <w:rFonts w:ascii="Arial" w:hAnsi="Arial" w:hint="cs"/>
          <w:rtl/>
        </w:rPr>
        <w:t xml:space="preserve"> (להלן: </w:t>
      </w:r>
      <w:r w:rsidRPr="008B6344">
        <w:rPr>
          <w:rFonts w:ascii="Arial" w:hAnsi="Arial" w:hint="cs"/>
          <w:b/>
          <w:bCs/>
          <w:rtl/>
        </w:rPr>
        <w:t>עניין רונן דהוד</w:t>
      </w:r>
      <w:r>
        <w:rPr>
          <w:rFonts w:ascii="Arial" w:hAnsi="Arial" w:hint="cs"/>
          <w:rtl/>
        </w:rPr>
        <w:t>)</w:t>
      </w:r>
      <w:r w:rsidRPr="006562EF">
        <w:rPr>
          <w:rFonts w:ascii="Arial" w:hAnsi="Arial" w:hint="cs"/>
          <w:rtl/>
        </w:rPr>
        <w:t>:</w:t>
      </w:r>
    </w:p>
    <w:p w14:paraId="27590F2F" w14:textId="77777777" w:rsidR="00EE1353" w:rsidRPr="006562EF" w:rsidRDefault="00EE1353" w:rsidP="00EE1353">
      <w:pPr>
        <w:spacing w:after="240" w:line="360" w:lineRule="auto"/>
        <w:ind w:left="720" w:right="567"/>
        <w:jc w:val="both"/>
        <w:rPr>
          <w:rFonts w:ascii="Arial" w:hAnsi="Arial"/>
          <w:b/>
          <w:bCs/>
          <w:rtl/>
        </w:rPr>
      </w:pPr>
      <w:r w:rsidRPr="006562EF">
        <w:rPr>
          <w:rFonts w:ascii="Arial" w:hAnsi="Arial" w:hint="cs"/>
          <w:b/>
          <w:bCs/>
          <w:rtl/>
        </w:rPr>
        <w:t>"11</w:t>
      </w:r>
      <w:r w:rsidRPr="006562EF">
        <w:rPr>
          <w:rFonts w:ascii="Arial" w:hAnsi="Arial"/>
          <w:b/>
          <w:bCs/>
          <w:rtl/>
        </w:rPr>
        <w:t xml:space="preserve">. בפסיקתנו נקבע, לא אחת, כי יש לראות את תופעת הסחר הבלתי-חוקי בנשק בחומרה רבה. נפסק כי לא ניתן להשלים עם קיומו של </w:t>
      </w:r>
      <w:r w:rsidRPr="006562EF">
        <w:rPr>
          <w:rFonts w:ascii="Arial" w:hAnsi="Arial" w:hint="cs"/>
          <w:b/>
          <w:bCs/>
          <w:rtl/>
        </w:rPr>
        <w:t>'</w:t>
      </w:r>
      <w:r w:rsidRPr="006562EF">
        <w:rPr>
          <w:rFonts w:ascii="Arial" w:hAnsi="Arial"/>
          <w:b/>
          <w:bCs/>
          <w:rtl/>
        </w:rPr>
        <w:t>שוק</w:t>
      </w:r>
      <w:r w:rsidRPr="006562EF">
        <w:rPr>
          <w:rFonts w:ascii="Arial" w:hAnsi="Arial" w:hint="cs"/>
          <w:b/>
          <w:bCs/>
          <w:rtl/>
        </w:rPr>
        <w:t>'</w:t>
      </w:r>
      <w:r w:rsidRPr="006562EF">
        <w:rPr>
          <w:rFonts w:ascii="Arial" w:hAnsi="Arial"/>
          <w:b/>
          <w:bCs/>
          <w:rtl/>
        </w:rPr>
        <w:t xml:space="preserve"> מחתרתי בלתי-חוקי למכירת כלי נשק, וגדיעתו היא תנאי הכרחי למיגורם של מעשי אלימות חמורים, המתרחשים במקומותינו בתדירות מדאיגה. אלה מתאפשרים, בין היתר, בשל הימצאותם של כלי נשק בידי עבריינים (ראו</w:t>
      </w:r>
      <w:r w:rsidRPr="00107947">
        <w:rPr>
          <w:rFonts w:ascii="Arial" w:hAnsi="Arial"/>
          <w:rtl/>
        </w:rPr>
        <w:t>:</w:t>
      </w:r>
      <w:r w:rsidRPr="00107947">
        <w:rPr>
          <w:rFonts w:ascii="Arial" w:hAnsi="Arial"/>
        </w:rPr>
        <w:t xml:space="preserve"> </w:t>
      </w:r>
      <w:hyperlink r:id="rId11" w:history="1">
        <w:r w:rsidR="00D93461" w:rsidRPr="00D93461">
          <w:rPr>
            <w:rFonts w:ascii="Arial" w:hAnsi="Arial"/>
            <w:color w:val="0000FF"/>
            <w:u w:val="single"/>
            <w:rtl/>
          </w:rPr>
          <w:t>ע"פ 6542/11</w:t>
        </w:r>
      </w:hyperlink>
      <w:r w:rsidRPr="006562EF">
        <w:rPr>
          <w:rFonts w:ascii="Arial" w:hAnsi="Arial" w:hint="cs"/>
          <w:b/>
          <w:bCs/>
          <w:rtl/>
        </w:rPr>
        <w:t>,</w:t>
      </w:r>
      <w:r w:rsidRPr="006562EF">
        <w:rPr>
          <w:rFonts w:ascii="Arial" w:hAnsi="Arial"/>
          <w:b/>
          <w:bCs/>
          <w:rtl/>
        </w:rPr>
        <w:t xml:space="preserve"> </w:t>
      </w:r>
      <w:r w:rsidRPr="00107947">
        <w:rPr>
          <w:rFonts w:ascii="Arial" w:hAnsi="Arial"/>
          <w:rtl/>
        </w:rPr>
        <w:t>מוקטראן נ' מדינת ישראל</w:t>
      </w:r>
      <w:r>
        <w:rPr>
          <w:rFonts w:ascii="Arial" w:hAnsi="Arial"/>
          <w:b/>
          <w:bCs/>
          <w:rtl/>
        </w:rPr>
        <w:t>, פ</w:t>
      </w:r>
      <w:r w:rsidRPr="006562EF">
        <w:rPr>
          <w:rFonts w:ascii="Arial" w:hAnsi="Arial"/>
          <w:b/>
          <w:bCs/>
          <w:rtl/>
        </w:rPr>
        <w:t xml:space="preserve">סקה 6 (25.02.2013)). הדבר חמור שבעתיים במציאות הישראלית, שבה נשק המוחזק באופן בלתי חוקי עלול להגיע אף לידי מעורבים בפעילות חבלנית עוינת על רקע ביטחוני </w:t>
      </w:r>
      <w:r w:rsidRPr="006562EF">
        <w:rPr>
          <w:rFonts w:ascii="Arial" w:hAnsi="Arial" w:hint="cs"/>
          <w:b/>
          <w:bCs/>
          <w:rtl/>
        </w:rPr>
        <w:t xml:space="preserve">... </w:t>
      </w:r>
      <w:r w:rsidRPr="006562EF">
        <w:rPr>
          <w:rFonts w:ascii="Arial" w:hAnsi="Arial"/>
          <w:b/>
          <w:bCs/>
          <w:rtl/>
        </w:rPr>
        <w:t>ואכן, המגמה בשנים האחרונות לגבי עבירות נשק היא של החמרה ברמת ענישתם של המעורבים בהן ומתן ביטוי עונשי ההולם את הסכנה הנשקפת מהם</w:t>
      </w:r>
      <w:r w:rsidRPr="006562EF">
        <w:rPr>
          <w:rFonts w:ascii="Arial" w:hAnsi="Arial" w:hint="cs"/>
          <w:b/>
          <w:bCs/>
          <w:rtl/>
        </w:rPr>
        <w:t>..."</w:t>
      </w:r>
    </w:p>
    <w:p w14:paraId="1EA84303" w14:textId="77777777" w:rsidR="00EE1353" w:rsidRPr="006562EF" w:rsidRDefault="00EE1353" w:rsidP="00EE1353">
      <w:pPr>
        <w:spacing w:after="240" w:line="360" w:lineRule="auto"/>
        <w:jc w:val="both"/>
        <w:rPr>
          <w:rFonts w:ascii="Arial" w:hAnsi="Arial"/>
          <w:rtl/>
        </w:rPr>
      </w:pPr>
      <w:r w:rsidRPr="006562EF">
        <w:rPr>
          <w:rFonts w:ascii="Arial" w:hAnsi="Arial"/>
          <w:rtl/>
        </w:rPr>
        <w:t>ב</w:t>
      </w:r>
      <w:hyperlink r:id="rId12" w:history="1">
        <w:r w:rsidR="00D93461" w:rsidRPr="00D93461">
          <w:rPr>
            <w:rFonts w:ascii="Arial" w:hAnsi="Arial"/>
            <w:color w:val="0000FF"/>
            <w:u w:val="single"/>
            <w:rtl/>
          </w:rPr>
          <w:t>ע"פ 9543/09</w:t>
        </w:r>
      </w:hyperlink>
      <w:r w:rsidRPr="006562EF">
        <w:rPr>
          <w:rFonts w:ascii="Arial" w:hAnsi="Arial"/>
          <w:rtl/>
        </w:rPr>
        <w:t xml:space="preserve">, </w:t>
      </w:r>
      <w:r w:rsidRPr="006562EF">
        <w:rPr>
          <w:rFonts w:ascii="Arial" w:hAnsi="Arial"/>
          <w:b/>
          <w:bCs/>
          <w:rtl/>
        </w:rPr>
        <w:t>בילאל רחאל נ' מדינת ישראל</w:t>
      </w:r>
      <w:r w:rsidRPr="006562EF">
        <w:rPr>
          <w:rFonts w:ascii="Arial" w:hAnsi="Arial" w:hint="cs"/>
          <w:rtl/>
        </w:rPr>
        <w:t xml:space="preserve"> (19.1.10)</w:t>
      </w:r>
      <w:r w:rsidRPr="006562EF">
        <w:rPr>
          <w:rFonts w:ascii="Arial" w:hAnsi="Arial"/>
          <w:rtl/>
        </w:rPr>
        <w:t xml:space="preserve">: </w:t>
      </w:r>
    </w:p>
    <w:p w14:paraId="381F81C3" w14:textId="77777777" w:rsidR="00EE1353" w:rsidRPr="006562EF" w:rsidRDefault="00EE1353" w:rsidP="00EE1353">
      <w:pPr>
        <w:spacing w:after="240" w:line="360" w:lineRule="auto"/>
        <w:ind w:left="720" w:right="567"/>
        <w:jc w:val="both"/>
        <w:rPr>
          <w:rFonts w:ascii="Arial" w:hAnsi="Arial"/>
          <w:b/>
          <w:bCs/>
          <w:rtl/>
        </w:rPr>
      </w:pPr>
      <w:r w:rsidRPr="006562EF">
        <w:rPr>
          <w:rFonts w:ascii="Arial" w:hAnsi="Arial"/>
          <w:b/>
          <w:bCs/>
          <w:rtl/>
        </w:rPr>
        <w:t>"אין צורך להכביר מלים על הקלות הבלתי נסבלת שבה סובב נשק חם או קר על נגזרותיו בידיים עברייניות. פעמים שהנשק נוטל חיי אדם, פעמים הוא פוגע בגוף האדם, ופעמים מתמזל המזל ובסייעתא דשמיא, אין פגיעה גופנית. הצד השווה הוא תדיר הפוטנציאל ההרסני, והבעתה האוחזת את הקרבנות. בכגון דא – לצד עבירת הנשק נקבע עונש של 7 שנות מאסר, ובסיוע כבענייננו – מחצית".</w:t>
      </w:r>
    </w:p>
    <w:p w14:paraId="2BC1EE1B" w14:textId="77777777" w:rsidR="00EE1353" w:rsidRPr="006562EF" w:rsidRDefault="00EE1353" w:rsidP="00EE1353">
      <w:pPr>
        <w:spacing w:after="240" w:line="360" w:lineRule="auto"/>
        <w:jc w:val="both"/>
        <w:rPr>
          <w:rFonts w:ascii="Arial" w:hAnsi="Arial"/>
          <w:rtl/>
        </w:rPr>
      </w:pPr>
      <w:r w:rsidRPr="006562EF">
        <w:rPr>
          <w:rFonts w:ascii="Arial" w:hAnsi="Arial"/>
          <w:rtl/>
        </w:rPr>
        <w:t>וב</w:t>
      </w:r>
      <w:hyperlink r:id="rId13" w:history="1">
        <w:r w:rsidR="00D93461" w:rsidRPr="00D93461">
          <w:rPr>
            <w:rFonts w:ascii="Arial" w:hAnsi="Arial"/>
            <w:color w:val="0000FF"/>
            <w:u w:val="single"/>
            <w:rtl/>
          </w:rPr>
          <w:t>ע"פ 761/07</w:t>
        </w:r>
      </w:hyperlink>
      <w:r w:rsidRPr="006562EF">
        <w:rPr>
          <w:rFonts w:ascii="Arial" w:hAnsi="Arial"/>
          <w:rtl/>
        </w:rPr>
        <w:t xml:space="preserve">, </w:t>
      </w:r>
      <w:r w:rsidRPr="006562EF">
        <w:rPr>
          <w:rFonts w:ascii="Arial" w:hAnsi="Arial"/>
          <w:b/>
          <w:bCs/>
          <w:rtl/>
        </w:rPr>
        <w:t>מיכאל אדרי נ' מדינת ישראל</w:t>
      </w:r>
      <w:r w:rsidRPr="006562EF">
        <w:rPr>
          <w:rFonts w:ascii="Arial" w:hAnsi="Arial" w:hint="cs"/>
          <w:rtl/>
        </w:rPr>
        <w:t xml:space="preserve"> (22.2.07)</w:t>
      </w:r>
      <w:r w:rsidRPr="006562EF">
        <w:rPr>
          <w:rFonts w:ascii="Arial" w:hAnsi="Arial"/>
          <w:rtl/>
        </w:rPr>
        <w:t>:</w:t>
      </w:r>
    </w:p>
    <w:p w14:paraId="49D85A99" w14:textId="77777777" w:rsidR="00EE1353" w:rsidRDefault="00EE1353" w:rsidP="00EE1353">
      <w:pPr>
        <w:spacing w:after="240" w:line="360" w:lineRule="auto"/>
        <w:ind w:left="720" w:right="567"/>
        <w:jc w:val="both"/>
        <w:rPr>
          <w:rFonts w:ascii="Arial" w:hAnsi="Arial"/>
          <w:b/>
          <w:bCs/>
          <w:rtl/>
        </w:rPr>
      </w:pPr>
      <w:r w:rsidRPr="006562EF">
        <w:rPr>
          <w:rFonts w:ascii="Arial" w:hAnsi="Arial"/>
          <w:b/>
          <w:bCs/>
          <w:rtl/>
        </w:rPr>
        <w:t xml:space="preserve">"ניסיון השנים האחרונות מלמד שנשק המוחזק שלא כדין מוצא את דרכו לעתים לידיים עוינות, ולעתים נעשה בו שימוש למטרות פליליות, ואלה גם אלה כבר גרמו לא אחת לאובדן חיי אדם, ולפגיעה בחפים מפשע שכל 'חטאם' נבע מכך שהם נקלעו בדרך מקרה לזירת הפשע. כדי להילחם בכל אלה צריך העונש לבטא את סלידתה של החברה ודעתה הנחרצת שלא להשלים עם עבריינות בכלל, ומסוג זה בפרט". </w:t>
      </w:r>
    </w:p>
    <w:p w14:paraId="0C1882CA" w14:textId="77777777" w:rsidR="00EE1353" w:rsidRPr="00107947" w:rsidRDefault="00EE1353" w:rsidP="00EE1353">
      <w:pPr>
        <w:spacing w:after="240" w:line="360" w:lineRule="auto"/>
        <w:jc w:val="both"/>
        <w:rPr>
          <w:rFonts w:ascii="Arial" w:hAnsi="Arial"/>
          <w:b/>
          <w:bCs/>
          <w:rtl/>
        </w:rPr>
      </w:pPr>
      <w:r>
        <w:rPr>
          <w:rFonts w:ascii="Arial" w:hAnsi="Arial" w:hint="cs"/>
          <w:b/>
          <w:bCs/>
          <w:rtl/>
        </w:rPr>
        <w:t>8.</w:t>
      </w:r>
      <w:r>
        <w:rPr>
          <w:rFonts w:ascii="Arial" w:hAnsi="Arial" w:hint="cs"/>
          <w:b/>
          <w:bCs/>
          <w:rtl/>
        </w:rPr>
        <w:tab/>
      </w:r>
      <w:r>
        <w:rPr>
          <w:rFonts w:hint="cs"/>
          <w:rtl/>
        </w:rPr>
        <w:t>לעניין הפסיקה הנוהגת, שני הצדדים ציינו את גזר דינו של שותפו של הנאשם, ב</w:t>
      </w:r>
      <w:hyperlink r:id="rId14" w:history="1">
        <w:r w:rsidR="00D93461" w:rsidRPr="00D93461">
          <w:rPr>
            <w:color w:val="0000FF"/>
            <w:u w:val="single"/>
            <w:rtl/>
          </w:rPr>
          <w:t>ת"פ (ירושלים) 20477-02-20</w:t>
        </w:r>
      </w:hyperlink>
      <w:r>
        <w:rPr>
          <w:rFonts w:hint="cs"/>
          <w:rtl/>
        </w:rPr>
        <w:t xml:space="preserve"> </w:t>
      </w:r>
      <w:r>
        <w:rPr>
          <w:rFonts w:hint="cs"/>
          <w:b/>
          <w:bCs/>
          <w:rtl/>
        </w:rPr>
        <w:t xml:space="preserve">מדינת ישראל נ' מוחמד מזערו </w:t>
      </w:r>
      <w:r>
        <w:rPr>
          <w:rFonts w:hint="cs"/>
          <w:rtl/>
        </w:rPr>
        <w:t xml:space="preserve">(16.7.20). לגבי חלקו של זה בעבירה נקבע בגזר הדין כי הוא </w:t>
      </w:r>
      <w:r w:rsidRPr="005A38C2">
        <w:rPr>
          <w:rFonts w:hint="cs"/>
          <w:b/>
          <w:bCs/>
          <w:rtl/>
        </w:rPr>
        <w:t>"לא נטל חלק מרכזי בביצוע העבירה, הוא הורשע כמסייע ופוטנציאל הנזק לא מומש מאחר שהנשק נמכר לסוכן. מאידך גיסא, הנאשם היה שותף פעיל לניהול המשא ומתן לרכישת כלי הנשק בתמורה לסכום גבוה, נהג ברכב בעת ביצוע העבירה וידע כיצד לתקן את הנשק"</w:t>
      </w:r>
      <w:r>
        <w:rPr>
          <w:rFonts w:hint="cs"/>
          <w:rtl/>
        </w:rPr>
        <w:t xml:space="preserve">. נסיבותיו האישיות של נאשם זו דומות לנסיבותיו של הנאשם שבפני. הוא צעיר בן 23, ללא עבר פלילי, אשר השלים את לימודיו התיכוניים ועבד בעבודה נורמטיבית לפני מעצרו. נאשם זה נדון ל-11 חודשי מאסר בפועל ומאסרים מותנים. </w:t>
      </w:r>
    </w:p>
    <w:p w14:paraId="235E45BE" w14:textId="77777777" w:rsidR="00EE1353" w:rsidRDefault="00EE1353" w:rsidP="00EE1353">
      <w:pPr>
        <w:spacing w:after="240" w:line="360" w:lineRule="auto"/>
        <w:jc w:val="both"/>
        <w:rPr>
          <w:rtl/>
        </w:rPr>
      </w:pPr>
      <w:r>
        <w:rPr>
          <w:rFonts w:hint="cs"/>
          <w:rtl/>
        </w:rPr>
        <w:t>9.</w:t>
      </w:r>
      <w:r>
        <w:rPr>
          <w:rFonts w:hint="cs"/>
          <w:rtl/>
        </w:rPr>
        <w:tab/>
        <w:t xml:space="preserve">ב"כ הנאשם הפנה לפסקי דין נוספים: </w:t>
      </w:r>
    </w:p>
    <w:p w14:paraId="72A65300" w14:textId="77777777" w:rsidR="00EE1353" w:rsidRDefault="00EE1353" w:rsidP="00EE1353">
      <w:pPr>
        <w:spacing w:after="240" w:line="360" w:lineRule="auto"/>
        <w:jc w:val="both"/>
        <w:rPr>
          <w:rtl/>
        </w:rPr>
      </w:pPr>
      <w:r>
        <w:rPr>
          <w:rtl/>
        </w:rPr>
        <w:tab/>
      </w:r>
      <w:hyperlink r:id="rId15" w:history="1">
        <w:r w:rsidR="00D93461" w:rsidRPr="00D93461">
          <w:rPr>
            <w:color w:val="0000FF"/>
            <w:u w:val="single"/>
            <w:rtl/>
          </w:rPr>
          <w:t>ת"פ (ירושלים) 52515-03-20</w:t>
        </w:r>
      </w:hyperlink>
      <w:r>
        <w:rPr>
          <w:rFonts w:hint="cs"/>
          <w:rtl/>
        </w:rPr>
        <w:t xml:space="preserve"> </w:t>
      </w:r>
      <w:r>
        <w:rPr>
          <w:rFonts w:hint="cs"/>
          <w:b/>
          <w:bCs/>
          <w:rtl/>
        </w:rPr>
        <w:t>מדינת ישראל נ' מורשד סנדוקה</w:t>
      </w:r>
      <w:r>
        <w:rPr>
          <w:rFonts w:hint="cs"/>
          <w:rtl/>
        </w:rPr>
        <w:t xml:space="preserve"> (10.8.20) </w:t>
      </w:r>
      <w:r>
        <w:rPr>
          <w:rtl/>
        </w:rPr>
        <w:t>–</w:t>
      </w:r>
      <w:r>
        <w:rPr>
          <w:rFonts w:hint="cs"/>
          <w:rtl/>
        </w:rPr>
        <w:t xml:space="preserve"> הנאשם הורשע בהחזקת נשק, תת מקלע מאולתר, ברכבו. נקבע מתחם שבין 12-30 חודשי מאסר בפועל, והנאשם נדון ל-12 חודשי מאסר פועל ומאסרים מותנים. </w:t>
      </w:r>
    </w:p>
    <w:p w14:paraId="71CB240D" w14:textId="77777777" w:rsidR="00EE1353" w:rsidRPr="005A38C2" w:rsidRDefault="00EE1353" w:rsidP="00EE1353">
      <w:pPr>
        <w:spacing w:after="240" w:line="360" w:lineRule="auto"/>
        <w:jc w:val="both"/>
        <w:rPr>
          <w:rtl/>
        </w:rPr>
      </w:pPr>
      <w:r>
        <w:rPr>
          <w:rtl/>
        </w:rPr>
        <w:tab/>
      </w:r>
      <w:hyperlink r:id="rId16" w:history="1">
        <w:r w:rsidR="00D93461" w:rsidRPr="00D93461">
          <w:rPr>
            <w:color w:val="0000FF"/>
            <w:u w:val="single"/>
            <w:rtl/>
          </w:rPr>
          <w:t>ת"פ (חיפה) 4664-01-20</w:t>
        </w:r>
      </w:hyperlink>
      <w:r w:rsidRPr="005A38C2">
        <w:rPr>
          <w:rFonts w:hint="cs"/>
          <w:rtl/>
        </w:rPr>
        <w:t xml:space="preserve"> </w:t>
      </w:r>
      <w:r w:rsidRPr="005A38C2">
        <w:rPr>
          <w:rFonts w:hint="cs"/>
          <w:b/>
          <w:bCs/>
          <w:rtl/>
        </w:rPr>
        <w:t>מדינת ישראל נ' חליל אגבריה</w:t>
      </w:r>
      <w:r w:rsidRPr="005A38C2">
        <w:rPr>
          <w:rFonts w:hint="cs"/>
          <w:rtl/>
        </w:rPr>
        <w:t xml:space="preserve"> (22.7.20) </w:t>
      </w:r>
      <w:r w:rsidRPr="005A38C2">
        <w:rPr>
          <w:rtl/>
        </w:rPr>
        <w:t>–</w:t>
      </w:r>
      <w:r w:rsidRPr="005A38C2">
        <w:rPr>
          <w:rFonts w:hint="cs"/>
          <w:rtl/>
        </w:rPr>
        <w:t xml:space="preserve"> הנאשם הורשע בנסיון לסחר בנשק, בכך שניסה יחד עם אדם אחר לסחור במספר כלי נשק, בעסקאות שבסופו של דבר לא יצאו לפועל. הצדדים הגיעו להסדר טיעון שכלל מאסר בפועל </w:t>
      </w:r>
      <w:r>
        <w:rPr>
          <w:rFonts w:hint="cs"/>
          <w:rtl/>
        </w:rPr>
        <w:t>ל</w:t>
      </w:r>
      <w:r w:rsidRPr="005A38C2">
        <w:rPr>
          <w:rFonts w:hint="cs"/>
          <w:rtl/>
        </w:rPr>
        <w:t xml:space="preserve">תקופה שבין 14-21 חודשים. בית המשפט התחשב בגילו הצעיר של הנאשם, בעברו הנקי ובהודאה ולקיחת האחריות, כמו גם במצבו הכלכלי והמשפחתי המורכב. על הנאשם הוטל עונש של 16 חודשי מאסר בפועל ומאסרים על תנאי. </w:t>
      </w:r>
    </w:p>
    <w:p w14:paraId="19330D12" w14:textId="77777777" w:rsidR="00EE1353" w:rsidRDefault="00EE1353" w:rsidP="00EE1353">
      <w:pPr>
        <w:spacing w:after="240" w:line="360" w:lineRule="auto"/>
        <w:jc w:val="both"/>
        <w:rPr>
          <w:rtl/>
        </w:rPr>
      </w:pPr>
      <w:r>
        <w:rPr>
          <w:rtl/>
        </w:rPr>
        <w:tab/>
      </w:r>
      <w:hyperlink r:id="rId17" w:history="1">
        <w:r w:rsidR="00D93461" w:rsidRPr="00D93461">
          <w:rPr>
            <w:color w:val="0000FF"/>
            <w:u w:val="single"/>
            <w:rtl/>
          </w:rPr>
          <w:t>ת"פ (ירושלים) 35684-04-18</w:t>
        </w:r>
      </w:hyperlink>
      <w:r>
        <w:rPr>
          <w:rFonts w:hint="cs"/>
          <w:rtl/>
        </w:rPr>
        <w:t xml:space="preserve"> </w:t>
      </w:r>
      <w:r>
        <w:rPr>
          <w:rFonts w:hint="cs"/>
          <w:b/>
          <w:bCs/>
          <w:rtl/>
        </w:rPr>
        <w:t>מדינת ישראל נ' פריד שחאדה</w:t>
      </w:r>
      <w:r>
        <w:rPr>
          <w:rFonts w:hint="cs"/>
          <w:rtl/>
        </w:rPr>
        <w:t xml:space="preserve"> (1.5.19) </w:t>
      </w:r>
      <w:r>
        <w:rPr>
          <w:rtl/>
        </w:rPr>
        <w:t>–</w:t>
      </w:r>
      <w:r>
        <w:rPr>
          <w:rFonts w:hint="cs"/>
          <w:rtl/>
        </w:rPr>
        <w:t xml:space="preserve"> הנאשמים הודו והורשעו כל אחד מהם בשתי עבירות של סחר בנשק לסוכן משטרתי סמוי. במקרה אחד מדובר במכירת אקדח, ובמקרה נוסף ברובה סער מסוג </w:t>
      </w:r>
      <w:r>
        <w:rPr>
          <w:rFonts w:hint="cs"/>
        </w:rPr>
        <w:t>M</w:t>
      </w:r>
      <w:r>
        <w:rPr>
          <w:rFonts w:hint="cs"/>
          <w:rtl/>
        </w:rPr>
        <w:t xml:space="preserve">-16. נקבע מתחם ענישה של 28-60 חודשי מאסר לשתי עבירות של תיווך בנשק, ומתחם שבין 40 ל-80 חודש לשתי עסקאות בנשק (אקדח ורובה סער). על נאשם 1 שהורשע בעבירות התיווך נגזרו 28 חודשי מאסר בפועל ועבירות נלוות, ועל נאשם 2 שהורשע בעבירות של עסקאות בנשק נגזרו 48 חודשי מאסר ועונשים נלווים. </w:t>
      </w:r>
    </w:p>
    <w:p w14:paraId="5689393D" w14:textId="77777777" w:rsidR="00EE1353" w:rsidRDefault="00D93461" w:rsidP="00EE1353">
      <w:pPr>
        <w:spacing w:after="240" w:line="360" w:lineRule="auto"/>
        <w:jc w:val="both"/>
        <w:rPr>
          <w:rtl/>
        </w:rPr>
      </w:pPr>
      <w:hyperlink r:id="rId18" w:history="1">
        <w:r w:rsidRPr="00D93461">
          <w:rPr>
            <w:color w:val="0000FF"/>
            <w:u w:val="single"/>
            <w:rtl/>
          </w:rPr>
          <w:t>ת"פ (ירושלים) 69640-10-18</w:t>
        </w:r>
      </w:hyperlink>
      <w:r w:rsidR="00EE1353">
        <w:rPr>
          <w:rFonts w:hint="cs"/>
          <w:rtl/>
        </w:rPr>
        <w:t xml:space="preserve"> </w:t>
      </w:r>
      <w:r w:rsidR="00EE1353">
        <w:rPr>
          <w:rFonts w:hint="cs"/>
          <w:b/>
          <w:bCs/>
          <w:rtl/>
        </w:rPr>
        <w:t>מדינת ישראל נ' מוחמד עדואן</w:t>
      </w:r>
      <w:r w:rsidR="00EE1353">
        <w:rPr>
          <w:rFonts w:hint="cs"/>
          <w:rtl/>
        </w:rPr>
        <w:t xml:space="preserve"> (1.12.19) </w:t>
      </w:r>
      <w:r w:rsidR="00EE1353">
        <w:rPr>
          <w:rtl/>
        </w:rPr>
        <w:t>–</w:t>
      </w:r>
      <w:r w:rsidR="00EE1353">
        <w:rPr>
          <w:rFonts w:hint="cs"/>
          <w:rtl/>
        </w:rPr>
        <w:t xml:space="preserve"> הנאשם הורשע בעבירות של נסיון לסחור בנשק, כשהיה מעורב בנסיון למכירת נשק צה"לי מסוג </w:t>
      </w:r>
      <w:r w:rsidR="00EE1353">
        <w:rPr>
          <w:rFonts w:hint="cs"/>
        </w:rPr>
        <w:t>M</w:t>
      </w:r>
      <w:r w:rsidR="00EE1353">
        <w:rPr>
          <w:rFonts w:hint="cs"/>
          <w:rtl/>
        </w:rPr>
        <w:t xml:space="preserve">-4 שנגנב על ידי חייל. נקבע מתחם ענישה בין 15-36 חודשי מאסר, והנאשם, צעיר נורמטיבי שהביע חרטה והיה מעורב באירוע חד פעמי, נדון ל-12 חודשי מאסר בפועל, מאסר על תנאי וקנס. </w:t>
      </w:r>
    </w:p>
    <w:p w14:paraId="6965C0DC" w14:textId="77777777" w:rsidR="00EE1353" w:rsidRDefault="00D93461" w:rsidP="00EE1353">
      <w:pPr>
        <w:spacing w:after="240" w:line="360" w:lineRule="auto"/>
        <w:jc w:val="both"/>
        <w:rPr>
          <w:rtl/>
        </w:rPr>
      </w:pPr>
      <w:hyperlink r:id="rId19" w:history="1">
        <w:r w:rsidRPr="00D93461">
          <w:rPr>
            <w:color w:val="0000FF"/>
            <w:u w:val="single"/>
            <w:rtl/>
          </w:rPr>
          <w:t>ת"פ (ירושלים) 50551-03-18</w:t>
        </w:r>
      </w:hyperlink>
      <w:r w:rsidR="00EE1353">
        <w:rPr>
          <w:rFonts w:hint="cs"/>
          <w:rtl/>
        </w:rPr>
        <w:t xml:space="preserve"> </w:t>
      </w:r>
      <w:r w:rsidR="00EE1353">
        <w:rPr>
          <w:rFonts w:hint="cs"/>
          <w:b/>
          <w:bCs/>
          <w:rtl/>
        </w:rPr>
        <w:t>מדינת ישראל נ' אחמד עטיה</w:t>
      </w:r>
      <w:r w:rsidR="00EE1353">
        <w:rPr>
          <w:rFonts w:hint="cs"/>
          <w:rtl/>
        </w:rPr>
        <w:t xml:space="preserve"> (13.12.18) </w:t>
      </w:r>
      <w:r w:rsidR="00EE1353">
        <w:rPr>
          <w:rtl/>
        </w:rPr>
        <w:t>–</w:t>
      </w:r>
      <w:r w:rsidR="00EE1353">
        <w:rPr>
          <w:rFonts w:hint="cs"/>
          <w:rtl/>
        </w:rPr>
        <w:t xml:space="preserve"> הנאשם הורשע בעבירה של סחר בנשק, בכך שמכר אקדח לסוכן משטרתי סמוי. גם נאשם זה היה צעיר נורמטיבי ללא הרשעות קודמות. נקבע מתחם שבין 15-40 חודשי מאסר, ועל הנאשם הוטלו 18 חודשי מאסר בפועל ומאסר על תנאי.</w:t>
      </w:r>
    </w:p>
    <w:p w14:paraId="7FA4A0BE" w14:textId="77777777" w:rsidR="00EE1353" w:rsidRDefault="00EE1353" w:rsidP="00EE1353">
      <w:pPr>
        <w:spacing w:after="240" w:line="360" w:lineRule="auto"/>
        <w:jc w:val="both"/>
        <w:rPr>
          <w:rtl/>
        </w:rPr>
      </w:pPr>
      <w:r>
        <w:rPr>
          <w:rFonts w:hint="cs"/>
          <w:rtl/>
        </w:rPr>
        <w:t>10.</w:t>
      </w:r>
      <w:r>
        <w:rPr>
          <w:rFonts w:hint="cs"/>
          <w:rtl/>
        </w:rPr>
        <w:tab/>
        <w:t xml:space="preserve">ב"כ המאשימה הפנה לפסקי דין אלו: </w:t>
      </w:r>
    </w:p>
    <w:p w14:paraId="69B79DA5" w14:textId="77777777" w:rsidR="00EE1353" w:rsidRDefault="00EE1353" w:rsidP="00EE1353">
      <w:pPr>
        <w:spacing w:after="240" w:line="360" w:lineRule="auto"/>
        <w:jc w:val="both"/>
        <w:rPr>
          <w:rtl/>
        </w:rPr>
      </w:pPr>
      <w:r>
        <w:rPr>
          <w:rtl/>
        </w:rPr>
        <w:tab/>
      </w:r>
      <w:r>
        <w:rPr>
          <w:rFonts w:hint="cs"/>
          <w:rtl/>
        </w:rPr>
        <w:t xml:space="preserve">עניין </w:t>
      </w:r>
      <w:r>
        <w:rPr>
          <w:rFonts w:hint="cs"/>
          <w:b/>
          <w:bCs/>
          <w:rtl/>
        </w:rPr>
        <w:t xml:space="preserve">רונן דהוד </w:t>
      </w:r>
      <w:r>
        <w:rPr>
          <w:rFonts w:hint="cs"/>
          <w:rtl/>
        </w:rPr>
        <w:t xml:space="preserve">הנ"ל </w:t>
      </w:r>
      <w:r>
        <w:rPr>
          <w:rtl/>
        </w:rPr>
        <w:t>–</w:t>
      </w:r>
      <w:r>
        <w:rPr>
          <w:rFonts w:hint="cs"/>
          <w:rtl/>
        </w:rPr>
        <w:t xml:space="preserve"> המערער הורשע במסגרת הסדר טיעון בשני אישומים שבכל אחד מהם הורשע בסחר בנשק ובעבירות נשק נוספות. באישום הראשון נטל חלק במכירת אקדח לסוכן משטרתי, ובאישום השני הציע לסוכן למכור לו רובה צייד ומכר לו רובה צייד מאולתר. המערער נדון ל-45 חודשי מאסר ועונשים נוספים. ערעורו נדחה תוך שבית המשפט מציין כי "לא ניתן להשלים עם קיומו של 'שוק' מחתרתי בלתי חוקי למכירת כלי נשק, וקטיעתו היא תנאי הכרחי למיגורם של מעשי אלימות חמורים, המתרחשים במקומותינו בתדירות מדאיגה" (פסקה 11 לפסק הדין). עוד נקבע כי עקרון אחדות הענישה איננו כלל "מתמטי" ואין דין אחד לכל המורשעים באותן עבירות. </w:t>
      </w:r>
    </w:p>
    <w:p w14:paraId="4427B043" w14:textId="77777777" w:rsidR="00EE1353" w:rsidRDefault="00EE1353" w:rsidP="00EE1353">
      <w:pPr>
        <w:spacing w:after="240" w:line="360" w:lineRule="auto"/>
        <w:jc w:val="both"/>
        <w:rPr>
          <w:rtl/>
        </w:rPr>
      </w:pPr>
      <w:r>
        <w:rPr>
          <w:rtl/>
        </w:rPr>
        <w:tab/>
      </w:r>
      <w:hyperlink r:id="rId20" w:history="1">
        <w:r w:rsidR="00D93461" w:rsidRPr="00D93461">
          <w:rPr>
            <w:color w:val="0000FF"/>
            <w:u w:val="single"/>
            <w:rtl/>
          </w:rPr>
          <w:t>ע"פ 1768/14</w:t>
        </w:r>
      </w:hyperlink>
      <w:r>
        <w:rPr>
          <w:rFonts w:hint="cs"/>
          <w:rtl/>
        </w:rPr>
        <w:t xml:space="preserve"> </w:t>
      </w:r>
      <w:r>
        <w:rPr>
          <w:rFonts w:hint="cs"/>
          <w:b/>
          <w:bCs/>
          <w:rtl/>
        </w:rPr>
        <w:t xml:space="preserve">בהא גנאיים נ' מדינת ישראל </w:t>
      </w:r>
      <w:r>
        <w:rPr>
          <w:rFonts w:hint="cs"/>
          <w:rtl/>
        </w:rPr>
        <w:t xml:space="preserve">(22.7.14) </w:t>
      </w:r>
      <w:r>
        <w:rPr>
          <w:rtl/>
        </w:rPr>
        <w:t>–</w:t>
      </w:r>
      <w:r>
        <w:rPr>
          <w:rFonts w:hint="cs"/>
          <w:rtl/>
        </w:rPr>
        <w:t xml:space="preserve"> נדחה ערעורו של המערער, אשר נדון ל-36 חודשי מאסר בפועל לאחר שהורשע בשני אישומים: האחד </w:t>
      </w:r>
      <w:r>
        <w:rPr>
          <w:rtl/>
        </w:rPr>
        <w:t>–</w:t>
      </w:r>
      <w:r>
        <w:rPr>
          <w:rFonts w:hint="cs"/>
          <w:rtl/>
        </w:rPr>
        <w:t xml:space="preserve"> מכירת שתי מחסניות של נשק מסוג </w:t>
      </w:r>
      <w:r>
        <w:rPr>
          <w:rFonts w:hint="cs"/>
        </w:rPr>
        <w:t>M</w:t>
      </w:r>
      <w:r>
        <w:rPr>
          <w:rFonts w:hint="cs"/>
          <w:rtl/>
        </w:rPr>
        <w:t xml:space="preserve">-16 לשוטר, בגינה הורשע בהחזקה ונשיאה של נשק, והשני </w:t>
      </w:r>
      <w:r>
        <w:rPr>
          <w:rtl/>
        </w:rPr>
        <w:t>–</w:t>
      </w:r>
      <w:r>
        <w:rPr>
          <w:rFonts w:hint="cs"/>
          <w:rtl/>
        </w:rPr>
        <w:t xml:space="preserve"> מעורבות במכירת אקדח לשוטר סמוי. בית המשפט העליון ציין כי העונש אינו חורג ממדיניות הענישה הנהוגה, ולא הפחית מעונשו של המערער חרף "הפוטנציאל השיקומי הברור שעולה מתסקירי שירות המבחן".  </w:t>
      </w:r>
    </w:p>
    <w:p w14:paraId="41A1D4B4" w14:textId="77777777" w:rsidR="00EE1353" w:rsidRDefault="00EE1353" w:rsidP="00EE1353">
      <w:pPr>
        <w:spacing w:after="240" w:line="360" w:lineRule="auto"/>
        <w:jc w:val="both"/>
        <w:rPr>
          <w:rtl/>
        </w:rPr>
      </w:pPr>
      <w:r>
        <w:rPr>
          <w:rtl/>
        </w:rPr>
        <w:tab/>
      </w:r>
      <w:hyperlink r:id="rId21" w:history="1">
        <w:r w:rsidR="003304F0" w:rsidRPr="003304F0">
          <w:rPr>
            <w:rStyle w:val="Hyperlink"/>
            <w:rFonts w:hint="eastAsia"/>
            <w:rtl/>
          </w:rPr>
          <w:t>ת</w:t>
        </w:r>
        <w:r w:rsidR="003304F0" w:rsidRPr="003304F0">
          <w:rPr>
            <w:rStyle w:val="Hyperlink"/>
            <w:rtl/>
          </w:rPr>
          <w:t xml:space="preserve">"פ 50337-07-18 </w:t>
        </w:r>
      </w:hyperlink>
      <w:r>
        <w:rPr>
          <w:rFonts w:hint="cs"/>
          <w:rtl/>
        </w:rPr>
        <w:t xml:space="preserve"> </w:t>
      </w:r>
      <w:r w:rsidRPr="00CE2A74">
        <w:rPr>
          <w:rFonts w:hint="cs"/>
          <w:b/>
          <w:bCs/>
          <w:rtl/>
        </w:rPr>
        <w:t>מדינת ישראל נ' יחיא עבדאלקאדר</w:t>
      </w:r>
      <w:r>
        <w:rPr>
          <w:rFonts w:hint="cs"/>
          <w:rtl/>
        </w:rPr>
        <w:t xml:space="preserve"> (15.4.19) </w:t>
      </w:r>
      <w:r>
        <w:rPr>
          <w:rtl/>
        </w:rPr>
        <w:t>–</w:t>
      </w:r>
      <w:r>
        <w:rPr>
          <w:rFonts w:hint="cs"/>
          <w:rtl/>
        </w:rPr>
        <w:t xml:space="preserve"> הנאשם הורשע על פי הודאתו בעבירת נסיון סחר בנשק, ללא הסכמה לעניין העונש. הנאשם צירף שני תיקים נוספים, שאינם ממין העניין (עבירות של גניבה בידי מורשה וכן עבירות תעבורה שונות), ונדון בגין כולם יחד ל-30 חודשי מאסר בפועל, הפעלת מאסר על תנאי ל-12 חודשים, חציו בחופף ועונשים נוספים. </w:t>
      </w:r>
    </w:p>
    <w:p w14:paraId="7869D979" w14:textId="77777777" w:rsidR="00EE1353" w:rsidRDefault="00EE1353" w:rsidP="00EE1353">
      <w:pPr>
        <w:spacing w:after="240" w:line="360" w:lineRule="auto"/>
        <w:jc w:val="both"/>
        <w:rPr>
          <w:rtl/>
        </w:rPr>
      </w:pPr>
      <w:r>
        <w:rPr>
          <w:rFonts w:hint="cs"/>
          <w:rtl/>
        </w:rPr>
        <w:t>11.</w:t>
      </w:r>
      <w:r>
        <w:rPr>
          <w:rFonts w:hint="cs"/>
          <w:rtl/>
        </w:rPr>
        <w:tab/>
        <w:t>לעניין הענישה הנוהגת אפנה גם ל</w:t>
      </w:r>
      <w:hyperlink r:id="rId22" w:history="1">
        <w:r w:rsidR="00D93461" w:rsidRPr="00D93461">
          <w:rPr>
            <w:color w:val="0000FF"/>
            <w:u w:val="single"/>
            <w:rtl/>
          </w:rPr>
          <w:t>ת"פ (מחוזי י-ם) 11789-12-16</w:t>
        </w:r>
      </w:hyperlink>
      <w:r w:rsidRPr="00643C7C">
        <w:rPr>
          <w:rtl/>
        </w:rPr>
        <w:t xml:space="preserve"> </w:t>
      </w:r>
      <w:r w:rsidRPr="00643C7C">
        <w:rPr>
          <w:b/>
          <w:bCs/>
          <w:rtl/>
        </w:rPr>
        <w:t>מדינת ישראל נ' מאזן ג'אבר</w:t>
      </w:r>
      <w:r>
        <w:rPr>
          <w:rtl/>
        </w:rPr>
        <w:t xml:space="preserve"> (</w:t>
      </w:r>
      <w:r>
        <w:rPr>
          <w:rFonts w:hint="cs"/>
          <w:rtl/>
        </w:rPr>
        <w:t xml:space="preserve">31.12.17) וערעור עליו </w:t>
      </w:r>
      <w:r>
        <w:rPr>
          <w:rtl/>
        </w:rPr>
        <w:t>–</w:t>
      </w:r>
      <w:r>
        <w:rPr>
          <w:rFonts w:hint="cs"/>
          <w:rtl/>
        </w:rPr>
        <w:t xml:space="preserve"> </w:t>
      </w:r>
      <w:hyperlink r:id="rId23" w:history="1">
        <w:r w:rsidR="003304F0" w:rsidRPr="003304F0">
          <w:rPr>
            <w:rStyle w:val="Hyperlink"/>
            <w:rFonts w:hint="eastAsia"/>
            <w:rtl/>
          </w:rPr>
          <w:t>ע</w:t>
        </w:r>
        <w:r w:rsidR="003304F0" w:rsidRPr="003304F0">
          <w:rPr>
            <w:rStyle w:val="Hyperlink"/>
            <w:rtl/>
          </w:rPr>
          <w:t xml:space="preserve">"פ 2844/18 </w:t>
        </w:r>
      </w:hyperlink>
      <w:r>
        <w:rPr>
          <w:rFonts w:hint="cs"/>
          <w:rtl/>
        </w:rPr>
        <w:t xml:space="preserve"> </w:t>
      </w:r>
      <w:r>
        <w:rPr>
          <w:rFonts w:hint="cs"/>
          <w:b/>
          <w:bCs/>
          <w:rtl/>
        </w:rPr>
        <w:t>מאזן ג'אבר נ' מדינת ישראל</w:t>
      </w:r>
      <w:r>
        <w:rPr>
          <w:rFonts w:hint="cs"/>
          <w:rtl/>
        </w:rPr>
        <w:t xml:space="preserve"> (15.1.19); </w:t>
      </w:r>
      <w:hyperlink r:id="rId24" w:history="1">
        <w:r w:rsidR="00D93461" w:rsidRPr="00D93461">
          <w:rPr>
            <w:color w:val="0000FF"/>
            <w:u w:val="single"/>
            <w:rtl/>
          </w:rPr>
          <w:t>ע"פ 8045/17</w:t>
        </w:r>
      </w:hyperlink>
      <w:r>
        <w:rPr>
          <w:rFonts w:hint="cs"/>
          <w:rtl/>
        </w:rPr>
        <w:t xml:space="preserve"> </w:t>
      </w:r>
      <w:r>
        <w:rPr>
          <w:rFonts w:hint="cs"/>
          <w:b/>
          <w:bCs/>
          <w:rtl/>
        </w:rPr>
        <w:t>מחמוד ברנאסי נ' מדינת ישראל</w:t>
      </w:r>
      <w:r>
        <w:rPr>
          <w:rFonts w:hint="cs"/>
          <w:rtl/>
        </w:rPr>
        <w:t xml:space="preserve"> (16.8.18). </w:t>
      </w:r>
    </w:p>
    <w:p w14:paraId="0FC9003B" w14:textId="77777777" w:rsidR="00EE1353" w:rsidRDefault="00EE1353" w:rsidP="00EE1353">
      <w:pPr>
        <w:spacing w:after="240" w:line="360" w:lineRule="auto"/>
        <w:jc w:val="both"/>
        <w:rPr>
          <w:rtl/>
        </w:rPr>
      </w:pPr>
      <w:r>
        <w:rPr>
          <w:rFonts w:hint="cs"/>
          <w:rtl/>
        </w:rPr>
        <w:t>12.</w:t>
      </w:r>
      <w:r>
        <w:rPr>
          <w:rFonts w:hint="cs"/>
          <w:rtl/>
        </w:rPr>
        <w:tab/>
        <w:t xml:space="preserve">העבירה של סחר בנשק היא עבירה חמורה, שתוצאותיה עלולות להיות הרות אסון ולהביא לפגיעה בחיי אדם, שכן מרגע שהנשק יצא משליטתו אין למוכר שליטה על השימוש שייעשה בו. קשה להעלות על הדעת מטרה חיובית שלשמה יבקש אדם לרכוש נשק בלתי חוקי ואף ישקיע סכום של עשרות אלפי ₪ ברכישה, כך בביצוע עבירה זו יש להניח כי הנשק עלול לשמש בפועל לביצוע עבירה, לפגיעה בגופו של אדם ואולי גם לקיפוח חיי אדם. </w:t>
      </w:r>
    </w:p>
    <w:p w14:paraId="2D1A81EB" w14:textId="77777777" w:rsidR="00EE1353" w:rsidRDefault="00EE1353" w:rsidP="00EE1353">
      <w:pPr>
        <w:spacing w:after="240" w:line="360" w:lineRule="auto"/>
        <w:jc w:val="both"/>
        <w:rPr>
          <w:rtl/>
        </w:rPr>
      </w:pPr>
      <w:r>
        <w:rPr>
          <w:rtl/>
        </w:rPr>
        <w:tab/>
      </w:r>
      <w:r>
        <w:rPr>
          <w:rFonts w:hint="cs"/>
          <w:rtl/>
        </w:rPr>
        <w:t>עבירות של אלימות חמורה תוך שימוש בנשק חם הפכו, למרבה הצער, לנפוצות במקומותינו, ויש להילחם בהן גם על ידי פגיעה בזמינות הנשק ובקלות השגתו.</w:t>
      </w:r>
    </w:p>
    <w:p w14:paraId="6CF6EDD5" w14:textId="77777777" w:rsidR="00EE1353" w:rsidRDefault="00EE1353" w:rsidP="00EE1353">
      <w:pPr>
        <w:spacing w:after="240" w:line="360" w:lineRule="auto"/>
        <w:jc w:val="both"/>
        <w:rPr>
          <w:rtl/>
        </w:rPr>
      </w:pPr>
      <w:r>
        <w:rPr>
          <w:rFonts w:hint="cs"/>
          <w:rtl/>
        </w:rPr>
        <w:t>13.</w:t>
      </w:r>
      <w:r>
        <w:rPr>
          <w:rFonts w:hint="cs"/>
          <w:rtl/>
        </w:rPr>
        <w:tab/>
        <w:t xml:space="preserve">במקרה זה, העבירה בוצעה תוך תכנון מוקדם ולאחר משא ומתן שנמשך לפחות יומיים, וכלל שתי פגישות ואף ניסוי פיזי של הנשק. האפשרות להשיג נשק וההתמודדות עם המעצורים מצביעים על מעורבות והבנה של הנאשם ושותפו בתחום הנשק. התמורה שקיבל הנאשם תמורת הנשק גבוהה ועמדה על כ-30,000 ₪, וגם מטעם זה יש צורך בענישה מרתיעה. מנגד יש להביא בחשבון שמדובר במכירה לסוכן משטרתי, כך שבפועל הסיכון לא יכול היה להתממש, אם כי הנאשם לא היה מודע לכך. כמו כן מדובר באירוע חד פעמי, ובנשק תקול, שנעצר פעמיים לאחר יריה בודדת ולא ברור אם אכן תוקן כנטען. </w:t>
      </w:r>
    </w:p>
    <w:p w14:paraId="580EFFEF" w14:textId="77777777" w:rsidR="00EE1353" w:rsidRDefault="00EE1353" w:rsidP="00EE1353">
      <w:pPr>
        <w:spacing w:after="240" w:line="360" w:lineRule="auto"/>
        <w:jc w:val="both"/>
        <w:rPr>
          <w:rtl/>
        </w:rPr>
      </w:pPr>
      <w:r>
        <w:rPr>
          <w:rtl/>
        </w:rPr>
        <w:tab/>
      </w:r>
      <w:r>
        <w:rPr>
          <w:rFonts w:hint="cs"/>
          <w:rtl/>
        </w:rPr>
        <w:t xml:space="preserve">לאור כל האמור אני קובעת לעבירה של סחר בנשק מתחם ענישה הנע בין 20 לבין 40 חודשי מאסר בפועל, בנוסף לעונשים נלווים. </w:t>
      </w:r>
    </w:p>
    <w:p w14:paraId="527D61E5" w14:textId="77777777" w:rsidR="00EE1353" w:rsidRPr="00643C7C" w:rsidRDefault="00EE1353" w:rsidP="00EE1353">
      <w:pPr>
        <w:spacing w:after="240" w:line="360" w:lineRule="auto"/>
        <w:jc w:val="both"/>
        <w:rPr>
          <w:b/>
          <w:bCs/>
          <w:u w:val="single"/>
          <w:rtl/>
        </w:rPr>
      </w:pPr>
      <w:r w:rsidRPr="00643C7C">
        <w:rPr>
          <w:rFonts w:hint="cs"/>
          <w:b/>
          <w:bCs/>
          <w:u w:val="single"/>
          <w:rtl/>
        </w:rPr>
        <w:t>העונש הראוי במקרה זה</w:t>
      </w:r>
    </w:p>
    <w:p w14:paraId="2F216183" w14:textId="77777777" w:rsidR="00EE1353" w:rsidRDefault="00EE1353" w:rsidP="00EE1353">
      <w:pPr>
        <w:spacing w:after="240" w:line="360" w:lineRule="auto"/>
        <w:jc w:val="both"/>
        <w:rPr>
          <w:rtl/>
        </w:rPr>
      </w:pPr>
      <w:r>
        <w:rPr>
          <w:rFonts w:hint="cs"/>
          <w:rtl/>
        </w:rPr>
        <w:t>14.</w:t>
      </w:r>
      <w:r>
        <w:rPr>
          <w:rtl/>
        </w:rPr>
        <w:tab/>
      </w:r>
      <w:r>
        <w:rPr>
          <w:rFonts w:hint="cs"/>
          <w:rtl/>
        </w:rPr>
        <w:t xml:space="preserve"> הנאשם הוא צעיר אשר ניהל עד עתה אורח חיים נורמטיבי, השלים לימודים תיכוניים ועבד במקום עבודה מסודר. התסקיר שהוגש בעניינו חיובי בעיקרו. בתסקיר עלה משבר שעבר הנאשם בעקבות גירושיו וקשיים כלכליים שהתעוררו, אשר יתכן שעמדו ברקע המעשים.</w:t>
      </w:r>
    </w:p>
    <w:p w14:paraId="2EA6B7D5" w14:textId="77777777" w:rsidR="00EE1353" w:rsidRDefault="00EE1353" w:rsidP="00EE1353">
      <w:pPr>
        <w:spacing w:after="240" w:line="360" w:lineRule="auto"/>
        <w:jc w:val="both"/>
        <w:rPr>
          <w:rtl/>
        </w:rPr>
      </w:pPr>
      <w:r>
        <w:rPr>
          <w:rtl/>
        </w:rPr>
        <w:tab/>
      </w:r>
      <w:r>
        <w:rPr>
          <w:rFonts w:hint="cs"/>
          <w:rtl/>
        </w:rPr>
        <w:t xml:space="preserve">הנאשם הודה, הכיר באחריות למעשיו והביע חרטה ורצון לשוב לחיים נורמטיביים. לפיכך עונשו יהיה בחלקו הנמוך של מתחם הענישה. </w:t>
      </w:r>
    </w:p>
    <w:p w14:paraId="4CE726AB" w14:textId="77777777" w:rsidR="00EE1353" w:rsidRDefault="00EE1353" w:rsidP="00EE1353">
      <w:pPr>
        <w:spacing w:after="240" w:line="360" w:lineRule="auto"/>
        <w:jc w:val="both"/>
        <w:rPr>
          <w:rtl/>
        </w:rPr>
      </w:pPr>
      <w:r>
        <w:rPr>
          <w:rFonts w:hint="cs"/>
          <w:rtl/>
        </w:rPr>
        <w:t>15.</w:t>
      </w:r>
      <w:r>
        <w:rPr>
          <w:rFonts w:hint="cs"/>
          <w:rtl/>
        </w:rPr>
        <w:tab/>
        <w:t xml:space="preserve">כאמור, שותפו ובן דודו של הנאשם נדון בגין אותו אירוע ל-11 חודשי מאסר בפועל. עם זאת, השותף הורשע בעבירה חמורה פחות, וחלקו, על פי האמור בגזר הדין, לא היה מרכזי. בעניין זה אפנה גם לפסק הדין בעניין </w:t>
      </w:r>
      <w:r>
        <w:rPr>
          <w:rFonts w:hint="cs"/>
          <w:b/>
          <w:bCs/>
          <w:rtl/>
        </w:rPr>
        <w:t>רונן דהוד</w:t>
      </w:r>
      <w:r>
        <w:rPr>
          <w:rFonts w:hint="cs"/>
          <w:rtl/>
        </w:rPr>
        <w:t xml:space="preserve"> הנ"ל, ולקביעה שעקרון אחדות הענישה אינו עקרון מתמטי, אלא שיש להביאו בחשבון בין כלל השיקולים. </w:t>
      </w:r>
    </w:p>
    <w:p w14:paraId="5AC3421D" w14:textId="77777777" w:rsidR="00EE1353" w:rsidRPr="00643C7C" w:rsidRDefault="00EE1353" w:rsidP="00EE1353">
      <w:pPr>
        <w:spacing w:after="240" w:line="360" w:lineRule="auto"/>
        <w:jc w:val="both"/>
        <w:rPr>
          <w:rtl/>
        </w:rPr>
      </w:pPr>
      <w:r>
        <w:rPr>
          <w:rFonts w:hint="cs"/>
          <w:rtl/>
        </w:rPr>
        <w:t>16.</w:t>
      </w:r>
      <w:r>
        <w:rPr>
          <w:rFonts w:hint="cs"/>
          <w:rtl/>
        </w:rPr>
        <w:tab/>
        <w:t>אני גוזרת, איפוא, על הנאשם עונש כמפורט להלן:</w:t>
      </w:r>
    </w:p>
    <w:p w14:paraId="0FCC4421" w14:textId="77777777" w:rsidR="00EE1353" w:rsidRDefault="00EE1353" w:rsidP="00EE1353">
      <w:pPr>
        <w:spacing w:after="240" w:line="360" w:lineRule="auto"/>
        <w:jc w:val="both"/>
        <w:rPr>
          <w:rtl/>
        </w:rPr>
      </w:pPr>
      <w:r>
        <w:rPr>
          <w:rFonts w:hint="cs"/>
          <w:rtl/>
        </w:rPr>
        <w:t>1.</w:t>
      </w:r>
      <w:r>
        <w:rPr>
          <w:rFonts w:hint="cs"/>
          <w:rtl/>
        </w:rPr>
        <w:tab/>
        <w:t xml:space="preserve">מאסר בפועל לתקופה של 20 חודשים, בניכוי ימי מעצרו. </w:t>
      </w:r>
    </w:p>
    <w:p w14:paraId="2A5E678D" w14:textId="77777777" w:rsidR="00EE1353" w:rsidRDefault="00EE1353" w:rsidP="00EE1353">
      <w:pPr>
        <w:spacing w:after="240" w:line="360" w:lineRule="auto"/>
        <w:jc w:val="both"/>
        <w:rPr>
          <w:rtl/>
        </w:rPr>
      </w:pPr>
      <w:r>
        <w:rPr>
          <w:rFonts w:hint="cs"/>
          <w:rtl/>
        </w:rPr>
        <w:t>2.</w:t>
      </w:r>
      <w:r>
        <w:rPr>
          <w:rFonts w:hint="cs"/>
          <w:rtl/>
        </w:rPr>
        <w:tab/>
        <w:t>מאסר על תנאי ל-6 חודשים למשך 3 שנים על כל עבירת נשק.</w:t>
      </w:r>
    </w:p>
    <w:p w14:paraId="02B76398" w14:textId="77777777" w:rsidR="00EE1353" w:rsidRPr="00B05847" w:rsidRDefault="00EE1353" w:rsidP="00EE1353"/>
    <w:p w14:paraId="507469C0" w14:textId="77777777" w:rsidR="00EE1353" w:rsidRPr="00B05847" w:rsidRDefault="00EE1353" w:rsidP="00EE1353">
      <w:pPr>
        <w:rPr>
          <w:rtl/>
        </w:rPr>
      </w:pPr>
      <w:r>
        <w:rPr>
          <w:rFonts w:hint="cs"/>
          <w:rtl/>
        </w:rPr>
        <w:t xml:space="preserve">זכות ערעור לבית המשפט העליון תוך 45 יום. </w:t>
      </w:r>
    </w:p>
    <w:p w14:paraId="1D09D90D" w14:textId="77777777" w:rsidR="00EE1353" w:rsidRPr="00D93461" w:rsidRDefault="00D93461" w:rsidP="00EE1353">
      <w:pPr>
        <w:rPr>
          <w:color w:val="FFFFFF"/>
          <w:sz w:val="2"/>
          <w:szCs w:val="2"/>
          <w:rtl/>
        </w:rPr>
      </w:pPr>
      <w:r w:rsidRPr="00D93461">
        <w:rPr>
          <w:color w:val="FFFFFF"/>
          <w:sz w:val="2"/>
          <w:szCs w:val="2"/>
          <w:rtl/>
        </w:rPr>
        <w:t>5129371</w:t>
      </w:r>
    </w:p>
    <w:p w14:paraId="1DD87A3A" w14:textId="77777777" w:rsidR="00EE1353" w:rsidRDefault="00D93461" w:rsidP="00EE1353">
      <w:pPr>
        <w:rPr>
          <w:rFonts w:cs="FrankRuehl"/>
          <w:sz w:val="28"/>
          <w:szCs w:val="28"/>
          <w:rtl/>
        </w:rPr>
      </w:pPr>
      <w:bookmarkStart w:id="8" w:name="Nitan"/>
      <w:r w:rsidRPr="00D93461">
        <w:rPr>
          <w:rFonts w:ascii="Arial" w:hAnsi="Arial"/>
          <w:color w:val="FFFFFF"/>
          <w:sz w:val="2"/>
          <w:szCs w:val="2"/>
          <w:rtl/>
        </w:rPr>
        <w:t>54678313</w:t>
      </w:r>
      <w:r>
        <w:rPr>
          <w:rFonts w:ascii="Arial" w:hAnsi="Arial"/>
          <w:rtl/>
        </w:rPr>
        <w:t xml:space="preserve">ניתן היום,  כ"ה תשרי תשפ"א, 13 אוקטובר 2020, בנוכחות הצדדים. </w:t>
      </w:r>
      <w:bookmarkEnd w:id="8"/>
    </w:p>
    <w:p w14:paraId="14D5C6E2" w14:textId="77777777" w:rsidR="00EE1353" w:rsidRDefault="00EE1353" w:rsidP="00D93461">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83B8E56" w14:textId="77777777" w:rsidR="00EE1353" w:rsidRDefault="00EE1353" w:rsidP="00EE1353">
      <w:pPr>
        <w:jc w:val="center"/>
        <w:rPr>
          <w:rFonts w:ascii="Arial" w:hAnsi="Arial" w:cs="FrankRuehl"/>
          <w:sz w:val="28"/>
          <w:szCs w:val="28"/>
          <w:rtl/>
        </w:rPr>
      </w:pPr>
    </w:p>
    <w:p w14:paraId="4FD068F6" w14:textId="77777777" w:rsidR="00D93461" w:rsidRDefault="00D93461" w:rsidP="00D93461">
      <w:pPr>
        <w:rPr>
          <w:rtl/>
        </w:rPr>
      </w:pPr>
    </w:p>
    <w:p w14:paraId="0957788B" w14:textId="77777777" w:rsidR="00D93461" w:rsidRDefault="00D93461" w:rsidP="00D93461">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7BB8116F" w14:textId="77777777" w:rsidR="00215B24" w:rsidRPr="00215B24" w:rsidRDefault="00215B24" w:rsidP="00215B24">
      <w:pPr>
        <w:keepNext/>
        <w:rPr>
          <w:rFonts w:ascii="David" w:hAnsi="David"/>
          <w:color w:val="000000"/>
          <w:sz w:val="22"/>
          <w:szCs w:val="22"/>
          <w:rtl/>
        </w:rPr>
      </w:pPr>
    </w:p>
    <w:p w14:paraId="5F81BE37" w14:textId="77777777" w:rsidR="00215B24" w:rsidRPr="00215B24" w:rsidRDefault="00215B24" w:rsidP="00215B24">
      <w:pPr>
        <w:keepNext/>
        <w:rPr>
          <w:rFonts w:ascii="David" w:hAnsi="David"/>
          <w:color w:val="000000"/>
          <w:sz w:val="22"/>
          <w:szCs w:val="22"/>
          <w:rtl/>
        </w:rPr>
      </w:pPr>
      <w:r w:rsidRPr="00215B24">
        <w:rPr>
          <w:rFonts w:ascii="David" w:hAnsi="David"/>
          <w:color w:val="000000"/>
          <w:sz w:val="22"/>
          <w:szCs w:val="22"/>
          <w:rtl/>
        </w:rPr>
        <w:t>חגית מאק קלמנוביץ 54678313-/</w:t>
      </w:r>
    </w:p>
    <w:p w14:paraId="0F6B3D98" w14:textId="77777777" w:rsidR="00D93461" w:rsidRPr="00D93461" w:rsidRDefault="00215B24" w:rsidP="00215B24">
      <w:pPr>
        <w:rPr>
          <w:color w:val="0000FF"/>
          <w:u w:val="single"/>
        </w:rPr>
      </w:pPr>
      <w:r w:rsidRPr="00215B24">
        <w:rPr>
          <w:color w:val="000000"/>
          <w:u w:val="single"/>
          <w:rtl/>
        </w:rPr>
        <w:t>נוסח מסמך זה כפוף לשינויי ניסוח ועריכה</w:t>
      </w:r>
    </w:p>
    <w:sectPr w:rsidR="00D93461" w:rsidRPr="00D93461" w:rsidSect="00215B24">
      <w:headerReference w:type="even" r:id="rId26"/>
      <w:headerReference w:type="default" r:id="rId27"/>
      <w:footerReference w:type="even" r:id="rId28"/>
      <w:footerReference w:type="default" r:id="rId2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BD33E" w14:textId="77777777" w:rsidR="00D92F2F" w:rsidRDefault="00D92F2F" w:rsidP="00E22DFA">
      <w:r>
        <w:separator/>
      </w:r>
    </w:p>
  </w:endnote>
  <w:endnote w:type="continuationSeparator" w:id="0">
    <w:p w14:paraId="27704FC7" w14:textId="77777777" w:rsidR="00D92F2F" w:rsidRDefault="00D92F2F" w:rsidP="00E22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7B21D" w14:textId="77777777" w:rsidR="00215B24" w:rsidRDefault="00215B24" w:rsidP="00215B2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608EDD4" w14:textId="77777777" w:rsidR="00E45FC5" w:rsidRPr="00215B24" w:rsidRDefault="00215B24" w:rsidP="00215B24">
    <w:pPr>
      <w:pStyle w:val="a5"/>
      <w:pBdr>
        <w:top w:val="single" w:sz="4" w:space="1" w:color="auto"/>
        <w:between w:val="single" w:sz="4" w:space="0" w:color="auto"/>
      </w:pBdr>
      <w:spacing w:after="60"/>
      <w:jc w:val="center"/>
      <w:rPr>
        <w:rFonts w:ascii="FrankRuehl" w:hAnsi="FrankRuehl" w:cs="FrankRuehl"/>
        <w:color w:val="000000"/>
      </w:rPr>
    </w:pPr>
    <w:r w:rsidRPr="00215B2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2D4D9" w14:textId="77777777" w:rsidR="00215B24" w:rsidRDefault="00215B24" w:rsidP="00215B2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205A8">
      <w:rPr>
        <w:rFonts w:ascii="FrankRuehl" w:hAnsi="FrankRuehl" w:cs="FrankRuehl"/>
        <w:noProof/>
        <w:rtl/>
      </w:rPr>
      <w:t>1</w:t>
    </w:r>
    <w:r>
      <w:rPr>
        <w:rFonts w:ascii="FrankRuehl" w:hAnsi="FrankRuehl" w:cs="FrankRuehl"/>
        <w:rtl/>
      </w:rPr>
      <w:fldChar w:fldCharType="end"/>
    </w:r>
  </w:p>
  <w:p w14:paraId="341C6897" w14:textId="77777777" w:rsidR="00E45FC5" w:rsidRPr="00215B24" w:rsidRDefault="00215B24" w:rsidP="00215B24">
    <w:pPr>
      <w:pStyle w:val="a5"/>
      <w:pBdr>
        <w:top w:val="single" w:sz="4" w:space="1" w:color="auto"/>
        <w:between w:val="single" w:sz="4" w:space="0" w:color="auto"/>
      </w:pBdr>
      <w:spacing w:after="60"/>
      <w:jc w:val="center"/>
      <w:rPr>
        <w:rFonts w:ascii="FrankRuehl" w:hAnsi="FrankRuehl" w:cs="FrankRuehl"/>
        <w:color w:val="000000"/>
      </w:rPr>
    </w:pPr>
    <w:r w:rsidRPr="00215B24">
      <w:rPr>
        <w:rFonts w:ascii="FrankRuehl" w:hAnsi="FrankRuehl" w:cs="FrankRuehl"/>
        <w:color w:val="000000"/>
      </w:rPr>
      <w:pict w14:anchorId="702248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06267" w14:textId="77777777" w:rsidR="00D92F2F" w:rsidRDefault="00D92F2F" w:rsidP="00E22DFA">
      <w:r>
        <w:separator/>
      </w:r>
    </w:p>
  </w:footnote>
  <w:footnote w:type="continuationSeparator" w:id="0">
    <w:p w14:paraId="1D6BD99A" w14:textId="77777777" w:rsidR="00D92F2F" w:rsidRDefault="00D92F2F" w:rsidP="00E22D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C4693" w14:textId="77777777" w:rsidR="00D93461" w:rsidRPr="00215B24" w:rsidRDefault="00215B24" w:rsidP="00215B2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20425-02-20</w:t>
    </w:r>
    <w:r>
      <w:rPr>
        <w:rFonts w:ascii="David" w:hAnsi="David"/>
        <w:color w:val="000000"/>
        <w:sz w:val="22"/>
        <w:szCs w:val="22"/>
        <w:rtl/>
      </w:rPr>
      <w:tab/>
      <w:t xml:space="preserve"> מדינת ישראל נ' הייתם מזערו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53D09" w14:textId="77777777" w:rsidR="00D93461" w:rsidRPr="00215B24" w:rsidRDefault="00215B24" w:rsidP="00215B2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20425-02-20</w:t>
    </w:r>
    <w:r>
      <w:rPr>
        <w:rFonts w:ascii="David" w:hAnsi="David"/>
        <w:color w:val="000000"/>
        <w:sz w:val="22"/>
        <w:szCs w:val="22"/>
        <w:rtl/>
      </w:rPr>
      <w:tab/>
      <w:t xml:space="preserve"> מדינת ישראל נ' הייתם מזערו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E1353"/>
    <w:rsid w:val="00215B24"/>
    <w:rsid w:val="003304F0"/>
    <w:rsid w:val="003A33AF"/>
    <w:rsid w:val="0046768C"/>
    <w:rsid w:val="00502379"/>
    <w:rsid w:val="00535F92"/>
    <w:rsid w:val="00627CED"/>
    <w:rsid w:val="006E68AA"/>
    <w:rsid w:val="008E09AB"/>
    <w:rsid w:val="009C4559"/>
    <w:rsid w:val="00A205A8"/>
    <w:rsid w:val="00C258ED"/>
    <w:rsid w:val="00D92F2F"/>
    <w:rsid w:val="00D93461"/>
    <w:rsid w:val="00E22DFA"/>
    <w:rsid w:val="00E45FC5"/>
    <w:rsid w:val="00EE13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8904400"/>
  <w15:chartTrackingRefBased/>
  <w15:docId w15:val="{0B105648-DA4C-44AD-A68E-75D6A808E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E135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E1353"/>
    <w:pPr>
      <w:tabs>
        <w:tab w:val="center" w:pos="4153"/>
        <w:tab w:val="right" w:pos="8306"/>
      </w:tabs>
    </w:pPr>
  </w:style>
  <w:style w:type="character" w:customStyle="1" w:styleId="a4">
    <w:name w:val="כותרת עליונה תו"/>
    <w:link w:val="a3"/>
    <w:rsid w:val="00EE1353"/>
    <w:rPr>
      <w:rFonts w:ascii="Times New Roman" w:eastAsia="Times New Roman" w:hAnsi="Times New Roman" w:cs="David"/>
      <w:sz w:val="24"/>
      <w:szCs w:val="24"/>
    </w:rPr>
  </w:style>
  <w:style w:type="paragraph" w:styleId="a5">
    <w:name w:val="footer"/>
    <w:basedOn w:val="a"/>
    <w:link w:val="a6"/>
    <w:rsid w:val="00EE1353"/>
    <w:pPr>
      <w:tabs>
        <w:tab w:val="center" w:pos="4153"/>
        <w:tab w:val="right" w:pos="8306"/>
      </w:tabs>
    </w:pPr>
  </w:style>
  <w:style w:type="character" w:customStyle="1" w:styleId="a6">
    <w:name w:val="כותרת תחתונה תו"/>
    <w:link w:val="a5"/>
    <w:rsid w:val="00EE1353"/>
    <w:rPr>
      <w:rFonts w:ascii="Times New Roman" w:eastAsia="Times New Roman" w:hAnsi="Times New Roman" w:cs="David"/>
      <w:sz w:val="24"/>
      <w:szCs w:val="24"/>
    </w:rPr>
  </w:style>
  <w:style w:type="table" w:styleId="a7">
    <w:name w:val="Table Grid"/>
    <w:basedOn w:val="a1"/>
    <w:rsid w:val="00EE135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E1353"/>
  </w:style>
  <w:style w:type="character" w:styleId="Hyperlink">
    <w:name w:val="Hyperlink"/>
    <w:rsid w:val="00D934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b2" TargetMode="External"/><Relationship Id="rId13" Type="http://schemas.openxmlformats.org/officeDocument/2006/relationships/hyperlink" Target="http://www.nevo.co.il/case/5724364" TargetMode="External"/><Relationship Id="rId18" Type="http://schemas.openxmlformats.org/officeDocument/2006/relationships/hyperlink" Target="http://www.nevo.co.il/case/25097236"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www.nevo.co.il/case/24402140" TargetMode="External"/><Relationship Id="rId7" Type="http://schemas.openxmlformats.org/officeDocument/2006/relationships/hyperlink" Target="http://www.nevo.co.il/law/70301/144.b2" TargetMode="External"/><Relationship Id="rId12" Type="http://schemas.openxmlformats.org/officeDocument/2006/relationships/hyperlink" Target="http://www.nevo.co.il/case/5764932" TargetMode="External"/><Relationship Id="rId17" Type="http://schemas.openxmlformats.org/officeDocument/2006/relationships/hyperlink" Target="http://www.nevo.co.il/case/23877236" TargetMode="External"/><Relationship Id="rId25"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case/26327799" TargetMode="External"/><Relationship Id="rId20" Type="http://schemas.openxmlformats.org/officeDocument/2006/relationships/hyperlink" Target="http://www.nevo.co.il/case/13023134" TargetMode="External"/><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case/5594979" TargetMode="External"/><Relationship Id="rId24" Type="http://schemas.openxmlformats.org/officeDocument/2006/relationships/hyperlink" Target="http://www.nevo.co.il/case/23750625" TargetMode="External"/><Relationship Id="rId5" Type="http://schemas.openxmlformats.org/officeDocument/2006/relationships/endnotes" Target="endnotes.xml"/><Relationship Id="rId15" Type="http://schemas.openxmlformats.org/officeDocument/2006/relationships/hyperlink" Target="http://www.nevo.co.il/case/26568495" TargetMode="External"/><Relationship Id="rId23" Type="http://schemas.openxmlformats.org/officeDocument/2006/relationships/hyperlink" Target="http://www.nevo.co.il/case/23850993" TargetMode="External"/><Relationship Id="rId28" Type="http://schemas.openxmlformats.org/officeDocument/2006/relationships/footer" Target="footer1.xml"/><Relationship Id="rId10" Type="http://schemas.openxmlformats.org/officeDocument/2006/relationships/hyperlink" Target="http://www.nevo.co.il/case/21474520" TargetMode="External"/><Relationship Id="rId19" Type="http://schemas.openxmlformats.org/officeDocument/2006/relationships/hyperlink" Target="http://www.nevo.co.il/case/23811621"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case/26438872" TargetMode="External"/><Relationship Id="rId22" Type="http://schemas.openxmlformats.org/officeDocument/2006/relationships/hyperlink" Target="http://www.nevo.co.il/case/21725190"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2160</Words>
  <Characters>10804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12939</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3604596</vt:i4>
      </vt:variant>
      <vt:variant>
        <vt:i4>54</vt:i4>
      </vt:variant>
      <vt:variant>
        <vt:i4>0</vt:i4>
      </vt:variant>
      <vt:variant>
        <vt:i4>5</vt:i4>
      </vt:variant>
      <vt:variant>
        <vt:lpwstr>http://www.nevo.co.il/case/23750625</vt:lpwstr>
      </vt:variant>
      <vt:variant>
        <vt:lpwstr/>
      </vt:variant>
      <vt:variant>
        <vt:i4>3342459</vt:i4>
      </vt:variant>
      <vt:variant>
        <vt:i4>51</vt:i4>
      </vt:variant>
      <vt:variant>
        <vt:i4>0</vt:i4>
      </vt:variant>
      <vt:variant>
        <vt:i4>5</vt:i4>
      </vt:variant>
      <vt:variant>
        <vt:lpwstr>http://www.nevo.co.il/case/23850993</vt:lpwstr>
      </vt:variant>
      <vt:variant>
        <vt:lpwstr/>
      </vt:variant>
      <vt:variant>
        <vt:i4>3735670</vt:i4>
      </vt:variant>
      <vt:variant>
        <vt:i4>48</vt:i4>
      </vt:variant>
      <vt:variant>
        <vt:i4>0</vt:i4>
      </vt:variant>
      <vt:variant>
        <vt:i4>5</vt:i4>
      </vt:variant>
      <vt:variant>
        <vt:lpwstr>http://www.nevo.co.il/case/21725190</vt:lpwstr>
      </vt:variant>
      <vt:variant>
        <vt:lpwstr/>
      </vt:variant>
      <vt:variant>
        <vt:i4>3145841</vt:i4>
      </vt:variant>
      <vt:variant>
        <vt:i4>45</vt:i4>
      </vt:variant>
      <vt:variant>
        <vt:i4>0</vt:i4>
      </vt:variant>
      <vt:variant>
        <vt:i4>5</vt:i4>
      </vt:variant>
      <vt:variant>
        <vt:lpwstr>http://www.nevo.co.il/case/24402140</vt:lpwstr>
      </vt:variant>
      <vt:variant>
        <vt:lpwstr/>
      </vt:variant>
      <vt:variant>
        <vt:i4>3211380</vt:i4>
      </vt:variant>
      <vt:variant>
        <vt:i4>42</vt:i4>
      </vt:variant>
      <vt:variant>
        <vt:i4>0</vt:i4>
      </vt:variant>
      <vt:variant>
        <vt:i4>5</vt:i4>
      </vt:variant>
      <vt:variant>
        <vt:lpwstr>http://www.nevo.co.il/case/13023134</vt:lpwstr>
      </vt:variant>
      <vt:variant>
        <vt:lpwstr/>
      </vt:variant>
      <vt:variant>
        <vt:i4>3735664</vt:i4>
      </vt:variant>
      <vt:variant>
        <vt:i4>39</vt:i4>
      </vt:variant>
      <vt:variant>
        <vt:i4>0</vt:i4>
      </vt:variant>
      <vt:variant>
        <vt:i4>5</vt:i4>
      </vt:variant>
      <vt:variant>
        <vt:lpwstr>http://www.nevo.co.il/case/23811621</vt:lpwstr>
      </vt:variant>
      <vt:variant>
        <vt:lpwstr/>
      </vt:variant>
      <vt:variant>
        <vt:i4>3539066</vt:i4>
      </vt:variant>
      <vt:variant>
        <vt:i4>36</vt:i4>
      </vt:variant>
      <vt:variant>
        <vt:i4>0</vt:i4>
      </vt:variant>
      <vt:variant>
        <vt:i4>5</vt:i4>
      </vt:variant>
      <vt:variant>
        <vt:lpwstr>http://www.nevo.co.il/case/25097236</vt:lpwstr>
      </vt:variant>
      <vt:variant>
        <vt:lpwstr/>
      </vt:variant>
      <vt:variant>
        <vt:i4>4063346</vt:i4>
      </vt:variant>
      <vt:variant>
        <vt:i4>33</vt:i4>
      </vt:variant>
      <vt:variant>
        <vt:i4>0</vt:i4>
      </vt:variant>
      <vt:variant>
        <vt:i4>5</vt:i4>
      </vt:variant>
      <vt:variant>
        <vt:lpwstr>http://www.nevo.co.il/case/23877236</vt:lpwstr>
      </vt:variant>
      <vt:variant>
        <vt:lpwstr/>
      </vt:variant>
      <vt:variant>
        <vt:i4>4128887</vt:i4>
      </vt:variant>
      <vt:variant>
        <vt:i4>30</vt:i4>
      </vt:variant>
      <vt:variant>
        <vt:i4>0</vt:i4>
      </vt:variant>
      <vt:variant>
        <vt:i4>5</vt:i4>
      </vt:variant>
      <vt:variant>
        <vt:lpwstr>http://www.nevo.co.il/case/26327799</vt:lpwstr>
      </vt:variant>
      <vt:variant>
        <vt:lpwstr/>
      </vt:variant>
      <vt:variant>
        <vt:i4>3539056</vt:i4>
      </vt:variant>
      <vt:variant>
        <vt:i4>27</vt:i4>
      </vt:variant>
      <vt:variant>
        <vt:i4>0</vt:i4>
      </vt:variant>
      <vt:variant>
        <vt:i4>5</vt:i4>
      </vt:variant>
      <vt:variant>
        <vt:lpwstr>http://www.nevo.co.il/case/26568495</vt:lpwstr>
      </vt:variant>
      <vt:variant>
        <vt:lpwstr/>
      </vt:variant>
      <vt:variant>
        <vt:i4>3735673</vt:i4>
      </vt:variant>
      <vt:variant>
        <vt:i4>24</vt:i4>
      </vt:variant>
      <vt:variant>
        <vt:i4>0</vt:i4>
      </vt:variant>
      <vt:variant>
        <vt:i4>5</vt:i4>
      </vt:variant>
      <vt:variant>
        <vt:lpwstr>http://www.nevo.co.il/case/26438872</vt:lpwstr>
      </vt:variant>
      <vt:variant>
        <vt:lpwstr/>
      </vt:variant>
      <vt:variant>
        <vt:i4>3145841</vt:i4>
      </vt:variant>
      <vt:variant>
        <vt:i4>21</vt:i4>
      </vt:variant>
      <vt:variant>
        <vt:i4>0</vt:i4>
      </vt:variant>
      <vt:variant>
        <vt:i4>5</vt:i4>
      </vt:variant>
      <vt:variant>
        <vt:lpwstr>http://www.nevo.co.il/case/5724364</vt:lpwstr>
      </vt:variant>
      <vt:variant>
        <vt:lpwstr/>
      </vt:variant>
      <vt:variant>
        <vt:i4>3670132</vt:i4>
      </vt:variant>
      <vt:variant>
        <vt:i4>18</vt:i4>
      </vt:variant>
      <vt:variant>
        <vt:i4>0</vt:i4>
      </vt:variant>
      <vt:variant>
        <vt:i4>5</vt:i4>
      </vt:variant>
      <vt:variant>
        <vt:lpwstr>http://www.nevo.co.il/case/5764932</vt:lpwstr>
      </vt:variant>
      <vt:variant>
        <vt:lpwstr/>
      </vt:variant>
      <vt:variant>
        <vt:i4>3932274</vt:i4>
      </vt:variant>
      <vt:variant>
        <vt:i4>15</vt:i4>
      </vt:variant>
      <vt:variant>
        <vt:i4>0</vt:i4>
      </vt:variant>
      <vt:variant>
        <vt:i4>5</vt:i4>
      </vt:variant>
      <vt:variant>
        <vt:lpwstr>http://www.nevo.co.il/case/5594979</vt:lpwstr>
      </vt:variant>
      <vt:variant>
        <vt:lpwstr/>
      </vt:variant>
      <vt:variant>
        <vt:i4>3145847</vt:i4>
      </vt:variant>
      <vt:variant>
        <vt:i4>12</vt:i4>
      </vt:variant>
      <vt:variant>
        <vt:i4>0</vt:i4>
      </vt:variant>
      <vt:variant>
        <vt:i4>5</vt:i4>
      </vt:variant>
      <vt:variant>
        <vt:lpwstr>http://www.nevo.co.il/case/21474520</vt:lpwstr>
      </vt:variant>
      <vt:variant>
        <vt:lpwstr/>
      </vt:variant>
      <vt:variant>
        <vt:i4>7995492</vt:i4>
      </vt:variant>
      <vt:variant>
        <vt:i4>9</vt:i4>
      </vt:variant>
      <vt:variant>
        <vt:i4>0</vt:i4>
      </vt:variant>
      <vt:variant>
        <vt:i4>5</vt:i4>
      </vt:variant>
      <vt:variant>
        <vt:lpwstr>http://www.nevo.co.il/law/70301</vt:lpwstr>
      </vt:variant>
      <vt:variant>
        <vt:lpwstr/>
      </vt:variant>
      <vt:variant>
        <vt:i4>8192050</vt:i4>
      </vt:variant>
      <vt:variant>
        <vt:i4>6</vt:i4>
      </vt:variant>
      <vt:variant>
        <vt:i4>0</vt:i4>
      </vt:variant>
      <vt:variant>
        <vt:i4>5</vt:i4>
      </vt:variant>
      <vt:variant>
        <vt:lpwstr>http://www.nevo.co.il/law/70301/144.b2</vt:lpwstr>
      </vt:variant>
      <vt:variant>
        <vt:lpwstr/>
      </vt:variant>
      <vt:variant>
        <vt:i4>8192050</vt:i4>
      </vt:variant>
      <vt:variant>
        <vt:i4>3</vt:i4>
      </vt:variant>
      <vt:variant>
        <vt:i4>0</vt:i4>
      </vt:variant>
      <vt:variant>
        <vt:i4>5</vt:i4>
      </vt:variant>
      <vt:variant>
        <vt:lpwstr>http://www.nevo.co.il/law/70301/144.b2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2023-12-07T12:30:00Z</dcterms:created>
  <dcterms:modified xsi:type="dcterms:W3CDTF">2023-12-07T12:30:00Z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20425</vt:lpwstr>
  </property>
  <property fmtid="{D5CDD505-2E9C-101B-9397-08002B2CF9AE}" pid="6" name="NEWPARTB">
    <vt:lpwstr>02</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הייתם מזערו</vt:lpwstr>
  </property>
  <property fmtid="{D5CDD505-2E9C-101B-9397-08002B2CF9AE}" pid="10" name="LAWYER">
    <vt:lpwstr>מוסטפא יחיא;גל נשרים </vt:lpwstr>
  </property>
  <property fmtid="{D5CDD505-2E9C-101B-9397-08002B2CF9AE}" pid="11" name="JUDGE">
    <vt:lpwstr>חגית מאק קלמנוביץ</vt:lpwstr>
  </property>
  <property fmtid="{D5CDD505-2E9C-101B-9397-08002B2CF9AE}" pid="12" name="CITY">
    <vt:lpwstr>י-ם</vt:lpwstr>
  </property>
  <property fmtid="{D5CDD505-2E9C-101B-9397-08002B2CF9AE}" pid="13" name="DATE">
    <vt:lpwstr>20201013</vt:lpwstr>
  </property>
  <property fmtid="{D5CDD505-2E9C-101B-9397-08002B2CF9AE}" pid="14" name="TYPE_N_DATE">
    <vt:lpwstr>39020201013</vt:lpwstr>
  </property>
  <property fmtid="{D5CDD505-2E9C-101B-9397-08002B2CF9AE}" pid="15" name="WORDNUMPAGES">
    <vt:lpwstr>7</vt:lpwstr>
  </property>
  <property fmtid="{D5CDD505-2E9C-101B-9397-08002B2CF9AE}" pid="16" name="TYPE_ABS_DATE">
    <vt:lpwstr>390020201013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21474520;5594979;5764932;5724364;26438872;26568495;26327799;23877236;25097236;23811621;13023134;24402140;21725190;23850993;23750625</vt:lpwstr>
  </property>
  <property fmtid="{D5CDD505-2E9C-101B-9397-08002B2CF9AE}" pid="36" name="LAWLISTTMP1">
    <vt:lpwstr>70301/144.b2</vt:lpwstr>
  </property>
</Properties>
</file>