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D559C9" w:rsidRPr="005D5E53" w14:paraId="715A37C5" w14:textId="77777777" w:rsidTr="00BD28E5">
        <w:trPr>
          <w:trHeight w:hRule="exact" w:val="418"/>
          <w:jc w:val="center"/>
        </w:trPr>
        <w:tc>
          <w:tcPr>
            <w:tcW w:w="8721" w:type="dxa"/>
            <w:gridSpan w:val="2"/>
          </w:tcPr>
          <w:p w14:paraId="239DA1F0" w14:textId="77777777" w:rsidR="00D559C9" w:rsidRPr="005D5E53" w:rsidRDefault="00D559C9" w:rsidP="00916152">
            <w:pPr>
              <w:pStyle w:val="a3"/>
              <w:jc w:val="center"/>
              <w:rPr>
                <w:rFonts w:ascii="Tahoma" w:hAnsi="Tahoma" w:cs="Tahoma"/>
                <w:color w:val="000080"/>
                <w:rtl/>
              </w:rPr>
            </w:pPr>
            <w:bookmarkStart w:id="0" w:name="LastJudge"/>
            <w:r w:rsidRPr="005D5E53">
              <w:rPr>
                <w:rFonts w:ascii="Tahoma" w:hAnsi="Tahoma" w:cs="Tahoma"/>
                <w:b/>
                <w:bCs/>
                <w:color w:val="000080"/>
                <w:rtl/>
              </w:rPr>
              <w:t>בית משפט השלום בנצרת</w:t>
            </w:r>
          </w:p>
        </w:tc>
      </w:tr>
      <w:tr w:rsidR="00D559C9" w:rsidRPr="005D5E53" w14:paraId="6A250D62" w14:textId="77777777" w:rsidTr="00BD28E5">
        <w:trPr>
          <w:trHeight w:val="337"/>
          <w:jc w:val="center"/>
        </w:trPr>
        <w:tc>
          <w:tcPr>
            <w:tcW w:w="5057" w:type="dxa"/>
          </w:tcPr>
          <w:p w14:paraId="2D1A7AA0" w14:textId="77777777" w:rsidR="00D559C9" w:rsidRPr="005D5E53" w:rsidRDefault="00D559C9" w:rsidP="00916152">
            <w:pPr>
              <w:rPr>
                <w:rFonts w:ascii="David" w:hAnsi="David"/>
                <w:b/>
                <w:bCs/>
                <w:sz w:val="26"/>
                <w:szCs w:val="26"/>
                <w:rtl/>
              </w:rPr>
            </w:pPr>
            <w:r w:rsidRPr="005D5E53">
              <w:rPr>
                <w:rFonts w:ascii="David" w:hAnsi="David"/>
                <w:b/>
                <w:bCs/>
                <w:sz w:val="26"/>
                <w:szCs w:val="26"/>
                <w:rtl/>
              </w:rPr>
              <w:t>ת"פ 21029-10-19 מדינת ישראל נ' חמד(עציר)</w:t>
            </w:r>
          </w:p>
        </w:tc>
        <w:tc>
          <w:tcPr>
            <w:tcW w:w="3664" w:type="dxa"/>
          </w:tcPr>
          <w:p w14:paraId="6BDF21EA" w14:textId="77777777" w:rsidR="00D559C9" w:rsidRPr="005D5E53" w:rsidRDefault="00D559C9" w:rsidP="00916152">
            <w:pPr>
              <w:pStyle w:val="a3"/>
              <w:jc w:val="right"/>
              <w:rPr>
                <w:rFonts w:cs="FrankRuehl"/>
                <w:sz w:val="28"/>
                <w:szCs w:val="28"/>
                <w:rtl/>
              </w:rPr>
            </w:pPr>
          </w:p>
        </w:tc>
      </w:tr>
    </w:tbl>
    <w:p w14:paraId="2A7F60B7" w14:textId="77777777" w:rsidR="00D559C9" w:rsidRPr="005D5E53" w:rsidRDefault="00D559C9" w:rsidP="00D559C9">
      <w:pPr>
        <w:pStyle w:val="a3"/>
        <w:rPr>
          <w:rtl/>
        </w:rPr>
      </w:pPr>
      <w:r w:rsidRPr="005D5E5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559C9" w:rsidRPr="005D5E53" w14:paraId="33705395" w14:textId="77777777" w:rsidTr="00D559C9">
        <w:trPr>
          <w:trHeight w:val="295"/>
          <w:jc w:val="center"/>
        </w:trPr>
        <w:tc>
          <w:tcPr>
            <w:tcW w:w="923" w:type="dxa"/>
            <w:tcBorders>
              <w:top w:val="nil"/>
              <w:left w:val="nil"/>
              <w:bottom w:val="nil"/>
              <w:right w:val="nil"/>
            </w:tcBorders>
            <w:shd w:val="clear" w:color="auto" w:fill="auto"/>
          </w:tcPr>
          <w:p w14:paraId="73AE0679" w14:textId="77777777" w:rsidR="00D559C9" w:rsidRPr="005D5E53" w:rsidRDefault="00D559C9" w:rsidP="00D559C9">
            <w:pPr>
              <w:jc w:val="both"/>
              <w:rPr>
                <w:rFonts w:ascii="David" w:hAnsi="David"/>
                <w:b/>
                <w:bCs/>
                <w:sz w:val="26"/>
                <w:szCs w:val="26"/>
              </w:rPr>
            </w:pPr>
            <w:r w:rsidRPr="005D5E5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63B406C" w14:textId="77777777" w:rsidR="00D559C9" w:rsidRPr="005D5E53" w:rsidRDefault="00D559C9" w:rsidP="00916152">
            <w:pPr>
              <w:rPr>
                <w:rFonts w:ascii="David" w:hAnsi="David"/>
                <w:b/>
                <w:bCs/>
                <w:sz w:val="26"/>
                <w:szCs w:val="26"/>
                <w:rtl/>
              </w:rPr>
            </w:pPr>
            <w:r w:rsidRPr="005D5E53">
              <w:rPr>
                <w:rFonts w:ascii="David" w:hAnsi="David"/>
                <w:b/>
                <w:bCs/>
                <w:sz w:val="26"/>
                <w:szCs w:val="26"/>
                <w:rtl/>
              </w:rPr>
              <w:t>כבוד השופטת  רות שפילברג כהן</w:t>
            </w:r>
          </w:p>
          <w:p w14:paraId="5A2361CC" w14:textId="77777777" w:rsidR="00D559C9" w:rsidRPr="005D5E53" w:rsidRDefault="00D559C9" w:rsidP="00916152">
            <w:pPr>
              <w:rPr>
                <w:rFonts w:ascii="David" w:hAnsi="David"/>
                <w:b/>
                <w:bCs/>
                <w:sz w:val="26"/>
                <w:szCs w:val="26"/>
                <w:rtl/>
              </w:rPr>
            </w:pPr>
          </w:p>
          <w:p w14:paraId="1A6BC4F9" w14:textId="77777777" w:rsidR="00D559C9" w:rsidRPr="005D5E53" w:rsidRDefault="00D559C9" w:rsidP="00D559C9">
            <w:pPr>
              <w:jc w:val="both"/>
              <w:rPr>
                <w:rFonts w:ascii="David" w:hAnsi="David"/>
                <w:b/>
                <w:bCs/>
                <w:sz w:val="26"/>
                <w:szCs w:val="26"/>
              </w:rPr>
            </w:pPr>
          </w:p>
        </w:tc>
      </w:tr>
      <w:tr w:rsidR="00D559C9" w:rsidRPr="005D5E53" w14:paraId="30AF50CC" w14:textId="77777777" w:rsidTr="00D559C9">
        <w:trPr>
          <w:trHeight w:val="355"/>
          <w:jc w:val="center"/>
        </w:trPr>
        <w:tc>
          <w:tcPr>
            <w:tcW w:w="923" w:type="dxa"/>
            <w:tcBorders>
              <w:top w:val="nil"/>
              <w:left w:val="nil"/>
              <w:bottom w:val="nil"/>
              <w:right w:val="nil"/>
            </w:tcBorders>
            <w:shd w:val="clear" w:color="auto" w:fill="auto"/>
          </w:tcPr>
          <w:p w14:paraId="77434DC6" w14:textId="77777777" w:rsidR="00D559C9" w:rsidRPr="005D5E53" w:rsidRDefault="00D559C9" w:rsidP="00D559C9">
            <w:pPr>
              <w:jc w:val="both"/>
              <w:rPr>
                <w:rFonts w:ascii="David" w:hAnsi="David"/>
                <w:b/>
                <w:bCs/>
                <w:sz w:val="26"/>
                <w:szCs w:val="26"/>
              </w:rPr>
            </w:pPr>
            <w:bookmarkStart w:id="1" w:name="FirstAppellant"/>
            <w:r w:rsidRPr="005D5E53">
              <w:rPr>
                <w:rFonts w:ascii="David" w:hAnsi="David"/>
                <w:b/>
                <w:bCs/>
                <w:sz w:val="26"/>
                <w:szCs w:val="26"/>
                <w:rtl/>
              </w:rPr>
              <w:t>בעניין:</w:t>
            </w:r>
          </w:p>
        </w:tc>
        <w:tc>
          <w:tcPr>
            <w:tcW w:w="4126" w:type="dxa"/>
            <w:tcBorders>
              <w:top w:val="nil"/>
              <w:left w:val="nil"/>
              <w:bottom w:val="nil"/>
              <w:right w:val="nil"/>
            </w:tcBorders>
            <w:shd w:val="clear" w:color="auto" w:fill="auto"/>
          </w:tcPr>
          <w:p w14:paraId="6C0B8C2E" w14:textId="77777777" w:rsidR="00D559C9" w:rsidRPr="005D5E53" w:rsidRDefault="00D559C9" w:rsidP="00916152">
            <w:pPr>
              <w:rPr>
                <w:rFonts w:ascii="David" w:hAnsi="David"/>
                <w:b/>
                <w:bCs/>
                <w:sz w:val="26"/>
                <w:szCs w:val="26"/>
              </w:rPr>
            </w:pPr>
            <w:r w:rsidRPr="005D5E53">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20DA63E" w14:textId="77777777" w:rsidR="00D559C9" w:rsidRPr="005D5E53" w:rsidRDefault="00D559C9" w:rsidP="00D559C9">
            <w:pPr>
              <w:jc w:val="both"/>
              <w:rPr>
                <w:rFonts w:ascii="David" w:hAnsi="David"/>
                <w:b/>
                <w:bCs/>
                <w:sz w:val="26"/>
                <w:szCs w:val="26"/>
              </w:rPr>
            </w:pPr>
          </w:p>
        </w:tc>
      </w:tr>
      <w:bookmarkEnd w:id="1"/>
      <w:tr w:rsidR="00D559C9" w:rsidRPr="005D5E53" w14:paraId="0F3B3251" w14:textId="77777777" w:rsidTr="00D559C9">
        <w:trPr>
          <w:trHeight w:val="355"/>
          <w:jc w:val="center"/>
        </w:trPr>
        <w:tc>
          <w:tcPr>
            <w:tcW w:w="923" w:type="dxa"/>
            <w:tcBorders>
              <w:top w:val="nil"/>
              <w:left w:val="nil"/>
              <w:bottom w:val="nil"/>
              <w:right w:val="nil"/>
            </w:tcBorders>
            <w:shd w:val="clear" w:color="auto" w:fill="auto"/>
          </w:tcPr>
          <w:p w14:paraId="50BB6565" w14:textId="77777777" w:rsidR="00D559C9" w:rsidRPr="005D5E53" w:rsidRDefault="00D559C9" w:rsidP="00D559C9">
            <w:pPr>
              <w:jc w:val="both"/>
              <w:rPr>
                <w:rFonts w:ascii="David" w:hAnsi="David"/>
                <w:b/>
                <w:bCs/>
                <w:sz w:val="26"/>
                <w:szCs w:val="26"/>
                <w:rtl/>
              </w:rPr>
            </w:pPr>
          </w:p>
        </w:tc>
        <w:tc>
          <w:tcPr>
            <w:tcW w:w="4126" w:type="dxa"/>
            <w:tcBorders>
              <w:top w:val="nil"/>
              <w:left w:val="nil"/>
              <w:bottom w:val="nil"/>
              <w:right w:val="nil"/>
            </w:tcBorders>
            <w:shd w:val="clear" w:color="auto" w:fill="auto"/>
          </w:tcPr>
          <w:p w14:paraId="402DB1E0" w14:textId="77777777" w:rsidR="00D559C9" w:rsidRPr="005D5E53" w:rsidRDefault="00D559C9" w:rsidP="00D559C9">
            <w:pPr>
              <w:jc w:val="both"/>
              <w:rPr>
                <w:rFonts w:ascii="David" w:hAnsi="David"/>
                <w:b/>
                <w:bCs/>
                <w:sz w:val="26"/>
                <w:szCs w:val="26"/>
                <w:rtl/>
              </w:rPr>
            </w:pPr>
          </w:p>
        </w:tc>
        <w:tc>
          <w:tcPr>
            <w:tcW w:w="3771" w:type="dxa"/>
            <w:tcBorders>
              <w:top w:val="nil"/>
              <w:left w:val="nil"/>
              <w:bottom w:val="nil"/>
              <w:right w:val="nil"/>
            </w:tcBorders>
            <w:shd w:val="clear" w:color="auto" w:fill="auto"/>
          </w:tcPr>
          <w:p w14:paraId="340DC494" w14:textId="77777777" w:rsidR="00D559C9" w:rsidRPr="005D5E53" w:rsidRDefault="00D559C9" w:rsidP="00D559C9">
            <w:pPr>
              <w:jc w:val="right"/>
              <w:rPr>
                <w:rFonts w:ascii="David" w:hAnsi="David"/>
                <w:b/>
                <w:bCs/>
                <w:sz w:val="26"/>
                <w:szCs w:val="26"/>
                <w:rtl/>
              </w:rPr>
            </w:pPr>
            <w:r w:rsidRPr="005D5E53">
              <w:rPr>
                <w:rFonts w:ascii="David" w:hAnsi="David"/>
                <w:b/>
                <w:bCs/>
                <w:sz w:val="26"/>
                <w:szCs w:val="26"/>
                <w:rtl/>
              </w:rPr>
              <w:t>המאשימה</w:t>
            </w:r>
          </w:p>
        </w:tc>
      </w:tr>
      <w:tr w:rsidR="003257EF" w:rsidRPr="005D5E53" w14:paraId="77A5E35A" w14:textId="77777777" w:rsidTr="00F21D11">
        <w:trPr>
          <w:trHeight w:val="355"/>
          <w:jc w:val="center"/>
        </w:trPr>
        <w:tc>
          <w:tcPr>
            <w:tcW w:w="8820" w:type="dxa"/>
            <w:gridSpan w:val="3"/>
            <w:tcBorders>
              <w:top w:val="nil"/>
              <w:left w:val="nil"/>
              <w:bottom w:val="nil"/>
              <w:right w:val="nil"/>
            </w:tcBorders>
            <w:shd w:val="clear" w:color="auto" w:fill="auto"/>
          </w:tcPr>
          <w:p w14:paraId="6D060B04" w14:textId="77777777" w:rsidR="003257EF" w:rsidRPr="005D5E53" w:rsidRDefault="003257EF" w:rsidP="00D559C9">
            <w:pPr>
              <w:jc w:val="center"/>
              <w:rPr>
                <w:rFonts w:ascii="David" w:hAnsi="David"/>
                <w:b/>
                <w:bCs/>
                <w:sz w:val="26"/>
                <w:szCs w:val="26"/>
                <w:rtl/>
              </w:rPr>
            </w:pPr>
          </w:p>
          <w:p w14:paraId="1BE17E22" w14:textId="77777777" w:rsidR="003257EF" w:rsidRPr="005D5E53" w:rsidRDefault="003257EF" w:rsidP="00D559C9">
            <w:pPr>
              <w:jc w:val="center"/>
              <w:rPr>
                <w:rFonts w:ascii="David" w:hAnsi="David"/>
                <w:b/>
                <w:bCs/>
                <w:sz w:val="26"/>
                <w:szCs w:val="26"/>
                <w:rtl/>
              </w:rPr>
            </w:pPr>
            <w:r w:rsidRPr="005D5E53">
              <w:rPr>
                <w:rFonts w:ascii="David" w:hAnsi="David"/>
                <w:b/>
                <w:bCs/>
                <w:sz w:val="26"/>
                <w:szCs w:val="26"/>
                <w:rtl/>
              </w:rPr>
              <w:t>נגד</w:t>
            </w:r>
          </w:p>
          <w:p w14:paraId="34B0A48F" w14:textId="77777777" w:rsidR="003257EF" w:rsidRPr="005D5E53" w:rsidRDefault="003257EF" w:rsidP="00D559C9">
            <w:pPr>
              <w:jc w:val="both"/>
              <w:rPr>
                <w:rFonts w:ascii="David" w:hAnsi="David"/>
                <w:b/>
                <w:bCs/>
                <w:sz w:val="26"/>
                <w:szCs w:val="26"/>
              </w:rPr>
            </w:pPr>
          </w:p>
        </w:tc>
      </w:tr>
      <w:tr w:rsidR="00D559C9" w:rsidRPr="005D5E53" w14:paraId="642666C5" w14:textId="77777777" w:rsidTr="00D559C9">
        <w:trPr>
          <w:trHeight w:val="355"/>
          <w:jc w:val="center"/>
        </w:trPr>
        <w:tc>
          <w:tcPr>
            <w:tcW w:w="923" w:type="dxa"/>
            <w:tcBorders>
              <w:top w:val="nil"/>
              <w:left w:val="nil"/>
              <w:bottom w:val="nil"/>
              <w:right w:val="nil"/>
            </w:tcBorders>
            <w:shd w:val="clear" w:color="auto" w:fill="auto"/>
          </w:tcPr>
          <w:p w14:paraId="320FF8FE" w14:textId="77777777" w:rsidR="00D559C9" w:rsidRPr="005D5E53" w:rsidRDefault="00D559C9" w:rsidP="00916152">
            <w:pPr>
              <w:rPr>
                <w:rFonts w:ascii="David" w:hAnsi="David"/>
                <w:b/>
                <w:bCs/>
                <w:sz w:val="26"/>
                <w:szCs w:val="26"/>
                <w:rtl/>
              </w:rPr>
            </w:pPr>
          </w:p>
        </w:tc>
        <w:tc>
          <w:tcPr>
            <w:tcW w:w="4126" w:type="dxa"/>
            <w:tcBorders>
              <w:top w:val="nil"/>
              <w:left w:val="nil"/>
              <w:bottom w:val="nil"/>
              <w:right w:val="nil"/>
            </w:tcBorders>
            <w:shd w:val="clear" w:color="auto" w:fill="auto"/>
          </w:tcPr>
          <w:p w14:paraId="29D00782" w14:textId="77777777" w:rsidR="00D559C9" w:rsidRPr="005D5E53" w:rsidRDefault="00D559C9" w:rsidP="00916152">
            <w:pPr>
              <w:rPr>
                <w:rFonts w:ascii="David" w:hAnsi="David"/>
                <w:b/>
                <w:bCs/>
                <w:sz w:val="26"/>
                <w:szCs w:val="26"/>
                <w:rtl/>
              </w:rPr>
            </w:pPr>
            <w:r w:rsidRPr="005D5E53">
              <w:rPr>
                <w:rFonts w:ascii="David" w:hAnsi="David"/>
                <w:b/>
                <w:bCs/>
                <w:sz w:val="26"/>
                <w:szCs w:val="26"/>
                <w:rtl/>
              </w:rPr>
              <w:t>עלי חמד (עציר)</w:t>
            </w:r>
          </w:p>
        </w:tc>
        <w:tc>
          <w:tcPr>
            <w:tcW w:w="3771" w:type="dxa"/>
            <w:tcBorders>
              <w:top w:val="nil"/>
              <w:left w:val="nil"/>
              <w:bottom w:val="nil"/>
              <w:right w:val="nil"/>
            </w:tcBorders>
            <w:shd w:val="clear" w:color="auto" w:fill="auto"/>
          </w:tcPr>
          <w:p w14:paraId="2CBCDAE6" w14:textId="77777777" w:rsidR="00D559C9" w:rsidRPr="005D5E53" w:rsidRDefault="00D559C9" w:rsidP="00D559C9">
            <w:pPr>
              <w:jc w:val="right"/>
              <w:rPr>
                <w:rFonts w:ascii="David" w:hAnsi="David"/>
                <w:b/>
                <w:bCs/>
                <w:sz w:val="26"/>
                <w:szCs w:val="26"/>
              </w:rPr>
            </w:pPr>
          </w:p>
        </w:tc>
      </w:tr>
      <w:tr w:rsidR="00D559C9" w:rsidRPr="005D5E53" w14:paraId="15C1D834" w14:textId="77777777" w:rsidTr="00D559C9">
        <w:trPr>
          <w:trHeight w:val="355"/>
          <w:jc w:val="center"/>
        </w:trPr>
        <w:tc>
          <w:tcPr>
            <w:tcW w:w="923" w:type="dxa"/>
            <w:tcBorders>
              <w:top w:val="nil"/>
              <w:left w:val="nil"/>
              <w:bottom w:val="nil"/>
              <w:right w:val="nil"/>
            </w:tcBorders>
            <w:shd w:val="clear" w:color="auto" w:fill="auto"/>
          </w:tcPr>
          <w:p w14:paraId="30417CC4" w14:textId="77777777" w:rsidR="00D559C9" w:rsidRPr="005D5E53" w:rsidRDefault="00D559C9" w:rsidP="00D559C9">
            <w:pPr>
              <w:jc w:val="both"/>
              <w:rPr>
                <w:rFonts w:ascii="David" w:hAnsi="David"/>
                <w:b/>
                <w:bCs/>
                <w:sz w:val="26"/>
                <w:szCs w:val="26"/>
                <w:rtl/>
              </w:rPr>
            </w:pPr>
          </w:p>
        </w:tc>
        <w:tc>
          <w:tcPr>
            <w:tcW w:w="4126" w:type="dxa"/>
            <w:tcBorders>
              <w:top w:val="nil"/>
              <w:left w:val="nil"/>
              <w:bottom w:val="nil"/>
              <w:right w:val="nil"/>
            </w:tcBorders>
            <w:shd w:val="clear" w:color="auto" w:fill="auto"/>
          </w:tcPr>
          <w:p w14:paraId="5B5C45F1" w14:textId="77777777" w:rsidR="00D559C9" w:rsidRPr="005D5E53" w:rsidRDefault="00D559C9" w:rsidP="00D559C9">
            <w:pPr>
              <w:jc w:val="both"/>
              <w:rPr>
                <w:rFonts w:ascii="David" w:hAnsi="David"/>
                <w:b/>
                <w:bCs/>
                <w:sz w:val="26"/>
                <w:szCs w:val="26"/>
                <w:rtl/>
              </w:rPr>
            </w:pPr>
          </w:p>
        </w:tc>
        <w:tc>
          <w:tcPr>
            <w:tcW w:w="3771" w:type="dxa"/>
            <w:tcBorders>
              <w:top w:val="nil"/>
              <w:left w:val="nil"/>
              <w:bottom w:val="nil"/>
              <w:right w:val="nil"/>
            </w:tcBorders>
            <w:shd w:val="clear" w:color="auto" w:fill="auto"/>
          </w:tcPr>
          <w:p w14:paraId="7DF4071D" w14:textId="77777777" w:rsidR="00D559C9" w:rsidRPr="005D5E53" w:rsidRDefault="00D559C9" w:rsidP="00D559C9">
            <w:pPr>
              <w:jc w:val="right"/>
              <w:rPr>
                <w:rFonts w:ascii="David" w:hAnsi="David"/>
                <w:b/>
                <w:bCs/>
                <w:sz w:val="26"/>
                <w:szCs w:val="26"/>
              </w:rPr>
            </w:pPr>
            <w:r w:rsidRPr="005D5E53">
              <w:rPr>
                <w:rFonts w:ascii="David" w:hAnsi="David"/>
                <w:b/>
                <w:bCs/>
                <w:sz w:val="26"/>
                <w:szCs w:val="26"/>
                <w:rtl/>
              </w:rPr>
              <w:t>הנאשמים</w:t>
            </w:r>
          </w:p>
        </w:tc>
      </w:tr>
    </w:tbl>
    <w:p w14:paraId="488FEF53" w14:textId="77777777" w:rsidR="00BD28E5" w:rsidRDefault="00BD28E5" w:rsidP="005D5E53">
      <w:pPr>
        <w:rPr>
          <w:rFonts w:ascii="Arial" w:hAnsi="Arial"/>
          <w:rtl/>
        </w:rPr>
      </w:pPr>
    </w:p>
    <w:p w14:paraId="54DD11FA" w14:textId="77777777" w:rsidR="003257EF" w:rsidRPr="003257EF" w:rsidRDefault="003257EF" w:rsidP="003257EF">
      <w:pPr>
        <w:spacing w:before="120" w:after="120" w:line="240" w:lineRule="exact"/>
        <w:ind w:left="283" w:hanging="283"/>
        <w:jc w:val="both"/>
        <w:rPr>
          <w:rFonts w:ascii="FrankRuehl" w:hAnsi="FrankRuehl" w:cs="FrankRuehl"/>
          <w:rtl/>
        </w:rPr>
      </w:pPr>
      <w:r w:rsidRPr="003257EF">
        <w:rPr>
          <w:rFonts w:ascii="FrankRuehl" w:hAnsi="FrankRuehl" w:cs="FrankRuehl"/>
          <w:rtl/>
        </w:rPr>
        <w:t xml:space="preserve">חקיקה שאוזכרה: </w:t>
      </w:r>
    </w:p>
    <w:p w14:paraId="400780F5" w14:textId="77777777" w:rsidR="003257EF" w:rsidRPr="003257EF" w:rsidRDefault="003257EF" w:rsidP="003257EF">
      <w:pPr>
        <w:spacing w:before="120" w:after="120" w:line="240" w:lineRule="exact"/>
        <w:ind w:left="283" w:hanging="283"/>
        <w:jc w:val="both"/>
        <w:rPr>
          <w:rFonts w:ascii="FrankRuehl" w:hAnsi="FrankRuehl" w:cs="FrankRuehl"/>
          <w:color w:val="0000FF"/>
          <w:rtl/>
        </w:rPr>
      </w:pPr>
      <w:hyperlink r:id="rId7" w:history="1">
        <w:r w:rsidRPr="003257EF">
          <w:rPr>
            <w:rStyle w:val="Hyperlink"/>
            <w:rFonts w:ascii="FrankRuehl" w:hAnsi="FrankRuehl" w:cs="FrankRuehl"/>
            <w:rtl/>
          </w:rPr>
          <w:t>חוק העונשין, תשל"ז-1977</w:t>
        </w:r>
      </w:hyperlink>
      <w:r w:rsidRPr="003257EF">
        <w:rPr>
          <w:rFonts w:ascii="FrankRuehl" w:hAnsi="FrankRuehl" w:cs="FrankRuehl"/>
          <w:color w:val="0000FF"/>
          <w:u w:val="single"/>
          <w:rtl/>
        </w:rPr>
        <w:t xml:space="preserve">: סע'  </w:t>
      </w:r>
      <w:hyperlink r:id="rId8" w:history="1">
        <w:r w:rsidRPr="003257EF">
          <w:rPr>
            <w:rStyle w:val="Hyperlink"/>
            <w:rFonts w:ascii="FrankRuehl" w:hAnsi="FrankRuehl" w:cs="FrankRuehl"/>
          </w:rPr>
          <w:t>144</w:t>
        </w:r>
      </w:hyperlink>
      <w:r w:rsidRPr="003257EF">
        <w:rPr>
          <w:rFonts w:ascii="FrankRuehl" w:hAnsi="FrankRuehl" w:cs="FrankRuehl"/>
          <w:color w:val="0000FF"/>
          <w:rtl/>
        </w:rPr>
        <w:t xml:space="preserve">(א), </w:t>
      </w:r>
      <w:hyperlink r:id="rId9" w:history="1">
        <w:r w:rsidRPr="003257EF">
          <w:rPr>
            <w:rStyle w:val="Hyperlink"/>
            <w:rFonts w:ascii="FrankRuehl" w:hAnsi="FrankRuehl" w:cs="FrankRuehl"/>
          </w:rPr>
          <w:t>144</w:t>
        </w:r>
      </w:hyperlink>
      <w:r w:rsidRPr="003257EF">
        <w:rPr>
          <w:rFonts w:ascii="FrankRuehl" w:hAnsi="FrankRuehl" w:cs="FrankRuehl"/>
          <w:color w:val="0000FF"/>
          <w:rtl/>
        </w:rPr>
        <w:t>(ב)</w:t>
      </w:r>
    </w:p>
    <w:p w14:paraId="7AEB085F" w14:textId="77777777" w:rsidR="00D559C9" w:rsidRDefault="00D559C9" w:rsidP="003257EF">
      <w:pPr>
        <w:rPr>
          <w:rFonts w:ascii="Arial" w:hAnsi="Arial" w:hint="cs"/>
          <w:rtl/>
        </w:rPr>
      </w:pPr>
      <w:bookmarkStart w:id="2" w:name="LawTable_End"/>
      <w:bookmarkEnd w:id="2"/>
    </w:p>
    <w:p w14:paraId="25AD2EC2"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7FE780E5" w14:textId="77777777" w:rsidR="007C3DB1" w:rsidRP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7C3DB1">
        <w:rPr>
          <w:rFonts w:cs="FrankRuehl"/>
          <w:szCs w:val="26"/>
          <w:rtl/>
        </w:rPr>
        <w:t>גזר דין לנאשם שהורשע על-פי הודאתו בעבירה של החזקת נשק.</w:t>
      </w:r>
    </w:p>
    <w:p w14:paraId="6F48C8C6" w14:textId="77777777" w:rsidR="007C3DB1" w:rsidRDefault="007C3DB1" w:rsidP="007C3DB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עקרון ההלימה‏</w:t>
      </w:r>
    </w:p>
    <w:p w14:paraId="564B503C" w14:textId="77777777" w:rsidR="007C3DB1" w:rsidRDefault="007C3DB1" w:rsidP="007C3DB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שיקולים</w:t>
      </w:r>
    </w:p>
    <w:p w14:paraId="2251F4D3" w14:textId="77777777" w:rsidR="007C3DB1" w:rsidRDefault="007C3DB1" w:rsidP="007C3DB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מתחם הענישה</w:t>
      </w:r>
    </w:p>
    <w:p w14:paraId="3D2A1320"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122C8F9D"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28E3D78" w14:textId="77777777" w:rsidR="007C3DB1" w:rsidRPr="007C3DB1" w:rsidRDefault="007C3DB1" w:rsidP="007C3DB1">
      <w:pPr>
        <w:pBdr>
          <w:top w:val="single" w:sz="4" w:space="1" w:color="auto"/>
          <w:bottom w:val="single" w:sz="4" w:space="1" w:color="auto"/>
        </w:pBdr>
        <w:spacing w:after="120" w:line="320" w:lineRule="exact"/>
        <w:jc w:val="both"/>
        <w:rPr>
          <w:rFonts w:cs="FrankRuehl"/>
          <w:szCs w:val="26"/>
        </w:rPr>
      </w:pPr>
      <w:r w:rsidRPr="007C3DB1">
        <w:rPr>
          <w:rFonts w:cs="FrankRuehl"/>
          <w:szCs w:val="26"/>
          <w:rtl/>
        </w:rPr>
        <w:t xml:space="preserve">הנאשם הורשע על-פי הודאתו, בכתב אישום מתוקן במסגרת הסדר טיעון בעבירה של החזקת נשק לפי </w:t>
      </w:r>
      <w:hyperlink r:id="rId10" w:history="1">
        <w:r w:rsidRPr="007C3DB1">
          <w:rPr>
            <w:rStyle w:val="Hyperlink"/>
            <w:rFonts w:cs="FrankRuehl"/>
            <w:color w:val="auto"/>
            <w:szCs w:val="26"/>
            <w:u w:val="none"/>
            <w:rtl/>
          </w:rPr>
          <w:t>סעיף 144(א)</w:t>
        </w:r>
      </w:hyperlink>
      <w:r w:rsidRPr="007C3DB1">
        <w:rPr>
          <w:rFonts w:cs="FrankRuehl"/>
          <w:szCs w:val="26"/>
          <w:rtl/>
        </w:rPr>
        <w:t xml:space="preserve"> רישא וסיפא, ל</w:t>
      </w:r>
      <w:hyperlink r:id="rId11" w:history="1">
        <w:r w:rsidRPr="007C3DB1">
          <w:rPr>
            <w:rFonts w:cs="FrankRuehl"/>
            <w:szCs w:val="26"/>
            <w:rtl/>
          </w:rPr>
          <w:t>חוק העונשין</w:t>
        </w:r>
      </w:hyperlink>
      <w:r w:rsidRPr="007C3DB1">
        <w:rPr>
          <w:rFonts w:cs="FrankRuehl"/>
          <w:szCs w:val="26"/>
          <w:rtl/>
        </w:rPr>
        <w:t>, התשל"ז-1977.</w:t>
      </w:r>
    </w:p>
    <w:p w14:paraId="35D910B7"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3631A70" w14:textId="77777777" w:rsidR="007C3DB1" w:rsidRPr="007C3DB1" w:rsidRDefault="007C3DB1" w:rsidP="007C3DB1">
      <w:pPr>
        <w:pBdr>
          <w:top w:val="single" w:sz="4" w:space="1" w:color="auto"/>
          <w:bottom w:val="single" w:sz="4" w:space="1" w:color="auto"/>
        </w:pBdr>
        <w:spacing w:after="120" w:line="320" w:lineRule="exact"/>
        <w:jc w:val="both"/>
        <w:rPr>
          <w:rFonts w:cs="FrankRuehl"/>
          <w:szCs w:val="26"/>
          <w:rtl/>
        </w:rPr>
      </w:pPr>
      <w:r w:rsidRPr="007C3DB1">
        <w:rPr>
          <w:rFonts w:cs="FrankRuehl"/>
          <w:szCs w:val="26"/>
          <w:rtl/>
        </w:rPr>
        <w:t>בית המשפט גזר את דינו כדלקמן:</w:t>
      </w:r>
    </w:p>
    <w:p w14:paraId="6BFA3258" w14:textId="77777777" w:rsidR="007C3DB1" w:rsidRPr="007C3DB1" w:rsidRDefault="007C3DB1" w:rsidP="007C3DB1">
      <w:pPr>
        <w:pBdr>
          <w:top w:val="single" w:sz="4" w:space="1" w:color="auto"/>
          <w:bottom w:val="single" w:sz="4" w:space="1" w:color="auto"/>
        </w:pBdr>
        <w:spacing w:after="120" w:line="320" w:lineRule="exact"/>
        <w:jc w:val="both"/>
        <w:rPr>
          <w:rFonts w:cs="FrankRuehl"/>
          <w:szCs w:val="26"/>
          <w:rtl/>
        </w:rPr>
      </w:pPr>
      <w:r w:rsidRPr="007C3DB1">
        <w:rPr>
          <w:rFonts w:cs="FrankRuehl"/>
          <w:szCs w:val="26"/>
          <w:rtl/>
        </w:rPr>
        <w:t>רק במקרים יוצאי דופן, שעניינם בשיקולי שיקום חריגים, נעשית סטייה מרמת ענישה המתחילה במאסר ממושך. בשים לב למגמה ברורה של בית המשפט העליון, לפיה יש להחמיר בענישה בגין עבירות נשק,</w:t>
      </w:r>
      <w:r>
        <w:rPr>
          <w:rFonts w:cs="FrankRuehl"/>
          <w:szCs w:val="26"/>
          <w:rtl/>
        </w:rPr>
        <w:t xml:space="preserve"> </w:t>
      </w:r>
      <w:r w:rsidRPr="007C3DB1">
        <w:rPr>
          <w:rFonts w:cs="FrankRuehl"/>
          <w:szCs w:val="26"/>
          <w:rtl/>
        </w:rPr>
        <w:t xml:space="preserve">קבע בית המשפט כי מתחם העונש ההולם בנסיבות ביצוע העבירה, נע בין 12 לבין 24 חודשי מאסר בפועל. </w:t>
      </w:r>
    </w:p>
    <w:p w14:paraId="786A5D3D" w14:textId="77777777" w:rsidR="007C3DB1" w:rsidRPr="007C3DB1" w:rsidRDefault="007C3DB1" w:rsidP="007C3DB1">
      <w:pPr>
        <w:pBdr>
          <w:top w:val="single" w:sz="4" w:space="1" w:color="auto"/>
          <w:bottom w:val="single" w:sz="4" w:space="1" w:color="auto"/>
        </w:pBdr>
        <w:spacing w:after="120" w:line="320" w:lineRule="exact"/>
        <w:contextualSpacing/>
        <w:jc w:val="both"/>
        <w:rPr>
          <w:rFonts w:cs="FrankRuehl"/>
          <w:szCs w:val="26"/>
          <w:rtl/>
        </w:rPr>
      </w:pPr>
      <w:r w:rsidRPr="007C3DB1">
        <w:rPr>
          <w:rFonts w:cs="FrankRuehl"/>
          <w:szCs w:val="26"/>
          <w:rtl/>
        </w:rPr>
        <w:t xml:space="preserve">בתוך מתחם העונש ההולם, בית המשפט התחשב בנסיבותיו האישיות של הנאשם, העדר עבר פלילי, תקופת השהות במעצר עד תום ההליכים והפגיעה בנאשם ובמשפחתו. בנוסף, ניתן משקל לכך שהמאשימה הגבילה עצמה בהסדר הטיעון לתחתית המתחם העונשי, לשם הקלה בלתי משמעותית </w:t>
      </w:r>
      <w:r w:rsidRPr="007C3DB1">
        <w:rPr>
          <w:rFonts w:cs="FrankRuehl"/>
          <w:szCs w:val="26"/>
          <w:rtl/>
        </w:rPr>
        <w:lastRenderedPageBreak/>
        <w:t>בעונש. בית המשפט מצא כי ראוי, בסופו של דבר, ועל אף שמדובר בענישה החורגת מעט ממתחם העונש, לבוא לקראת הנאשם בגדרי הסדר הטיעון, ולגזור עליו עונש הנמוך במעט מהעונש אליו עתרה המאשימה.</w:t>
      </w:r>
    </w:p>
    <w:p w14:paraId="2387F65B" w14:textId="77777777" w:rsidR="007C3DB1" w:rsidRDefault="007C3DB1" w:rsidP="003257EF">
      <w:pPr>
        <w:rPr>
          <w:rFonts w:ascii="Arial" w:hAnsi="Arial" w:hint="cs"/>
          <w:rtl/>
        </w:rPr>
      </w:pPr>
      <w:bookmarkStart w:id="4" w:name="ABSTRACT_END"/>
      <w:bookmarkEnd w:id="4"/>
    </w:p>
    <w:p w14:paraId="3202CB04" w14:textId="77777777" w:rsidR="007C3DB1" w:rsidRPr="003257EF" w:rsidRDefault="007C3DB1" w:rsidP="003257EF">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59C9" w14:paraId="039EC71C" w14:textId="77777777" w:rsidTr="00D559C9">
        <w:trPr>
          <w:trHeight w:val="355"/>
          <w:jc w:val="center"/>
        </w:trPr>
        <w:tc>
          <w:tcPr>
            <w:tcW w:w="8820" w:type="dxa"/>
            <w:tcBorders>
              <w:top w:val="nil"/>
              <w:left w:val="nil"/>
              <w:bottom w:val="nil"/>
              <w:right w:val="nil"/>
            </w:tcBorders>
            <w:shd w:val="clear" w:color="auto" w:fill="auto"/>
          </w:tcPr>
          <w:p w14:paraId="303316A5" w14:textId="77777777" w:rsidR="005D5E53" w:rsidRPr="005D5E53" w:rsidRDefault="005D5E53" w:rsidP="005D5E53">
            <w:pPr>
              <w:jc w:val="center"/>
              <w:rPr>
                <w:rFonts w:ascii="David" w:hAnsi="David"/>
                <w:b/>
                <w:bCs/>
                <w:sz w:val="28"/>
                <w:szCs w:val="28"/>
                <w:u w:val="single"/>
                <w:rtl/>
              </w:rPr>
            </w:pPr>
            <w:bookmarkStart w:id="5" w:name="PsakDin" w:colFirst="0" w:colLast="0"/>
            <w:bookmarkEnd w:id="0"/>
            <w:r w:rsidRPr="005D5E53">
              <w:rPr>
                <w:rFonts w:ascii="David" w:hAnsi="David"/>
                <w:b/>
                <w:bCs/>
                <w:sz w:val="28"/>
                <w:szCs w:val="28"/>
                <w:u w:val="single"/>
                <w:rtl/>
              </w:rPr>
              <w:t>גזר-דין</w:t>
            </w:r>
          </w:p>
          <w:p w14:paraId="32F888A4" w14:textId="77777777" w:rsidR="00D559C9" w:rsidRPr="005D5E53" w:rsidRDefault="00D559C9" w:rsidP="005D5E53">
            <w:pPr>
              <w:jc w:val="center"/>
              <w:rPr>
                <w:rFonts w:ascii="David" w:hAnsi="David"/>
                <w:bCs/>
                <w:sz w:val="28"/>
                <w:szCs w:val="28"/>
                <w:u w:val="single"/>
                <w:rtl/>
              </w:rPr>
            </w:pPr>
          </w:p>
        </w:tc>
      </w:tr>
      <w:bookmarkEnd w:id="5"/>
    </w:tbl>
    <w:p w14:paraId="7D49343E" w14:textId="77777777" w:rsidR="00D559C9" w:rsidRPr="00B05847" w:rsidRDefault="00D559C9" w:rsidP="00D559C9">
      <w:pPr>
        <w:rPr>
          <w:rFonts w:ascii="Arial" w:hAnsi="Arial"/>
          <w:rtl/>
        </w:rPr>
      </w:pPr>
    </w:p>
    <w:p w14:paraId="7C661BC4" w14:textId="77777777" w:rsidR="00D559C9" w:rsidRDefault="00D559C9" w:rsidP="00D559C9">
      <w:pPr>
        <w:spacing w:line="360" w:lineRule="auto"/>
        <w:jc w:val="both"/>
        <w:rPr>
          <w:rFonts w:ascii="Arial" w:hAnsi="Arial"/>
          <w:b/>
          <w:bCs/>
          <w:sz w:val="22"/>
          <w:szCs w:val="22"/>
          <w:u w:val="single"/>
        </w:rPr>
      </w:pPr>
      <w:r>
        <w:rPr>
          <w:rFonts w:ascii="Arial" w:hAnsi="Arial" w:hint="cs"/>
          <w:b/>
          <w:bCs/>
          <w:u w:val="single"/>
          <w:rtl/>
        </w:rPr>
        <w:t>כתב אישום ורקע</w:t>
      </w:r>
    </w:p>
    <w:p w14:paraId="7444281C" w14:textId="77777777" w:rsidR="00D559C9" w:rsidRDefault="00D559C9" w:rsidP="00D559C9">
      <w:pPr>
        <w:spacing w:line="360" w:lineRule="auto"/>
        <w:jc w:val="both"/>
        <w:rPr>
          <w:rFonts w:ascii="Arial" w:hAnsi="Arial"/>
          <w:b/>
          <w:bCs/>
          <w:u w:val="single"/>
        </w:rPr>
      </w:pPr>
    </w:p>
    <w:p w14:paraId="75C3A863" w14:textId="77777777" w:rsidR="00D559C9" w:rsidRDefault="00D559C9" w:rsidP="00D559C9">
      <w:pPr>
        <w:spacing w:line="360" w:lineRule="auto"/>
        <w:ind w:left="720" w:hanging="720"/>
        <w:jc w:val="both"/>
        <w:rPr>
          <w:rFonts w:ascii="Arial" w:hAnsi="Arial"/>
        </w:rPr>
      </w:pPr>
      <w:r>
        <w:rPr>
          <w:rFonts w:ascii="Arial" w:hAnsi="Arial" w:hint="cs"/>
          <w:rtl/>
        </w:rPr>
        <w:t>1.</w:t>
      </w:r>
      <w:r w:rsidR="005D5E53">
        <w:rPr>
          <w:rFonts w:ascii="Arial" w:hAnsi="Arial" w:hint="cs"/>
          <w:rtl/>
        </w:rPr>
        <w:t xml:space="preserve">        </w:t>
      </w:r>
      <w:r>
        <w:rPr>
          <w:rFonts w:ascii="Arial" w:hAnsi="Arial" w:hint="cs"/>
          <w:rtl/>
        </w:rPr>
        <w:t xml:space="preserve"> </w:t>
      </w:r>
      <w:r>
        <w:rPr>
          <w:rFonts w:ascii="Arial" w:hAnsi="Arial" w:hint="cs"/>
          <w:rtl/>
        </w:rPr>
        <w:tab/>
        <w:t>הנאשם הורשע על-פי הודאתו, בכתב אישום מתוקן במסגרת הסדר טיעון מיום 25.12.19, בעבירה של</w:t>
      </w:r>
      <w:r>
        <w:rPr>
          <w:rFonts w:ascii="Arial" w:hAnsi="Arial" w:hint="cs"/>
          <w:b/>
          <w:bCs/>
          <w:rtl/>
        </w:rPr>
        <w:t xml:space="preserve"> החזקת נשק</w:t>
      </w:r>
      <w:r>
        <w:rPr>
          <w:rFonts w:ascii="Arial" w:hAnsi="Arial" w:hint="cs"/>
          <w:rtl/>
        </w:rPr>
        <w:t xml:space="preserve"> לפי </w:t>
      </w:r>
      <w:hyperlink r:id="rId12" w:history="1">
        <w:r w:rsidR="00BD28E5" w:rsidRPr="00BD28E5">
          <w:rPr>
            <w:rStyle w:val="Hyperlink"/>
            <w:rFonts w:ascii="Arial" w:hAnsi="Arial" w:hint="eastAsia"/>
            <w:rtl/>
          </w:rPr>
          <w:t>סעיף</w:t>
        </w:r>
        <w:r w:rsidR="00BD28E5" w:rsidRPr="00BD28E5">
          <w:rPr>
            <w:rStyle w:val="Hyperlink"/>
            <w:rFonts w:ascii="Arial" w:hAnsi="Arial"/>
            <w:rtl/>
          </w:rPr>
          <w:t xml:space="preserve"> 144(א)</w:t>
        </w:r>
      </w:hyperlink>
      <w:r>
        <w:rPr>
          <w:rFonts w:ascii="Arial" w:hAnsi="Arial" w:hint="cs"/>
          <w:rtl/>
        </w:rPr>
        <w:t xml:space="preserve"> רישא וסיפא</w:t>
      </w:r>
      <w:r>
        <w:rPr>
          <w:rFonts w:ascii="Arial" w:hAnsi="Arial" w:hint="cs"/>
          <w:b/>
          <w:bCs/>
          <w:rtl/>
        </w:rPr>
        <w:t>,</w:t>
      </w:r>
      <w:r>
        <w:rPr>
          <w:rFonts w:ascii="Arial" w:hAnsi="Arial" w:hint="cs"/>
          <w:rtl/>
        </w:rPr>
        <w:t xml:space="preserve"> ל</w:t>
      </w:r>
      <w:hyperlink r:id="rId13" w:history="1">
        <w:r w:rsidR="005D5E53" w:rsidRPr="005D5E53">
          <w:rPr>
            <w:rFonts w:ascii="Arial" w:hAnsi="Arial"/>
            <w:color w:val="0000FF"/>
            <w:u w:val="single"/>
            <w:rtl/>
          </w:rPr>
          <w:t>חוק העונשין</w:t>
        </w:r>
      </w:hyperlink>
      <w:r>
        <w:rPr>
          <w:rFonts w:ascii="Arial" w:hAnsi="Arial" w:hint="cs"/>
          <w:rtl/>
        </w:rPr>
        <w:t>, התשל"ז-1977.</w:t>
      </w:r>
    </w:p>
    <w:p w14:paraId="6E1FE5A8" w14:textId="77777777" w:rsidR="00D559C9" w:rsidRDefault="00D559C9" w:rsidP="00D559C9">
      <w:pPr>
        <w:spacing w:line="360" w:lineRule="auto"/>
        <w:ind w:left="720" w:hanging="720"/>
        <w:jc w:val="both"/>
        <w:rPr>
          <w:rFonts w:ascii="Arial" w:hAnsi="Arial"/>
        </w:rPr>
      </w:pPr>
      <w:r>
        <w:rPr>
          <w:rFonts w:ascii="Arial" w:hAnsi="Arial" w:hint="cs"/>
          <w:rtl/>
        </w:rPr>
        <w:tab/>
        <w:t xml:space="preserve">יש לציין כי בכתב האישום המתוקן צויין, ככל הנראה בשגגה, "נשיאה והובלה של נשק" – ניסוח שתואם את </w:t>
      </w:r>
      <w:hyperlink r:id="rId14" w:history="1">
        <w:r w:rsidR="00BD28E5" w:rsidRPr="00BD28E5">
          <w:rPr>
            <w:rStyle w:val="Hyperlink"/>
            <w:rFonts w:ascii="Arial" w:hAnsi="Arial" w:hint="eastAsia"/>
            <w:rtl/>
          </w:rPr>
          <w:t>סעיף</w:t>
        </w:r>
        <w:r w:rsidR="00BD28E5" w:rsidRPr="00BD28E5">
          <w:rPr>
            <w:rStyle w:val="Hyperlink"/>
            <w:rFonts w:ascii="Arial" w:hAnsi="Arial"/>
            <w:rtl/>
          </w:rPr>
          <w:t xml:space="preserve"> 144(ב)</w:t>
        </w:r>
      </w:hyperlink>
      <w:r>
        <w:rPr>
          <w:rFonts w:ascii="Arial" w:hAnsi="Arial" w:hint="cs"/>
          <w:rtl/>
        </w:rPr>
        <w:t xml:space="preserve"> לחוק, שלא יוחס בכתב האישום, ושמצוי ממילא בסמכותו של ביעת המשפט המחוזי.</w:t>
      </w:r>
    </w:p>
    <w:p w14:paraId="58BA5C6F" w14:textId="77777777" w:rsidR="00D559C9" w:rsidRDefault="00D559C9" w:rsidP="00D559C9">
      <w:pPr>
        <w:spacing w:line="360" w:lineRule="auto"/>
        <w:jc w:val="both"/>
        <w:rPr>
          <w:rFonts w:ascii="Arial" w:hAnsi="Arial"/>
          <w:rtl/>
        </w:rPr>
      </w:pPr>
    </w:p>
    <w:p w14:paraId="0078F8A7" w14:textId="77777777" w:rsidR="00D559C9" w:rsidRDefault="00D559C9" w:rsidP="00D559C9">
      <w:pPr>
        <w:spacing w:line="360" w:lineRule="auto"/>
        <w:ind w:left="720" w:hanging="720"/>
        <w:jc w:val="both"/>
        <w:rPr>
          <w:rFonts w:ascii="Arial" w:hAnsi="Arial"/>
          <w:rtl/>
        </w:rPr>
      </w:pPr>
      <w:r>
        <w:rPr>
          <w:rFonts w:ascii="Arial" w:hAnsi="Arial" w:hint="cs"/>
          <w:rtl/>
        </w:rPr>
        <w:t>2.</w:t>
      </w:r>
      <w:r w:rsidR="005D5E53">
        <w:rPr>
          <w:rFonts w:ascii="Arial" w:hAnsi="Arial" w:hint="cs"/>
          <w:rtl/>
        </w:rPr>
        <w:t xml:space="preserve">         </w:t>
      </w:r>
      <w:r>
        <w:rPr>
          <w:rFonts w:ascii="Arial" w:hAnsi="Arial" w:hint="cs"/>
          <w:rtl/>
        </w:rPr>
        <w:t xml:space="preserve"> לפי כתב האישום המתוקן, ביום 22.8.19, בעיר נצרת, החזיק הנאשם בתא הכפפות של רכבו, אקדח מסוג "אסטרה" ומחסנית תואמת מלאה בשלושה-עשר כדורים. </w:t>
      </w:r>
    </w:p>
    <w:p w14:paraId="3BE7C87B" w14:textId="77777777" w:rsidR="00D559C9" w:rsidRDefault="005D5E53" w:rsidP="00D559C9">
      <w:pPr>
        <w:spacing w:line="360" w:lineRule="auto"/>
        <w:ind w:left="720"/>
        <w:jc w:val="both"/>
        <w:rPr>
          <w:rFonts w:ascii="Arial" w:hAnsi="Arial"/>
        </w:rPr>
      </w:pPr>
      <w:r>
        <w:rPr>
          <w:rFonts w:ascii="Arial" w:hAnsi="Arial" w:hint="cs"/>
          <w:rtl/>
        </w:rPr>
        <w:t xml:space="preserve"> </w:t>
      </w:r>
    </w:p>
    <w:p w14:paraId="4602D7CC" w14:textId="77777777" w:rsidR="00D559C9" w:rsidRDefault="00D559C9" w:rsidP="00D559C9">
      <w:pPr>
        <w:spacing w:line="360" w:lineRule="auto"/>
        <w:ind w:left="720" w:hanging="720"/>
        <w:jc w:val="both"/>
        <w:rPr>
          <w:rFonts w:ascii="Arial" w:hAnsi="Arial"/>
          <w:rtl/>
        </w:rPr>
      </w:pPr>
      <w:r>
        <w:rPr>
          <w:rFonts w:ascii="Arial" w:hAnsi="Arial" w:hint="cs"/>
          <w:rtl/>
        </w:rPr>
        <w:t>3.</w:t>
      </w:r>
      <w:r w:rsidR="005D5E53">
        <w:rPr>
          <w:rFonts w:ascii="Arial" w:hAnsi="Arial" w:hint="cs"/>
          <w:rtl/>
        </w:rPr>
        <w:t xml:space="preserve">        </w:t>
      </w:r>
      <w:r>
        <w:rPr>
          <w:rFonts w:ascii="Arial" w:hAnsi="Arial" w:hint="cs"/>
          <w:rtl/>
        </w:rPr>
        <w:t xml:space="preserve"> </w:t>
      </w:r>
      <w:r>
        <w:rPr>
          <w:rFonts w:ascii="Arial" w:hAnsi="Arial" w:hint="cs"/>
          <w:rtl/>
        </w:rPr>
        <w:tab/>
        <w:t xml:space="preserve">ביום 25.12.19 הודיעו הצדדים כי הגיעו להסדר טיעון, לפיו הנאשם הודה בעובדות כתב האישום המתוקן, והורשע בעבירה המיוחסת לו. ביום 30.1.19 הודיעו הצדדים כי הגיעו להסכמה נוספת במסגרת הסדר הטיעון, לפיה המאשימה תעתור לעונש ראוי מקסימלי של שנת מאסר בצירוף מאסר על-תנאי וקנס משמעותי, ואילו הסנגור יטען באופן חפשי. </w:t>
      </w:r>
    </w:p>
    <w:p w14:paraId="761D8C7D" w14:textId="77777777" w:rsidR="00D559C9" w:rsidRDefault="005D5E53" w:rsidP="00D559C9">
      <w:pPr>
        <w:spacing w:line="360" w:lineRule="auto"/>
        <w:ind w:left="720" w:hanging="720"/>
        <w:jc w:val="both"/>
        <w:rPr>
          <w:rFonts w:ascii="Arial" w:hAnsi="Arial"/>
          <w:b/>
          <w:bCs/>
          <w:u w:val="single"/>
          <w:rtl/>
        </w:rPr>
      </w:pPr>
      <w:r>
        <w:rPr>
          <w:rFonts w:ascii="Arial" w:hAnsi="Arial" w:hint="cs"/>
          <w:rtl/>
        </w:rPr>
        <w:t xml:space="preserve">           </w:t>
      </w:r>
      <w:r w:rsidR="00D559C9">
        <w:rPr>
          <w:rFonts w:ascii="Arial" w:hAnsi="Arial" w:hint="cs"/>
          <w:rtl/>
        </w:rPr>
        <w:t xml:space="preserve"> </w:t>
      </w:r>
      <w:r>
        <w:rPr>
          <w:rFonts w:ascii="Arial" w:hAnsi="Arial" w:hint="cs"/>
          <w:rtl/>
        </w:rPr>
        <w:t xml:space="preserve"> </w:t>
      </w:r>
    </w:p>
    <w:p w14:paraId="66A3A061" w14:textId="77777777" w:rsidR="00D559C9" w:rsidRDefault="00D559C9" w:rsidP="00D559C9">
      <w:pPr>
        <w:spacing w:line="360" w:lineRule="auto"/>
        <w:jc w:val="both"/>
        <w:rPr>
          <w:rFonts w:ascii="Arial" w:hAnsi="Arial"/>
          <w:u w:val="single"/>
          <w:rtl/>
        </w:rPr>
      </w:pPr>
      <w:r>
        <w:rPr>
          <w:rFonts w:ascii="Arial" w:hAnsi="Arial" w:hint="cs"/>
          <w:b/>
          <w:bCs/>
          <w:u w:val="single"/>
          <w:rtl/>
        </w:rPr>
        <w:t>טיעונים לעונש</w:t>
      </w:r>
    </w:p>
    <w:p w14:paraId="2E4C8494" w14:textId="77777777" w:rsidR="00D559C9" w:rsidRDefault="00D559C9" w:rsidP="00D559C9">
      <w:pPr>
        <w:spacing w:line="360" w:lineRule="auto"/>
        <w:ind w:left="720"/>
        <w:contextualSpacing/>
        <w:jc w:val="both"/>
        <w:rPr>
          <w:rFonts w:ascii="Arial" w:hAnsi="Arial"/>
          <w:rtl/>
        </w:rPr>
      </w:pPr>
    </w:p>
    <w:p w14:paraId="4886E55A"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ביום 30.1.19 טענו הצדדים לעונש. ב"כ המאשימה הגיש טיעוניו בכתב, וב"כ הנאשם טען בע"פ . </w:t>
      </w:r>
    </w:p>
    <w:p w14:paraId="7A198163" w14:textId="77777777" w:rsidR="00D559C9" w:rsidRDefault="00D559C9" w:rsidP="00D559C9">
      <w:pPr>
        <w:spacing w:line="360" w:lineRule="auto"/>
        <w:ind w:left="720"/>
        <w:contextualSpacing/>
        <w:jc w:val="both"/>
        <w:rPr>
          <w:rFonts w:ascii="Arial" w:hAnsi="Arial"/>
          <w:rtl/>
        </w:rPr>
      </w:pPr>
    </w:p>
    <w:p w14:paraId="3F85AF0C" w14:textId="77777777" w:rsidR="00D559C9" w:rsidRDefault="00D559C9" w:rsidP="00D559C9">
      <w:pPr>
        <w:spacing w:line="360" w:lineRule="auto"/>
        <w:jc w:val="both"/>
        <w:rPr>
          <w:rFonts w:ascii="Arial" w:hAnsi="Arial"/>
          <w:u w:val="single"/>
          <w:rtl/>
        </w:rPr>
      </w:pPr>
      <w:r>
        <w:rPr>
          <w:rFonts w:ascii="Arial" w:hAnsi="Arial" w:hint="cs"/>
          <w:rtl/>
        </w:rPr>
        <w:t>4.</w:t>
      </w:r>
      <w:r w:rsidR="005D5E53">
        <w:rPr>
          <w:rFonts w:ascii="Arial" w:hAnsi="Arial" w:hint="cs"/>
          <w:b/>
          <w:bCs/>
          <w:rtl/>
        </w:rPr>
        <w:t xml:space="preserve">        </w:t>
      </w:r>
      <w:r>
        <w:rPr>
          <w:rFonts w:ascii="Arial" w:hAnsi="Arial" w:hint="cs"/>
          <w:b/>
          <w:bCs/>
          <w:rtl/>
        </w:rPr>
        <w:t xml:space="preserve"> </w:t>
      </w:r>
      <w:r>
        <w:rPr>
          <w:rFonts w:ascii="Arial" w:hAnsi="Arial" w:hint="cs"/>
          <w:rtl/>
        </w:rPr>
        <w:tab/>
      </w:r>
      <w:r>
        <w:rPr>
          <w:rFonts w:ascii="Arial" w:hAnsi="Arial" w:hint="cs"/>
          <w:u w:val="single"/>
          <w:rtl/>
        </w:rPr>
        <w:t xml:space="preserve">טיעוני ב"כ המאשימה </w:t>
      </w:r>
    </w:p>
    <w:p w14:paraId="06993169" w14:textId="77777777" w:rsidR="00D559C9" w:rsidRDefault="00D559C9" w:rsidP="00D559C9">
      <w:pPr>
        <w:spacing w:line="360" w:lineRule="auto"/>
        <w:ind w:left="720"/>
        <w:jc w:val="both"/>
        <w:rPr>
          <w:rFonts w:ascii="Arial" w:hAnsi="Arial"/>
          <w:rtl/>
        </w:rPr>
      </w:pPr>
      <w:r>
        <w:rPr>
          <w:rFonts w:ascii="Arial" w:hAnsi="Arial" w:hint="cs"/>
          <w:rtl/>
        </w:rPr>
        <w:t xml:space="preserve">ב"כ המאשימה טען כי מתחם העונש ההולם נע בין 1 ל-3 שנות מאסר בפועל, וביקש להטיל על הנאשם עונש של שנת מאסר בצירוף מאסר על-תנאי משמעותי וקנס כספי. הנאשם נתפס כשהוא מוביל נשק ברכבו, באופן המלמד כי הנשק היה מיועד להעברה ממקום למקום. למעשה נזק פוטנציאלי רב. ב"כ המאשימה טען כי הובלת הנשק פגעה בערכים מוגנים של שלום הציבור וביטחונו. נטען, כי יש להלום את נסיבות המקרה בענישה ראויה שתסייע במיגור תופעת הנשק הבלתי חוקי במגזר הערבי, בשל הסיכון הטמון בשימוש בנשק חוקי על-ידי מי שאינו מורשה לכך. </w:t>
      </w:r>
    </w:p>
    <w:p w14:paraId="3E0938A6" w14:textId="77777777" w:rsidR="00D559C9" w:rsidRDefault="00D559C9" w:rsidP="00D559C9">
      <w:pPr>
        <w:spacing w:line="360" w:lineRule="auto"/>
        <w:ind w:left="720"/>
        <w:jc w:val="both"/>
        <w:rPr>
          <w:rFonts w:ascii="Arial" w:hAnsi="Arial"/>
          <w:rtl/>
        </w:rPr>
      </w:pPr>
      <w:r>
        <w:rPr>
          <w:rFonts w:ascii="Arial" w:hAnsi="Arial" w:hint="cs"/>
          <w:rtl/>
        </w:rPr>
        <w:lastRenderedPageBreak/>
        <w:t xml:space="preserve">באשר לנסיבות שאינן קשורות בביצוע העבירות נטען כי הנאשם אמנם נעדר עבר פלילי, הודה וחסך מזמנו של בית-המשפט, אך נסיבות אלה מקבלות משקל בעתירת המאשימה לעונש מאסר המצוי ברף התחתון של מתחם העונש ההולם לו טענה. </w:t>
      </w:r>
    </w:p>
    <w:p w14:paraId="02CF184B" w14:textId="77777777" w:rsidR="00D559C9" w:rsidRDefault="00D559C9" w:rsidP="00D559C9">
      <w:pPr>
        <w:spacing w:line="360" w:lineRule="auto"/>
        <w:ind w:left="720"/>
        <w:jc w:val="both"/>
        <w:rPr>
          <w:rFonts w:ascii="Arial" w:hAnsi="Arial"/>
          <w:rtl/>
        </w:rPr>
      </w:pPr>
      <w:r>
        <w:rPr>
          <w:rFonts w:ascii="Arial" w:hAnsi="Arial" w:hint="cs"/>
          <w:rtl/>
        </w:rPr>
        <w:t xml:space="preserve"> </w:t>
      </w:r>
    </w:p>
    <w:p w14:paraId="5DE39C82" w14:textId="77777777" w:rsidR="00D559C9" w:rsidRDefault="005D5E53" w:rsidP="00D559C9">
      <w:pPr>
        <w:spacing w:line="360" w:lineRule="auto"/>
        <w:jc w:val="both"/>
        <w:rPr>
          <w:rFonts w:ascii="Arial" w:hAnsi="Arial"/>
          <w:u w:val="single"/>
          <w:rtl/>
        </w:rPr>
      </w:pPr>
      <w:r>
        <w:rPr>
          <w:rFonts w:ascii="Arial" w:hAnsi="Arial" w:hint="cs"/>
          <w:b/>
          <w:bCs/>
          <w:rtl/>
        </w:rPr>
        <w:t xml:space="preserve">        </w:t>
      </w:r>
      <w:r w:rsidR="00D559C9">
        <w:rPr>
          <w:rFonts w:ascii="Arial" w:hAnsi="Arial" w:hint="cs"/>
          <w:b/>
          <w:bCs/>
          <w:rtl/>
        </w:rPr>
        <w:t xml:space="preserve"> </w:t>
      </w:r>
      <w:r w:rsidR="00D559C9">
        <w:rPr>
          <w:rFonts w:ascii="Arial" w:hAnsi="Arial" w:hint="cs"/>
          <w:b/>
          <w:bCs/>
          <w:rtl/>
        </w:rPr>
        <w:tab/>
      </w:r>
      <w:r w:rsidR="00D559C9">
        <w:rPr>
          <w:rFonts w:ascii="Arial" w:hAnsi="Arial" w:hint="cs"/>
          <w:u w:val="single"/>
          <w:rtl/>
        </w:rPr>
        <w:t>טיעוני ב"כ הנאשם</w:t>
      </w:r>
    </w:p>
    <w:p w14:paraId="7FF807F5"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ב"כ הנאשם ביקש מבית-המשפט להתחשב בנאשם ולהטיל עליו ששה חודשי מאסר בפועל, בניכוי ימי המעצר. נטען, כי הנשק נמצא בתא הכפפות של הרכב השייך לנאשם, כשהרכב נעול וחונה, ולא בנסיעה. לא ניתן היה לקבוע למשך כמה זמן הוחזק הנשק ברכב, ומדובר בנסיבה מקלה. אף שבתיק היו מעורבים נוספים שלא הועמדו לדין, הנאשם נטל אחריות, הודה ושיתף פעולה, הביע חרטה, וחסך זמן שיפוטי יקר. לנאשם, בן 46, אין עבר פלילי, זוהי הסתבכותו הראשונה ואין לראות בו מי שמנהל אורח חיים עברייני. לנאשם חמישה ילדים, שהוא האמון על פרנסתם. מאז מעצרו, מצבה הכלכלי של משפחתו התדרדר. </w:t>
      </w:r>
    </w:p>
    <w:p w14:paraId="695645F3"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עוד טען הסנגור כי ביום האירוע נעצר אדם נוסף שבקטנועו, אשר חנה ליד רכבו של הנאשם, נמצא אקדח. הוגש נגדו כתב אישום לבית-המשפט המחוזי בנצרת, ונגזר עליו עונש מאסר של שנה ויום, בגין החזקת נשק והסתייעות ברכב לביצוע פשע. מדובר באדם שלו עבר פלילי. נטען כי ראוי להבחין את עניינו של הנאשם כאן ולהטיל עליו עונש קל יותר. </w:t>
      </w:r>
    </w:p>
    <w:p w14:paraId="2DC67689"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עוד הפנה הסנגור לפסיקה עדכנית של בית-המשפט העליון התומכת, לדבריו, בטענתו שבמקרים דומים הוטלו גם תקופות מאסר קצרות יותר. </w:t>
      </w:r>
    </w:p>
    <w:p w14:paraId="31BE37E4" w14:textId="77777777" w:rsidR="00D559C9" w:rsidRDefault="00D559C9" w:rsidP="00D559C9">
      <w:pPr>
        <w:spacing w:line="360" w:lineRule="auto"/>
        <w:ind w:left="720"/>
        <w:contextualSpacing/>
        <w:jc w:val="both"/>
        <w:rPr>
          <w:rFonts w:ascii="Arial" w:hAnsi="Arial"/>
          <w:rtl/>
        </w:rPr>
      </w:pPr>
    </w:p>
    <w:p w14:paraId="697302A9" w14:textId="77777777" w:rsidR="00D559C9" w:rsidRDefault="005D5E53" w:rsidP="00D559C9">
      <w:pPr>
        <w:spacing w:line="360" w:lineRule="auto"/>
        <w:jc w:val="both"/>
        <w:rPr>
          <w:rFonts w:ascii="Arial" w:hAnsi="Arial"/>
          <w:u w:val="single"/>
          <w:rtl/>
        </w:rPr>
      </w:pPr>
      <w:r>
        <w:rPr>
          <w:rFonts w:ascii="Arial" w:hAnsi="Arial" w:hint="cs"/>
          <w:rtl/>
        </w:rPr>
        <w:t xml:space="preserve">     </w:t>
      </w:r>
      <w:r w:rsidR="00D559C9">
        <w:rPr>
          <w:rFonts w:ascii="Arial" w:hAnsi="Arial" w:hint="cs"/>
          <w:rtl/>
        </w:rPr>
        <w:tab/>
      </w:r>
      <w:r w:rsidR="00D559C9">
        <w:rPr>
          <w:rFonts w:ascii="Arial" w:hAnsi="Arial" w:hint="cs"/>
          <w:u w:val="single"/>
          <w:rtl/>
        </w:rPr>
        <w:t>דברי הנאשם</w:t>
      </w:r>
    </w:p>
    <w:p w14:paraId="7C3A0F9E" w14:textId="77777777" w:rsidR="00D559C9" w:rsidRDefault="00D559C9" w:rsidP="00D559C9">
      <w:pPr>
        <w:spacing w:line="360" w:lineRule="auto"/>
        <w:ind w:left="720"/>
        <w:jc w:val="both"/>
        <w:rPr>
          <w:rFonts w:ascii="Arial" w:hAnsi="Arial"/>
          <w:rtl/>
        </w:rPr>
      </w:pPr>
      <w:r>
        <w:rPr>
          <w:rFonts w:ascii="Arial" w:hAnsi="Arial" w:hint="cs"/>
          <w:rtl/>
        </w:rPr>
        <w:t xml:space="preserve">הנאשם הביע צער, ומסר כי לא ישוב על המעשים. הוא ביקש לחזור למשפחתו ולעבודתו. </w:t>
      </w:r>
    </w:p>
    <w:p w14:paraId="5A7614C3" w14:textId="77777777" w:rsidR="00D559C9" w:rsidRDefault="00D559C9" w:rsidP="00D559C9">
      <w:pPr>
        <w:spacing w:line="360" w:lineRule="auto"/>
        <w:ind w:left="720"/>
        <w:jc w:val="both"/>
        <w:rPr>
          <w:rFonts w:ascii="Arial" w:hAnsi="Arial"/>
          <w:rtl/>
        </w:rPr>
      </w:pPr>
    </w:p>
    <w:p w14:paraId="7F075A1F" w14:textId="77777777" w:rsidR="00D559C9" w:rsidRDefault="00D559C9" w:rsidP="00D559C9">
      <w:pPr>
        <w:spacing w:line="360" w:lineRule="auto"/>
        <w:jc w:val="both"/>
        <w:rPr>
          <w:rFonts w:ascii="Arial" w:hAnsi="Arial"/>
          <w:b/>
          <w:bCs/>
          <w:u w:val="single"/>
          <w:rtl/>
        </w:rPr>
      </w:pPr>
      <w:r>
        <w:rPr>
          <w:rFonts w:ascii="Arial" w:hAnsi="Arial" w:hint="cs"/>
          <w:b/>
          <w:bCs/>
          <w:u w:val="single"/>
          <w:rtl/>
        </w:rPr>
        <w:t>דיון והכרעה</w:t>
      </w:r>
    </w:p>
    <w:p w14:paraId="58195CEF" w14:textId="77777777" w:rsidR="00D559C9" w:rsidRDefault="00D559C9" w:rsidP="00D559C9">
      <w:pPr>
        <w:spacing w:line="360" w:lineRule="auto"/>
        <w:jc w:val="both"/>
        <w:rPr>
          <w:rFonts w:ascii="Arial" w:hAnsi="Arial"/>
          <w:rtl/>
        </w:rPr>
      </w:pPr>
    </w:p>
    <w:p w14:paraId="600F1876" w14:textId="77777777" w:rsidR="00D559C9" w:rsidRDefault="005D5E53" w:rsidP="00D559C9">
      <w:pPr>
        <w:spacing w:line="360" w:lineRule="auto"/>
        <w:jc w:val="both"/>
        <w:rPr>
          <w:u w:val="single"/>
          <w:rtl/>
        </w:rPr>
      </w:pPr>
      <w:r>
        <w:rPr>
          <w:rFonts w:ascii="Arial" w:hAnsi="Arial" w:hint="cs"/>
          <w:rtl/>
        </w:rPr>
        <w:t xml:space="preserve">           </w:t>
      </w:r>
      <w:r w:rsidR="00D559C9">
        <w:rPr>
          <w:rFonts w:ascii="Arial" w:hAnsi="Arial" w:hint="cs"/>
          <w:rtl/>
        </w:rPr>
        <w:t xml:space="preserve"> </w:t>
      </w:r>
      <w:r w:rsidR="00D559C9">
        <w:rPr>
          <w:rFonts w:ascii="Arial" w:hAnsi="Arial" w:hint="cs"/>
          <w:rtl/>
        </w:rPr>
        <w:tab/>
        <w:t xml:space="preserve"> </w:t>
      </w:r>
      <w:r w:rsidR="00D559C9">
        <w:rPr>
          <w:rFonts w:ascii="Arial" w:hAnsi="Arial" w:hint="cs"/>
          <w:u w:val="single"/>
          <w:rtl/>
        </w:rPr>
        <w:t>מתחם העונש ההולם</w:t>
      </w:r>
    </w:p>
    <w:p w14:paraId="3E2A4654" w14:textId="77777777" w:rsidR="00D559C9" w:rsidRDefault="00D559C9" w:rsidP="00D559C9">
      <w:pPr>
        <w:spacing w:line="360" w:lineRule="auto"/>
        <w:ind w:left="800" w:hanging="800"/>
        <w:contextualSpacing/>
        <w:jc w:val="both"/>
        <w:rPr>
          <w:rFonts w:ascii="Arial" w:hAnsi="Arial"/>
          <w:rtl/>
        </w:rPr>
      </w:pPr>
      <w:r>
        <w:rPr>
          <w:rFonts w:ascii="Arial" w:hAnsi="Arial" w:hint="cs"/>
          <w:rtl/>
        </w:rPr>
        <w:t>5.</w:t>
      </w:r>
      <w:r w:rsidR="005D5E53">
        <w:rPr>
          <w:rFonts w:ascii="Arial" w:hAnsi="Arial" w:hint="cs"/>
          <w:rtl/>
        </w:rPr>
        <w:t xml:space="preserve">       </w:t>
      </w:r>
      <w:r>
        <w:rPr>
          <w:rFonts w:ascii="Arial" w:hAnsi="Arial" w:hint="cs"/>
          <w:rtl/>
        </w:rPr>
        <w:t xml:space="preserve"> </w:t>
      </w:r>
      <w:r>
        <w:rPr>
          <w:rFonts w:ascii="Arial" w:hAnsi="Arial" w:hint="cs"/>
          <w:rtl/>
        </w:rPr>
        <w:tab/>
        <w:t xml:space="preserve">הערכים החברתיים המוגנים הנפגעים כתוצאה מהעבירה של </w:t>
      </w:r>
      <w:r>
        <w:rPr>
          <w:rFonts w:ascii="Arial" w:hAnsi="Arial" w:hint="cs"/>
          <w:b/>
          <w:bCs/>
          <w:rtl/>
        </w:rPr>
        <w:t>נשיאה והובלת נשק</w:t>
      </w:r>
      <w:r>
        <w:rPr>
          <w:rFonts w:ascii="Arial" w:hAnsi="Arial" w:hint="cs"/>
          <w:rtl/>
        </w:rPr>
        <w:t xml:space="preserve"> הם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76D8C7B9" w14:textId="77777777" w:rsidR="00D559C9" w:rsidRDefault="00D559C9" w:rsidP="00D559C9">
      <w:pPr>
        <w:spacing w:after="160" w:line="360" w:lineRule="auto"/>
        <w:ind w:left="800"/>
        <w:contextualSpacing/>
        <w:jc w:val="both"/>
        <w:rPr>
          <w:rFonts w:ascii="Calibri" w:hAnsi="Calibri"/>
          <w:rtl/>
        </w:rPr>
      </w:pPr>
      <w:r>
        <w:rPr>
          <w:rFonts w:ascii="Arial" w:hAnsi="Arial" w:hint="cs"/>
          <w:rtl/>
        </w:rPr>
        <w:t>ב</w:t>
      </w:r>
      <w:hyperlink r:id="rId15" w:history="1">
        <w:r w:rsidR="005D5E53" w:rsidRPr="005D5E53">
          <w:rPr>
            <w:rFonts w:ascii="Arial" w:hAnsi="Arial"/>
            <w:color w:val="0000FF"/>
            <w:u w:val="single"/>
            <w:rtl/>
          </w:rPr>
          <w:t>ע"פ 5220/09</w:t>
        </w:r>
      </w:hyperlink>
      <w:r>
        <w:rPr>
          <w:rFonts w:ascii="Arial" w:hAnsi="Arial" w:hint="cs"/>
          <w:rtl/>
        </w:rPr>
        <w:t xml:space="preserve"> </w:t>
      </w:r>
      <w:r>
        <w:rPr>
          <w:rFonts w:ascii="Arial" w:hAnsi="Arial" w:hint="cs"/>
          <w:b/>
          <w:bCs/>
          <w:rtl/>
        </w:rPr>
        <w:t>עוואודה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(30.12.09) נקבע כי דרך המלך בעבירות נשק צריכה להיות ככלל מאסר מאחורי סורג ובריח. </w:t>
      </w:r>
    </w:p>
    <w:p w14:paraId="757301C9" w14:textId="77777777" w:rsidR="00D559C9" w:rsidRDefault="00D559C9" w:rsidP="00D559C9">
      <w:pPr>
        <w:spacing w:after="160" w:line="360" w:lineRule="auto"/>
        <w:ind w:left="800"/>
        <w:contextualSpacing/>
        <w:jc w:val="both"/>
        <w:rPr>
          <w:rFonts w:ascii="Calibri" w:hAnsi="Calibri"/>
          <w:rtl/>
        </w:rPr>
      </w:pPr>
      <w:r>
        <w:rPr>
          <w:rFonts w:ascii="Calibri" w:hAnsi="Calibri" w:hint="cs"/>
          <w:rtl/>
        </w:rPr>
        <w:t>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58186657" w14:textId="77777777" w:rsidR="00D559C9" w:rsidRDefault="00D559C9" w:rsidP="00D559C9">
      <w:pPr>
        <w:spacing w:after="160" w:line="360" w:lineRule="auto"/>
        <w:ind w:left="800"/>
        <w:contextualSpacing/>
        <w:jc w:val="both"/>
        <w:rPr>
          <w:rFonts w:ascii="Calibri" w:hAnsi="Calibri"/>
          <w:rtl/>
        </w:rPr>
      </w:pPr>
    </w:p>
    <w:p w14:paraId="3B1B0E38" w14:textId="77777777" w:rsidR="00D559C9" w:rsidRDefault="00D559C9" w:rsidP="00D559C9">
      <w:pPr>
        <w:spacing w:after="160" w:line="360" w:lineRule="auto"/>
        <w:ind w:left="800"/>
        <w:contextualSpacing/>
        <w:jc w:val="both"/>
        <w:rPr>
          <w:rFonts w:ascii="Calibri" w:hAnsi="Calibri"/>
          <w:rtl/>
        </w:rPr>
      </w:pPr>
      <w:r>
        <w:rPr>
          <w:rFonts w:ascii="Calibri" w:hAnsi="Calibri" w:hint="cs"/>
          <w:rtl/>
        </w:rPr>
        <w:t>ראה לעניין זה את דברי ביהמ"ש העליון מהעת האחרונה ב</w:t>
      </w:r>
      <w:hyperlink r:id="rId16" w:history="1">
        <w:r w:rsidR="005D5E53" w:rsidRPr="005D5E53">
          <w:rPr>
            <w:rFonts w:ascii="Calibri" w:hAnsi="Calibri" w:hint="eastAsia"/>
            <w:color w:val="0000FF"/>
            <w:u w:val="single"/>
            <w:rtl/>
          </w:rPr>
          <w:t>ע</w:t>
        </w:r>
        <w:r w:rsidR="005D5E53" w:rsidRPr="005D5E53">
          <w:rPr>
            <w:rFonts w:ascii="Calibri" w:hAnsi="Calibri"/>
            <w:color w:val="0000FF"/>
            <w:u w:val="single"/>
            <w:rtl/>
          </w:rPr>
          <w:t>"</w:t>
        </w:r>
        <w:r w:rsidR="005D5E53" w:rsidRPr="005D5E53">
          <w:rPr>
            <w:rFonts w:ascii="Calibri" w:hAnsi="Calibri" w:hint="eastAsia"/>
            <w:color w:val="0000FF"/>
            <w:u w:val="single"/>
            <w:rtl/>
          </w:rPr>
          <w:t>פ</w:t>
        </w:r>
        <w:r w:rsidR="005D5E53" w:rsidRPr="005D5E53">
          <w:rPr>
            <w:rFonts w:ascii="Calibri" w:hAnsi="Calibri"/>
            <w:color w:val="0000FF"/>
            <w:u w:val="single"/>
            <w:rtl/>
          </w:rPr>
          <w:t xml:space="preserve"> 4406/19</w:t>
        </w:r>
      </w:hyperlink>
      <w:r>
        <w:rPr>
          <w:rFonts w:ascii="Calibri" w:hAnsi="Calibri" w:hint="cs"/>
          <w:rtl/>
        </w:rPr>
        <w:t xml:space="preserve">, מ"י נ' סובח ואח' </w:t>
      </w:r>
      <w:r w:rsidR="003257EF" w:rsidRPr="003257EF">
        <w:rPr>
          <w:sz w:val="22"/>
          <w:rtl/>
        </w:rPr>
        <w:t>[</w:t>
      </w:r>
      <w:r w:rsidR="003257EF" w:rsidRPr="003257EF">
        <w:rPr>
          <w:rFonts w:hint="eastAsia"/>
          <w:sz w:val="22"/>
          <w:rtl/>
        </w:rPr>
        <w:t>פורסם</w:t>
      </w:r>
      <w:r w:rsidR="003257EF" w:rsidRPr="003257EF">
        <w:rPr>
          <w:sz w:val="22"/>
          <w:rtl/>
        </w:rPr>
        <w:t xml:space="preserve"> </w:t>
      </w:r>
      <w:r w:rsidR="003257EF" w:rsidRPr="003257EF">
        <w:rPr>
          <w:rFonts w:hint="eastAsia"/>
          <w:sz w:val="22"/>
          <w:rtl/>
        </w:rPr>
        <w:t>בנבו</w:t>
      </w:r>
      <w:r w:rsidR="003257EF" w:rsidRPr="003257EF">
        <w:rPr>
          <w:sz w:val="22"/>
          <w:rtl/>
        </w:rPr>
        <w:t xml:space="preserve">] </w:t>
      </w:r>
      <w:r>
        <w:rPr>
          <w:rFonts w:ascii="Calibri" w:hAnsi="Calibri" w:hint="cs"/>
          <w:rtl/>
        </w:rPr>
        <w:t>(5/11/19) (דברי כב' הש' אלרון, פסקה 17):</w:t>
      </w:r>
    </w:p>
    <w:p w14:paraId="17FD426D" w14:textId="77777777" w:rsidR="00D559C9" w:rsidRDefault="00D559C9" w:rsidP="00D559C9">
      <w:pPr>
        <w:spacing w:after="160" w:line="360" w:lineRule="auto"/>
        <w:ind w:left="800"/>
        <w:contextualSpacing/>
        <w:jc w:val="both"/>
        <w:rPr>
          <w:rFonts w:ascii="Calibri" w:hAnsi="Calibri"/>
          <w:rtl/>
        </w:rPr>
      </w:pPr>
    </w:p>
    <w:p w14:paraId="69EA1F65" w14:textId="77777777" w:rsidR="00D559C9" w:rsidRDefault="00D559C9" w:rsidP="00D559C9">
      <w:pPr>
        <w:tabs>
          <w:tab w:val="left" w:pos="800"/>
          <w:tab w:val="num" w:pos="907"/>
        </w:tabs>
        <w:overflowPunct w:val="0"/>
        <w:autoSpaceDE w:val="0"/>
        <w:autoSpaceDN w:val="0"/>
        <w:adjustRightInd w:val="0"/>
        <w:spacing w:after="420" w:line="360" w:lineRule="auto"/>
        <w:ind w:left="800"/>
        <w:jc w:val="both"/>
        <w:textAlignment w:val="baseline"/>
        <w:rPr>
          <w:rFonts w:ascii="David" w:hAnsi="David"/>
          <w:b/>
          <w:bCs/>
          <w:spacing w:val="10"/>
          <w:rtl/>
        </w:rPr>
      </w:pPr>
      <w:r>
        <w:rPr>
          <w:rFonts w:hint="cs"/>
          <w:b/>
          <w:bCs/>
          <w:spacing w:val="10"/>
          <w:rtl/>
        </w:rPr>
        <w:tab/>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w:t>
      </w:r>
      <w:r>
        <w:rPr>
          <w:rFonts w:hint="cs"/>
          <w:b/>
          <w:bCs/>
          <w:rtl/>
        </w:rPr>
        <w:t>עמאש</w:t>
      </w:r>
      <w:r>
        <w:rPr>
          <w:rFonts w:hint="cs"/>
          <w:b/>
          <w:bCs/>
          <w:spacing w:val="10"/>
          <w:rtl/>
        </w:rPr>
        <w:t xml:space="preserve"> צוין כי:</w:t>
      </w:r>
    </w:p>
    <w:p w14:paraId="55C350B0" w14:textId="77777777" w:rsidR="00D559C9" w:rsidRDefault="00D559C9" w:rsidP="00D559C9">
      <w:pPr>
        <w:overflowPunct w:val="0"/>
        <w:autoSpaceDE w:val="0"/>
        <w:autoSpaceDN w:val="0"/>
        <w:adjustRightInd w:val="0"/>
        <w:spacing w:after="420"/>
        <w:ind w:left="1644" w:right="1276"/>
        <w:contextualSpacing/>
        <w:jc w:val="both"/>
        <w:textAlignment w:val="baseline"/>
        <w:rPr>
          <w:b/>
          <w:bCs/>
          <w:spacing w:val="10"/>
          <w:rtl/>
        </w:rPr>
      </w:pPr>
      <w:r>
        <w:rPr>
          <w:rFonts w:hint="cs"/>
          <w:b/>
          <w:bCs/>
          <w:spacing w:val="10"/>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17" w:history="1">
        <w:r w:rsidR="005D5E53" w:rsidRPr="005D5E53">
          <w:rPr>
            <w:b/>
            <w:bCs/>
            <w:color w:val="0000FF"/>
            <w:spacing w:val="10"/>
            <w:u w:val="single"/>
            <w:rtl/>
          </w:rPr>
          <w:t>ע"פ 32/14</w:t>
        </w:r>
      </w:hyperlink>
      <w:r>
        <w:rPr>
          <w:b/>
          <w:bCs/>
          <w:spacing w:val="10"/>
          <w:rtl/>
        </w:rPr>
        <w:t xml:space="preserve"> </w:t>
      </w:r>
      <w:r>
        <w:rPr>
          <w:rFonts w:hint="cs"/>
          <w:b/>
          <w:bCs/>
          <w:rtl/>
        </w:rPr>
        <w:t>עמאש נ' מדינת ישראל</w:t>
      </w:r>
      <w:r>
        <w:rPr>
          <w:rFonts w:hint="cs"/>
          <w:b/>
          <w:bCs/>
          <w:spacing w:val="10"/>
          <w:rtl/>
        </w:rPr>
        <w:t xml:space="preserve">, </w:t>
      </w:r>
      <w:r>
        <w:rPr>
          <w:rFonts w:hint="cs"/>
          <w:b/>
          <w:bCs/>
          <w:rtl/>
        </w:rPr>
        <w:t xml:space="preserve">[פורסם בנבו] </w:t>
      </w:r>
      <w:r>
        <w:rPr>
          <w:rFonts w:hint="cs"/>
          <w:b/>
          <w:bCs/>
          <w:spacing w:val="10"/>
          <w:rtl/>
        </w:rPr>
        <w:t xml:space="preserve">בפסקה 20 (17.9.2015); ראו גם: </w:t>
      </w:r>
      <w:hyperlink r:id="rId18" w:history="1">
        <w:r w:rsidR="005D5E53" w:rsidRPr="005D5E53">
          <w:rPr>
            <w:b/>
            <w:bCs/>
            <w:color w:val="0000FF"/>
            <w:spacing w:val="10"/>
            <w:u w:val="single"/>
            <w:rtl/>
          </w:rPr>
          <w:t>ע"פ 4611/18</w:t>
        </w:r>
      </w:hyperlink>
      <w:r>
        <w:rPr>
          <w:b/>
          <w:bCs/>
          <w:spacing w:val="10"/>
          <w:rtl/>
        </w:rPr>
        <w:t xml:space="preserve"> </w:t>
      </w:r>
      <w:r>
        <w:rPr>
          <w:rFonts w:hint="cs"/>
          <w:b/>
          <w:bCs/>
          <w:rtl/>
        </w:rPr>
        <w:t>נאסר נ' מדינת ישראל</w:t>
      </w:r>
      <w:r>
        <w:rPr>
          <w:rFonts w:hint="cs"/>
          <w:b/>
          <w:bCs/>
          <w:spacing w:val="10"/>
          <w:rtl/>
        </w:rPr>
        <w:t xml:space="preserve">, </w:t>
      </w:r>
      <w:r>
        <w:rPr>
          <w:rFonts w:hint="cs"/>
          <w:b/>
          <w:bCs/>
          <w:rtl/>
        </w:rPr>
        <w:t xml:space="preserve">[פורסם בנבו] </w:t>
      </w:r>
      <w:r>
        <w:rPr>
          <w:rFonts w:hint="cs"/>
          <w:b/>
          <w:bCs/>
          <w:spacing w:val="10"/>
          <w:rtl/>
        </w:rPr>
        <w:t xml:space="preserve">בפסקה 5 (10.3.2019); </w:t>
      </w:r>
      <w:hyperlink r:id="rId19" w:history="1">
        <w:r w:rsidR="005D5E53" w:rsidRPr="005D5E53">
          <w:rPr>
            <w:b/>
            <w:bCs/>
            <w:color w:val="0000FF"/>
            <w:spacing w:val="10"/>
            <w:u w:val="single"/>
            <w:rtl/>
          </w:rPr>
          <w:t>ע"פ 5015/15</w:t>
        </w:r>
      </w:hyperlink>
      <w:r>
        <w:rPr>
          <w:b/>
          <w:bCs/>
          <w:spacing w:val="10"/>
          <w:rtl/>
        </w:rPr>
        <w:t xml:space="preserve"> </w:t>
      </w:r>
      <w:r>
        <w:rPr>
          <w:rFonts w:hint="cs"/>
          <w:b/>
          <w:bCs/>
          <w:rtl/>
        </w:rPr>
        <w:t>מדינת ישראל נ' ריאן</w:t>
      </w:r>
      <w:r>
        <w:rPr>
          <w:rFonts w:hint="cs"/>
          <w:b/>
          <w:bCs/>
          <w:spacing w:val="10"/>
          <w:rtl/>
        </w:rPr>
        <w:t xml:space="preserve">, </w:t>
      </w:r>
      <w:r>
        <w:rPr>
          <w:rFonts w:hint="cs"/>
          <w:b/>
          <w:bCs/>
          <w:rtl/>
        </w:rPr>
        <w:t xml:space="preserve">[פורסם בנבו] </w:t>
      </w:r>
      <w:r>
        <w:rPr>
          <w:rFonts w:hint="cs"/>
          <w:b/>
          <w:bCs/>
          <w:spacing w:val="10"/>
          <w:rtl/>
        </w:rPr>
        <w:t>בפסקה 12 (29.3.2016)).</w:t>
      </w:r>
    </w:p>
    <w:p w14:paraId="40FB5876" w14:textId="77777777" w:rsidR="00D559C9" w:rsidRDefault="00D559C9" w:rsidP="00D559C9">
      <w:pPr>
        <w:overflowPunct w:val="0"/>
        <w:autoSpaceDE w:val="0"/>
        <w:autoSpaceDN w:val="0"/>
        <w:adjustRightInd w:val="0"/>
        <w:spacing w:after="420" w:line="360" w:lineRule="auto"/>
        <w:ind w:left="1644" w:right="1276"/>
        <w:contextualSpacing/>
        <w:jc w:val="both"/>
        <w:textAlignment w:val="baseline"/>
        <w:rPr>
          <w:b/>
          <w:bCs/>
          <w:spacing w:val="10"/>
          <w:rtl/>
        </w:rPr>
      </w:pPr>
    </w:p>
    <w:p w14:paraId="057D8F9F" w14:textId="77777777" w:rsidR="00D559C9" w:rsidRDefault="00D559C9" w:rsidP="00D559C9">
      <w:pPr>
        <w:tabs>
          <w:tab w:val="left" w:pos="800"/>
        </w:tabs>
        <w:overflowPunct w:val="0"/>
        <w:autoSpaceDE w:val="0"/>
        <w:autoSpaceDN w:val="0"/>
        <w:adjustRightInd w:val="0"/>
        <w:spacing w:after="420" w:line="360" w:lineRule="auto"/>
        <w:ind w:left="720"/>
        <w:jc w:val="both"/>
        <w:textAlignment w:val="baseline"/>
        <w:rPr>
          <w:b/>
          <w:bCs/>
          <w:spacing w:val="10"/>
          <w:rtl/>
        </w:rPr>
      </w:pPr>
      <w:r>
        <w:rPr>
          <w:rFonts w:hint="cs"/>
          <w:b/>
          <w:bCs/>
          <w:spacing w:val="10"/>
          <w:rtl/>
        </w:rPr>
        <w:t xml:space="preserve">דברים אלו אף באו לידי ביטוי לאחרונה בדברי הנשיאה </w:t>
      </w:r>
      <w:r>
        <w:rPr>
          <w:rFonts w:hint="cs"/>
          <w:b/>
          <w:bCs/>
          <w:rtl/>
        </w:rPr>
        <w:t>א' חיות</w:t>
      </w:r>
      <w:r>
        <w:rPr>
          <w:rFonts w:hint="cs"/>
          <w:b/>
          <w:bCs/>
          <w:spacing w:val="10"/>
          <w:rtl/>
        </w:rPr>
        <w:t xml:space="preserve"> בטקס פתיחת שנת המשפט הנוכחית של לשכת עורכי הדין בנצרת:</w:t>
      </w:r>
    </w:p>
    <w:p w14:paraId="3CFB77B1" w14:textId="77777777" w:rsidR="00D559C9" w:rsidRDefault="00D559C9" w:rsidP="00D559C9">
      <w:pPr>
        <w:overflowPunct w:val="0"/>
        <w:autoSpaceDE w:val="0"/>
        <w:autoSpaceDN w:val="0"/>
        <w:adjustRightInd w:val="0"/>
        <w:spacing w:after="420"/>
        <w:ind w:left="1644" w:right="1276"/>
        <w:contextualSpacing/>
        <w:jc w:val="both"/>
        <w:textAlignment w:val="baseline"/>
        <w:rPr>
          <w:b/>
          <w:bCs/>
          <w:spacing w:val="10"/>
          <w:rtl/>
        </w:rPr>
      </w:pPr>
      <w:r>
        <w:rPr>
          <w:rFonts w:hint="cs"/>
          <w:b/>
          <w:bCs/>
          <w:spacing w:val="10"/>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162B8C3B" w14:textId="77777777" w:rsidR="00D559C9" w:rsidRDefault="00D559C9" w:rsidP="00D559C9">
      <w:pPr>
        <w:overflowPunct w:val="0"/>
        <w:autoSpaceDE w:val="0"/>
        <w:autoSpaceDN w:val="0"/>
        <w:adjustRightInd w:val="0"/>
        <w:spacing w:after="420" w:line="360" w:lineRule="auto"/>
        <w:ind w:left="1644" w:right="1276"/>
        <w:contextualSpacing/>
        <w:jc w:val="both"/>
        <w:textAlignment w:val="baseline"/>
        <w:rPr>
          <w:b/>
          <w:bCs/>
          <w:spacing w:val="10"/>
          <w:rtl/>
        </w:rPr>
      </w:pPr>
    </w:p>
    <w:p w14:paraId="1FAF7F7D" w14:textId="77777777" w:rsidR="00D559C9" w:rsidRDefault="00D559C9" w:rsidP="00D559C9">
      <w:pPr>
        <w:tabs>
          <w:tab w:val="left" w:pos="800"/>
        </w:tabs>
        <w:overflowPunct w:val="0"/>
        <w:autoSpaceDE w:val="0"/>
        <w:autoSpaceDN w:val="0"/>
        <w:adjustRightInd w:val="0"/>
        <w:spacing w:after="420" w:line="360" w:lineRule="auto"/>
        <w:ind w:left="720" w:firstLine="79"/>
        <w:jc w:val="both"/>
        <w:textAlignment w:val="baseline"/>
        <w:rPr>
          <w:b/>
          <w:bCs/>
          <w:spacing w:val="10"/>
          <w:rtl/>
        </w:rPr>
      </w:pPr>
      <w:r>
        <w:rPr>
          <w:rFonts w:hint="cs"/>
          <w:b/>
          <w:bCs/>
          <w:spacing w:val="1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2ABA9FE6" w14:textId="77777777" w:rsidR="00D559C9" w:rsidRDefault="005D5E53" w:rsidP="00D559C9">
      <w:pPr>
        <w:spacing w:line="360" w:lineRule="auto"/>
        <w:ind w:left="800" w:hanging="800"/>
        <w:contextualSpacing/>
        <w:jc w:val="both"/>
        <w:rPr>
          <w:rFonts w:ascii="Arial" w:hAnsi="Arial"/>
          <w:u w:val="single"/>
          <w:rtl/>
        </w:rPr>
      </w:pPr>
      <w:r>
        <w:rPr>
          <w:rFonts w:ascii="Arial" w:hAnsi="Arial" w:hint="cs"/>
          <w:rtl/>
        </w:rPr>
        <w:t xml:space="preserve">         </w:t>
      </w:r>
      <w:r w:rsidR="00D559C9">
        <w:rPr>
          <w:rFonts w:ascii="Arial" w:hAnsi="Arial" w:hint="cs"/>
          <w:rtl/>
        </w:rPr>
        <w:t xml:space="preserve">   </w:t>
      </w:r>
      <w:r w:rsidR="00D559C9">
        <w:rPr>
          <w:rFonts w:ascii="Arial" w:hAnsi="Arial" w:hint="cs"/>
          <w:u w:val="single"/>
          <w:rtl/>
        </w:rPr>
        <w:t>נסיבות הקשורות בביצוע העבירות</w:t>
      </w:r>
    </w:p>
    <w:p w14:paraId="54950AF4" w14:textId="77777777" w:rsidR="00D559C9" w:rsidRDefault="00D559C9" w:rsidP="00D559C9">
      <w:pPr>
        <w:overflowPunct w:val="0"/>
        <w:autoSpaceDE w:val="0"/>
        <w:autoSpaceDN w:val="0"/>
        <w:spacing w:line="360" w:lineRule="auto"/>
        <w:jc w:val="both"/>
        <w:rPr>
          <w:rFonts w:ascii="Arial" w:hAnsi="Arial"/>
          <w:u w:val="single"/>
        </w:rPr>
      </w:pPr>
    </w:p>
    <w:p w14:paraId="74D208A8" w14:textId="77777777" w:rsidR="00D559C9" w:rsidRDefault="00D559C9" w:rsidP="00D559C9">
      <w:pPr>
        <w:overflowPunct w:val="0"/>
        <w:autoSpaceDE w:val="0"/>
        <w:autoSpaceDN w:val="0"/>
        <w:spacing w:line="360" w:lineRule="auto"/>
        <w:ind w:left="795" w:hanging="795"/>
        <w:jc w:val="both"/>
        <w:rPr>
          <w:rFonts w:ascii="Arial" w:hAnsi="Arial"/>
          <w:sz w:val="22"/>
          <w:szCs w:val="22"/>
          <w:rtl/>
        </w:rPr>
      </w:pPr>
      <w:r>
        <w:rPr>
          <w:rFonts w:ascii="Arial" w:hAnsi="Arial" w:hint="cs"/>
          <w:rtl/>
        </w:rPr>
        <w:t>6.</w:t>
      </w:r>
      <w:r w:rsidR="005D5E53">
        <w:rPr>
          <w:rFonts w:ascii="Arial" w:hAnsi="Arial" w:hint="cs"/>
          <w:rtl/>
        </w:rPr>
        <w:t xml:space="preserve">       </w:t>
      </w:r>
      <w:r>
        <w:rPr>
          <w:rFonts w:ascii="Arial" w:hAnsi="Arial" w:hint="cs"/>
          <w:rtl/>
        </w:rPr>
        <w:t xml:space="preserve"> </w:t>
      </w:r>
      <w:r>
        <w:rPr>
          <w:rFonts w:ascii="Arial" w:hAnsi="Arial" w:hint="cs"/>
          <w:rtl/>
        </w:rPr>
        <w:tab/>
        <w:t xml:space="preserve">הנאשם נמצא מחזיק ברכבו, בנצרת, אקדח ומחסנית תואמת ובה שלושה-עשר כדורים. </w:t>
      </w:r>
    </w:p>
    <w:p w14:paraId="38A302F4" w14:textId="77777777" w:rsidR="00D559C9" w:rsidRDefault="00D559C9" w:rsidP="00D559C9">
      <w:pPr>
        <w:overflowPunct w:val="0"/>
        <w:autoSpaceDE w:val="0"/>
        <w:autoSpaceDN w:val="0"/>
        <w:spacing w:line="360" w:lineRule="auto"/>
        <w:ind w:left="795" w:hanging="75"/>
        <w:jc w:val="both"/>
        <w:rPr>
          <w:rFonts w:ascii="Arial" w:hAnsi="Arial"/>
          <w:rtl/>
        </w:rPr>
      </w:pPr>
      <w:r>
        <w:rPr>
          <w:rFonts w:ascii="Arial" w:hAnsi="Arial" w:hint="cs"/>
          <w:rtl/>
        </w:rPr>
        <w:t xml:space="preserve"> אין ראיות על אודות משך החזקת הנשק ברכב, והסנגור טען כי מדובר ברכב חונה.</w:t>
      </w:r>
    </w:p>
    <w:p w14:paraId="60B51019" w14:textId="77777777" w:rsidR="00D559C9" w:rsidRDefault="00D559C9" w:rsidP="00D559C9">
      <w:pPr>
        <w:overflowPunct w:val="0"/>
        <w:autoSpaceDE w:val="0"/>
        <w:autoSpaceDN w:val="0"/>
        <w:spacing w:line="360" w:lineRule="auto"/>
        <w:ind w:left="795"/>
        <w:jc w:val="both"/>
        <w:rPr>
          <w:rFonts w:ascii="Calibri" w:hAnsi="Calibri"/>
          <w:rtl/>
        </w:rPr>
      </w:pPr>
      <w:r>
        <w:rPr>
          <w:rFonts w:ascii="Arial" w:hAnsi="Arial" w:hint="cs"/>
          <w:rtl/>
        </w:rPr>
        <w:t>למעשי הנאשם ממד של פגיעה בערכים מוגנים של שלום הציבור וביטחונו, שכן לכל החזקת נשק בידי בלתי מורשה פוטנציאל נזק עצום לפגיעה בשלמות גופו ובחייו של אדם.</w:t>
      </w:r>
    </w:p>
    <w:p w14:paraId="1D377789" w14:textId="77777777" w:rsidR="00D559C9" w:rsidRDefault="00D559C9" w:rsidP="00D559C9">
      <w:pPr>
        <w:overflowPunct w:val="0"/>
        <w:autoSpaceDE w:val="0"/>
        <w:autoSpaceDN w:val="0"/>
        <w:spacing w:line="360" w:lineRule="auto"/>
        <w:ind w:left="795"/>
        <w:jc w:val="both"/>
        <w:rPr>
          <w:rFonts w:ascii="Calibri" w:hAnsi="Calibri"/>
          <w:rtl/>
        </w:rPr>
      </w:pPr>
      <w:r>
        <w:rPr>
          <w:rFonts w:ascii="Calibri" w:hAnsi="Calibri" w:hint="cs"/>
          <w:rtl/>
        </w:rPr>
        <w:t>ישנה משמעות טבועה וברורה מאליה להחזקתו של כלי ממית עם תחמושת תואמת לצדו, ומשמעות טבועה זו הנה כי אותו נשק נועד לפגיעה באחר, בדרך של ירי או למצער של איום, וכי קיים פוטנציאל מובהק לסיכון של הציבור.</w:t>
      </w:r>
    </w:p>
    <w:p w14:paraId="73F17E2F" w14:textId="77777777" w:rsidR="00D559C9" w:rsidRDefault="00D559C9" w:rsidP="00D559C9">
      <w:pPr>
        <w:overflowPunct w:val="0"/>
        <w:autoSpaceDE w:val="0"/>
        <w:autoSpaceDN w:val="0"/>
        <w:spacing w:line="360" w:lineRule="auto"/>
        <w:ind w:left="795" w:hanging="795"/>
        <w:jc w:val="both"/>
        <w:rPr>
          <w:rFonts w:ascii="Arial" w:hAnsi="Arial"/>
          <w:rtl/>
        </w:rPr>
      </w:pPr>
    </w:p>
    <w:p w14:paraId="1282D2DA" w14:textId="77777777" w:rsidR="00D559C9" w:rsidRDefault="00D559C9" w:rsidP="00D559C9">
      <w:pPr>
        <w:overflowPunct w:val="0"/>
        <w:autoSpaceDE w:val="0"/>
        <w:autoSpaceDN w:val="0"/>
        <w:spacing w:line="360" w:lineRule="auto"/>
        <w:ind w:left="795" w:hanging="795"/>
        <w:jc w:val="both"/>
        <w:rPr>
          <w:rFonts w:ascii="Arial" w:hAnsi="Arial"/>
          <w:u w:val="single"/>
          <w:rtl/>
        </w:rPr>
      </w:pPr>
      <w:r>
        <w:rPr>
          <w:rFonts w:ascii="Arial" w:hAnsi="Arial" w:hint="cs"/>
          <w:rtl/>
        </w:rPr>
        <w:t>7.</w:t>
      </w:r>
      <w:r w:rsidR="005D5E53">
        <w:rPr>
          <w:rFonts w:ascii="Arial" w:hAnsi="Arial" w:hint="cs"/>
          <w:rtl/>
        </w:rPr>
        <w:t xml:space="preserve">       </w:t>
      </w:r>
      <w:r>
        <w:rPr>
          <w:rFonts w:ascii="Arial" w:hAnsi="Arial" w:hint="cs"/>
          <w:rtl/>
        </w:rPr>
        <w:t xml:space="preserve"> </w:t>
      </w:r>
      <w:r>
        <w:rPr>
          <w:rFonts w:ascii="Arial" w:hAnsi="Arial" w:hint="cs"/>
          <w:rtl/>
        </w:rPr>
        <w:tab/>
      </w:r>
      <w:r>
        <w:rPr>
          <w:rFonts w:ascii="Arial" w:hAnsi="Arial" w:hint="cs"/>
          <w:u w:val="single"/>
          <w:rtl/>
        </w:rPr>
        <w:t>מדיניות הענישה הנוהגת</w:t>
      </w:r>
    </w:p>
    <w:p w14:paraId="3FDFBFC0" w14:textId="77777777" w:rsidR="00D559C9" w:rsidRDefault="00D559C9" w:rsidP="00D559C9">
      <w:pPr>
        <w:spacing w:line="360" w:lineRule="auto"/>
        <w:ind w:left="795"/>
        <w:jc w:val="both"/>
        <w:rPr>
          <w:rFonts w:ascii="Arial" w:hAnsi="Arial"/>
          <w:rtl/>
        </w:rPr>
      </w:pPr>
      <w:r>
        <w:rPr>
          <w:rFonts w:ascii="Arial" w:hAnsi="Arial" w:hint="cs"/>
          <w:rtl/>
        </w:rPr>
        <w:t xml:space="preserve">בעבירות של </w:t>
      </w:r>
      <w:r>
        <w:rPr>
          <w:rFonts w:ascii="Arial" w:hAnsi="Arial" w:hint="cs"/>
          <w:b/>
          <w:bCs/>
          <w:rtl/>
        </w:rPr>
        <w:t>החזקת נשק</w:t>
      </w:r>
      <w:r>
        <w:rPr>
          <w:rFonts w:ascii="Arial" w:hAnsi="Arial" w:hint="cs"/>
          <w:rtl/>
        </w:rPr>
        <w:t>, השיתו בתי המשפט עונשים הנעים בין מספר חודשי מאסר לריצוי בעבודות שירות ועד למאסרים ממושכים בפועל, ובדרך כלל בצירוף רכיב עונשי כספי, הכל בכפוף לנסיבות ביצוע העבירות, ובהן סוג הנשק, נסיבות החזקתו ומשכה, ובכפוף לנסיבות האישיות של העבריין.</w:t>
      </w:r>
    </w:p>
    <w:p w14:paraId="05CBF854" w14:textId="77777777" w:rsidR="00D559C9" w:rsidRDefault="00D559C9" w:rsidP="00D559C9">
      <w:pPr>
        <w:spacing w:line="360" w:lineRule="auto"/>
        <w:ind w:left="795"/>
        <w:jc w:val="both"/>
        <w:rPr>
          <w:rFonts w:ascii="Arial" w:hAnsi="Arial"/>
        </w:rPr>
      </w:pPr>
    </w:p>
    <w:p w14:paraId="7D025E3E" w14:textId="77777777" w:rsidR="00D559C9" w:rsidRDefault="00D559C9" w:rsidP="00D559C9">
      <w:pPr>
        <w:spacing w:line="360" w:lineRule="auto"/>
        <w:ind w:left="795"/>
        <w:jc w:val="both"/>
        <w:rPr>
          <w:rFonts w:ascii="Arial" w:hAnsi="Arial"/>
          <w:rtl/>
        </w:rPr>
      </w:pPr>
      <w:r>
        <w:rPr>
          <w:rFonts w:ascii="Arial" w:hAnsi="Arial" w:hint="cs"/>
          <w:rtl/>
        </w:rPr>
        <w:t xml:space="preserve">ב"כ הצדדים הפנו לפסקי-הדין הבאים: </w:t>
      </w:r>
    </w:p>
    <w:p w14:paraId="5EE66569" w14:textId="77777777" w:rsidR="00D559C9" w:rsidRDefault="00D559C9" w:rsidP="00D559C9">
      <w:pPr>
        <w:spacing w:line="360" w:lineRule="auto"/>
        <w:ind w:left="795"/>
        <w:jc w:val="both"/>
        <w:rPr>
          <w:rFonts w:ascii="Arial" w:hAnsi="Arial"/>
          <w:rtl/>
        </w:rPr>
      </w:pPr>
    </w:p>
    <w:p w14:paraId="47CD54C5" w14:textId="77777777" w:rsidR="00D559C9" w:rsidRDefault="005D5E53" w:rsidP="00D559C9">
      <w:pPr>
        <w:numPr>
          <w:ilvl w:val="0"/>
          <w:numId w:val="1"/>
        </w:numPr>
        <w:spacing w:line="360" w:lineRule="auto"/>
        <w:contextualSpacing/>
        <w:jc w:val="both"/>
        <w:rPr>
          <w:rFonts w:ascii="Arial" w:hAnsi="Arial"/>
          <w:rtl/>
        </w:rPr>
      </w:pPr>
      <w:hyperlink r:id="rId20" w:history="1">
        <w:r w:rsidRPr="005D5E53">
          <w:rPr>
            <w:rFonts w:ascii="Arial" w:hAnsi="Arial"/>
            <w:color w:val="0000FF"/>
            <w:u w:val="single"/>
            <w:rtl/>
          </w:rPr>
          <w:t>רע"פ 2822/12</w:t>
        </w:r>
      </w:hyperlink>
      <w:r w:rsidR="00D559C9">
        <w:rPr>
          <w:rFonts w:ascii="Arial" w:hAnsi="Arial" w:hint="cs"/>
          <w:rtl/>
        </w:rPr>
        <w:t xml:space="preserve"> </w:t>
      </w:r>
      <w:r w:rsidR="00D559C9">
        <w:rPr>
          <w:rFonts w:ascii="Arial" w:hAnsi="Arial" w:hint="cs"/>
          <w:b/>
          <w:bCs/>
          <w:rtl/>
        </w:rPr>
        <w:t>דואהרי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(25.4.12), אליו הפנה ב"כ המאשימה – המבקש הורשע בעבירה של החזקת נשק. בית-המשפט המחוזי קיבל את ערעור המדינה על קולת העונש </w:t>
      </w:r>
      <w:r w:rsidR="00D559C9">
        <w:rPr>
          <w:rFonts w:ascii="Arial" w:hAnsi="Arial" w:hint="cs"/>
          <w:b/>
          <w:bCs/>
          <w:rtl/>
        </w:rPr>
        <w:t>והעמיד את עונשו על 20 חודשי מאסר לריצוי בפועל, הופעל עונש מאסר על-תנאי בן 10 חודשים שהיה תלוי ועומד נגדו, במצטבר, וכן הושת עונש מאסר על-תנאי בן 12 חודשים.</w:t>
      </w:r>
      <w:r w:rsidR="00D559C9">
        <w:rPr>
          <w:rFonts w:ascii="Arial" w:hAnsi="Arial" w:hint="cs"/>
          <w:rtl/>
        </w:rPr>
        <w:t xml:space="preserve"> בקשת רשות ערעור לעליון נדחתה. </w:t>
      </w:r>
    </w:p>
    <w:p w14:paraId="2B39EB6D" w14:textId="77777777" w:rsidR="00D559C9" w:rsidRDefault="00D559C9" w:rsidP="00D559C9">
      <w:pPr>
        <w:spacing w:line="360" w:lineRule="auto"/>
        <w:ind w:left="1440"/>
        <w:contextualSpacing/>
        <w:jc w:val="both"/>
        <w:rPr>
          <w:rFonts w:ascii="Arial" w:hAnsi="Arial"/>
          <w:rtl/>
        </w:rPr>
      </w:pPr>
    </w:p>
    <w:p w14:paraId="6809709D" w14:textId="77777777" w:rsidR="00D559C9" w:rsidRDefault="005D5E53" w:rsidP="00D559C9">
      <w:pPr>
        <w:numPr>
          <w:ilvl w:val="0"/>
          <w:numId w:val="1"/>
        </w:numPr>
        <w:spacing w:line="360" w:lineRule="auto"/>
        <w:contextualSpacing/>
        <w:jc w:val="both"/>
        <w:rPr>
          <w:rFonts w:ascii="Arial" w:hAnsi="Arial"/>
        </w:rPr>
      </w:pPr>
      <w:hyperlink r:id="rId21" w:history="1">
        <w:r w:rsidRPr="005D5E53">
          <w:rPr>
            <w:rFonts w:ascii="Arial" w:hAnsi="Arial"/>
            <w:color w:val="0000FF"/>
            <w:u w:val="single"/>
            <w:rtl/>
          </w:rPr>
          <w:t>ע"פ 5604/11</w:t>
        </w:r>
      </w:hyperlink>
      <w:r w:rsidR="00D559C9">
        <w:rPr>
          <w:rFonts w:ascii="Arial" w:hAnsi="Arial" w:hint="cs"/>
          <w:rtl/>
        </w:rPr>
        <w:t xml:space="preserve"> </w:t>
      </w:r>
      <w:r w:rsidR="00D559C9">
        <w:rPr>
          <w:rFonts w:ascii="Arial" w:hAnsi="Arial" w:hint="cs"/>
          <w:b/>
          <w:bCs/>
          <w:rtl/>
        </w:rPr>
        <w:t xml:space="preserve">נאסר נ' מדינת ישראל </w:t>
      </w:r>
      <w:r w:rsidR="003257EF" w:rsidRPr="003257EF">
        <w:rPr>
          <w:sz w:val="22"/>
          <w:rtl/>
        </w:rPr>
        <w:t xml:space="preserve">[פורסם בנבו] </w:t>
      </w:r>
      <w:r w:rsidR="00D559C9">
        <w:rPr>
          <w:rFonts w:ascii="Arial" w:hAnsi="Arial" w:hint="cs"/>
          <w:rtl/>
        </w:rPr>
        <w:t xml:space="preserve">(5.10.11); </w:t>
      </w:r>
      <w:hyperlink r:id="rId22" w:history="1">
        <w:r w:rsidRPr="005D5E53">
          <w:rPr>
            <w:rFonts w:ascii="Arial" w:hAnsi="Arial"/>
            <w:color w:val="0000FF"/>
            <w:u w:val="single"/>
            <w:rtl/>
          </w:rPr>
          <w:t>ת"פ (מח' נצ') 12811-04-11</w:t>
        </w:r>
      </w:hyperlink>
      <w:r w:rsidR="00D559C9">
        <w:rPr>
          <w:rFonts w:ascii="Arial" w:hAnsi="Arial" w:hint="cs"/>
          <w:rtl/>
        </w:rPr>
        <w:t xml:space="preserve"> </w:t>
      </w:r>
      <w:r w:rsidR="00D559C9">
        <w:rPr>
          <w:rFonts w:ascii="Arial" w:hAnsi="Arial" w:hint="cs"/>
          <w:b/>
          <w:bCs/>
          <w:rtl/>
        </w:rPr>
        <w:t>מדינת ישראל נ' נאסר</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(15.6.11) אליהם הפנה ב"כ המאשימה, שם הנאשם הורשע בבית-המשפט המחוזי, על-פי הודאתו, בעבירה של החזקת נשק, לאחר שנמצא מחזיק אקדח בביתו. </w:t>
      </w:r>
      <w:r w:rsidR="00D559C9">
        <w:rPr>
          <w:rFonts w:ascii="Arial" w:hAnsi="Arial" w:hint="cs"/>
          <w:b/>
          <w:bCs/>
          <w:rtl/>
        </w:rPr>
        <w:t>נגזרו 12 חודשי מאסר בפועל, מאסר על-תנאי וקנס.</w:t>
      </w:r>
      <w:r w:rsidR="00D559C9">
        <w:rPr>
          <w:rFonts w:ascii="Arial" w:hAnsi="Arial" w:hint="cs"/>
          <w:rtl/>
        </w:rPr>
        <w:t xml:space="preserve"> ערעורו לבית-המשפט העליון נדחה.</w:t>
      </w:r>
    </w:p>
    <w:p w14:paraId="4D3223D5" w14:textId="77777777" w:rsidR="00D559C9" w:rsidRDefault="00D559C9" w:rsidP="00D559C9">
      <w:pPr>
        <w:spacing w:after="160" w:line="254" w:lineRule="auto"/>
        <w:ind w:left="720"/>
        <w:contextualSpacing/>
        <w:rPr>
          <w:rFonts w:ascii="Arial" w:hAnsi="Arial"/>
          <w:rtl/>
        </w:rPr>
      </w:pPr>
    </w:p>
    <w:p w14:paraId="17957255" w14:textId="77777777" w:rsidR="00D559C9" w:rsidRDefault="005D5E53" w:rsidP="00D559C9">
      <w:pPr>
        <w:numPr>
          <w:ilvl w:val="0"/>
          <w:numId w:val="1"/>
        </w:numPr>
        <w:spacing w:line="360" w:lineRule="auto"/>
        <w:contextualSpacing/>
        <w:jc w:val="both"/>
        <w:rPr>
          <w:rFonts w:ascii="Arial" w:hAnsi="Arial"/>
        </w:rPr>
      </w:pPr>
      <w:hyperlink r:id="rId23" w:history="1">
        <w:r w:rsidRPr="005D5E53">
          <w:rPr>
            <w:rFonts w:ascii="Arial" w:hAnsi="Arial"/>
            <w:color w:val="0000FF"/>
            <w:u w:val="single"/>
            <w:rtl/>
          </w:rPr>
          <w:t>ע"פ 3288/14</w:t>
        </w:r>
      </w:hyperlink>
      <w:r w:rsidR="00D559C9">
        <w:rPr>
          <w:rFonts w:ascii="Arial" w:hAnsi="Arial" w:hint="cs"/>
          <w:rtl/>
        </w:rPr>
        <w:t xml:space="preserve"> </w:t>
      </w:r>
      <w:r w:rsidR="00D559C9">
        <w:rPr>
          <w:rFonts w:ascii="Arial" w:hAnsi="Arial" w:hint="cs"/>
          <w:b/>
          <w:bCs/>
          <w:rtl/>
        </w:rPr>
        <w:t>מדינת ישראל נ' קריספיל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(24.8.14), אליו הפנה ב"כ המאשימה, שם המשיב הורשע בעבירות של החזקת נשק והחזקת נכס החשוד כגנוב, לאחר שנמצא יוצא מבית כשבידו שקית ובה אקדח הטעון במחסנית ובה שבעה כדורים, אקדח שנגנב מבעליו כמה שנים קודם לכן, ולצדו משתיק קול. </w:t>
      </w:r>
      <w:r w:rsidR="00D559C9">
        <w:rPr>
          <w:rFonts w:ascii="Arial" w:hAnsi="Arial" w:hint="cs"/>
          <w:b/>
          <w:bCs/>
          <w:rtl/>
        </w:rPr>
        <w:t>בית-המשפט המחוזי קבע מתחם עונש הולם הנע בין 6 ל-22 חודשי מאסר בפועל, והטיל על המשיב 9 חודשי מאסר בפועל, מאסר על-תנאי וקנס</w:t>
      </w:r>
      <w:r w:rsidR="00D559C9">
        <w:rPr>
          <w:rFonts w:ascii="Arial" w:hAnsi="Arial" w:hint="cs"/>
          <w:rtl/>
        </w:rPr>
        <w:t xml:space="preserve">. בית-המשפט העליון קיבל את ערעור המדינה, בהתחשב בחומרת נסיבות החזקת הנשק, והעמיד את עונשו של המשיב על </w:t>
      </w:r>
      <w:r w:rsidR="00D559C9">
        <w:rPr>
          <w:rFonts w:ascii="Arial" w:hAnsi="Arial" w:hint="cs"/>
          <w:b/>
          <w:bCs/>
          <w:rtl/>
        </w:rPr>
        <w:t>18 חודשי מאסר בפועל</w:t>
      </w:r>
      <w:r w:rsidR="00D559C9">
        <w:rPr>
          <w:rFonts w:ascii="Arial" w:hAnsi="Arial" w:hint="cs"/>
          <w:rtl/>
        </w:rPr>
        <w:t>.</w:t>
      </w:r>
    </w:p>
    <w:p w14:paraId="5B4FD316" w14:textId="77777777" w:rsidR="00D559C9" w:rsidRDefault="00D559C9" w:rsidP="00D559C9">
      <w:pPr>
        <w:spacing w:after="160" w:line="254" w:lineRule="auto"/>
        <w:ind w:left="720"/>
        <w:contextualSpacing/>
        <w:rPr>
          <w:rFonts w:ascii="Arial" w:hAnsi="Arial"/>
          <w:rtl/>
        </w:rPr>
      </w:pPr>
    </w:p>
    <w:p w14:paraId="2061D347" w14:textId="77777777" w:rsidR="00D559C9" w:rsidRDefault="005D5E53" w:rsidP="00D559C9">
      <w:pPr>
        <w:numPr>
          <w:ilvl w:val="0"/>
          <w:numId w:val="1"/>
        </w:numPr>
        <w:spacing w:line="360" w:lineRule="auto"/>
        <w:contextualSpacing/>
        <w:jc w:val="both"/>
        <w:rPr>
          <w:rFonts w:ascii="Arial" w:hAnsi="Arial"/>
        </w:rPr>
      </w:pPr>
      <w:hyperlink r:id="rId24" w:history="1">
        <w:r w:rsidRPr="005D5E53">
          <w:rPr>
            <w:rFonts w:ascii="Arial" w:hAnsi="Arial"/>
            <w:color w:val="0000FF"/>
            <w:u w:val="single"/>
            <w:rtl/>
          </w:rPr>
          <w:t>ע"פ 3632/14</w:t>
        </w:r>
      </w:hyperlink>
      <w:r w:rsidR="00D559C9">
        <w:rPr>
          <w:rFonts w:ascii="Arial" w:hAnsi="Arial" w:hint="cs"/>
          <w:rtl/>
        </w:rPr>
        <w:t xml:space="preserve"> </w:t>
      </w:r>
      <w:r w:rsidR="00D559C9">
        <w:rPr>
          <w:rFonts w:ascii="Arial" w:hAnsi="Arial" w:hint="cs"/>
          <w:b/>
          <w:bCs/>
          <w:rtl/>
        </w:rPr>
        <w:t>אבו סבית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(29.5.14), אליו הפנה ב"כ המאשימה, שם נקבע מתחם עונש הולם הנע </w:t>
      </w:r>
      <w:r w:rsidR="00D559C9">
        <w:rPr>
          <w:rFonts w:ascii="Arial" w:hAnsi="Arial" w:hint="cs"/>
          <w:b/>
          <w:bCs/>
          <w:rtl/>
        </w:rPr>
        <w:t>בין שנה לשלוש שנות מאסר</w:t>
      </w:r>
      <w:r w:rsidR="00D559C9">
        <w:rPr>
          <w:rFonts w:ascii="Arial" w:hAnsi="Arial" w:hint="cs"/>
          <w:rtl/>
        </w:rPr>
        <w:t xml:space="preserve"> בעבירה של החזקת נשק, והוטלו </w:t>
      </w:r>
      <w:r w:rsidR="00D559C9">
        <w:rPr>
          <w:rFonts w:ascii="Arial" w:hAnsi="Arial" w:hint="cs"/>
          <w:b/>
          <w:bCs/>
          <w:rtl/>
        </w:rPr>
        <w:t>18 חודשי מאסר בפועל</w:t>
      </w:r>
      <w:r w:rsidR="00D559C9">
        <w:rPr>
          <w:rFonts w:ascii="Arial" w:hAnsi="Arial" w:hint="cs"/>
          <w:rtl/>
        </w:rPr>
        <w:t xml:space="preserve">. </w:t>
      </w:r>
    </w:p>
    <w:p w14:paraId="63F30DED" w14:textId="77777777" w:rsidR="00D559C9" w:rsidRDefault="00D559C9" w:rsidP="00D559C9">
      <w:pPr>
        <w:spacing w:after="160" w:line="254" w:lineRule="auto"/>
        <w:ind w:left="720"/>
        <w:contextualSpacing/>
        <w:rPr>
          <w:rFonts w:ascii="Arial" w:hAnsi="Arial"/>
          <w:rtl/>
        </w:rPr>
      </w:pPr>
    </w:p>
    <w:p w14:paraId="7E6A33B5" w14:textId="77777777" w:rsidR="00D559C9" w:rsidRDefault="005D5E53" w:rsidP="00D559C9">
      <w:pPr>
        <w:numPr>
          <w:ilvl w:val="0"/>
          <w:numId w:val="1"/>
        </w:numPr>
        <w:spacing w:line="360" w:lineRule="auto"/>
        <w:contextualSpacing/>
        <w:jc w:val="both"/>
        <w:rPr>
          <w:rFonts w:ascii="Arial" w:hAnsi="Arial"/>
        </w:rPr>
      </w:pPr>
      <w:hyperlink r:id="rId25" w:history="1">
        <w:r w:rsidRPr="005D5E53">
          <w:rPr>
            <w:rFonts w:ascii="Arial" w:hAnsi="Arial"/>
            <w:color w:val="0000FF"/>
            <w:u w:val="single"/>
            <w:rtl/>
          </w:rPr>
          <w:t>עפ"ג (מח' נצ') 37217-03-19</w:t>
        </w:r>
      </w:hyperlink>
      <w:r w:rsidR="00D559C9">
        <w:rPr>
          <w:rFonts w:ascii="Arial" w:hAnsi="Arial" w:hint="cs"/>
          <w:rtl/>
        </w:rPr>
        <w:t xml:space="preserve"> </w:t>
      </w:r>
      <w:r w:rsidR="00D559C9">
        <w:rPr>
          <w:rFonts w:ascii="Arial" w:hAnsi="Arial" w:hint="cs"/>
          <w:b/>
          <w:bCs/>
          <w:rtl/>
        </w:rPr>
        <w:t>ג'ואברה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(25.11.19), אליו הפנה ב"כ המאשימה – שם המערער החזיק באקדח חצי אוטומטי בשידה ליד מיטתו. בית-משפט השלום קבע </w:t>
      </w:r>
      <w:r w:rsidR="00D559C9">
        <w:rPr>
          <w:rFonts w:ascii="Arial" w:hAnsi="Arial" w:hint="cs"/>
          <w:b/>
          <w:bCs/>
          <w:rtl/>
        </w:rPr>
        <w:t>מתחם עונש הולם הנע בין 6 ל-24 חודשי מאסר בפועל, והטיל עליו 8 חודשי מאסר בפועל בניכוי ימי המעצר, 12 חודשי מאסר על-תנאי, וקנס כספי</w:t>
      </w:r>
      <w:r w:rsidR="00D559C9">
        <w:rPr>
          <w:rFonts w:ascii="Arial" w:hAnsi="Arial" w:hint="cs"/>
          <w:rtl/>
        </w:rPr>
        <w:t xml:space="preserve">. בית-המשפט המחוזי קבע כי אין מקום להתערב במתחם העונש ההולם שנקבע ובעונש שנקבע בתוכו, ודחה את ערעורו. </w:t>
      </w:r>
    </w:p>
    <w:p w14:paraId="4B4E9533" w14:textId="77777777" w:rsidR="00D559C9" w:rsidRDefault="00D559C9" w:rsidP="00D559C9">
      <w:pPr>
        <w:spacing w:after="160" w:line="254" w:lineRule="auto"/>
        <w:ind w:left="720"/>
        <w:contextualSpacing/>
        <w:rPr>
          <w:rFonts w:ascii="Arial" w:hAnsi="Arial"/>
          <w:rtl/>
        </w:rPr>
      </w:pPr>
    </w:p>
    <w:p w14:paraId="20BE957A" w14:textId="77777777" w:rsidR="00D559C9" w:rsidRDefault="005D5E53" w:rsidP="00D559C9">
      <w:pPr>
        <w:numPr>
          <w:ilvl w:val="0"/>
          <w:numId w:val="1"/>
        </w:numPr>
        <w:spacing w:line="360" w:lineRule="auto"/>
        <w:contextualSpacing/>
        <w:jc w:val="both"/>
        <w:rPr>
          <w:rFonts w:ascii="Arial" w:hAnsi="Arial"/>
        </w:rPr>
      </w:pPr>
      <w:hyperlink r:id="rId26" w:history="1">
        <w:r w:rsidRPr="005D5E53">
          <w:rPr>
            <w:rFonts w:ascii="Arial" w:hAnsi="Arial"/>
            <w:color w:val="0000FF"/>
            <w:u w:val="single"/>
            <w:rtl/>
          </w:rPr>
          <w:t>ע"פ 4978/19</w:t>
        </w:r>
      </w:hyperlink>
      <w:r w:rsidR="00D559C9">
        <w:rPr>
          <w:rFonts w:ascii="Arial" w:hAnsi="Arial" w:hint="cs"/>
          <w:rtl/>
        </w:rPr>
        <w:t xml:space="preserve"> </w:t>
      </w:r>
      <w:r w:rsidR="00D559C9">
        <w:rPr>
          <w:rFonts w:ascii="Arial" w:hAnsi="Arial" w:hint="cs"/>
          <w:b/>
          <w:bCs/>
          <w:rtl/>
        </w:rPr>
        <w:t>אבו מנסור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(28.1.20), אליו הפנה ב"כ הנאשם, שם דובר בשני אחים, שברכבם נמצאו רובה סער, ושתי מחסניות ובהן 26 ו-27 כדורים, שתי מחסניות המתאימות לאקדח, שלושה כדורים ומכלול לנשק. המערער 1 הורשע בעבירה של נשיאה והובלת נשק ומערער 2 הורשע בהחזקת נשק. בבית המשפט המחוזי </w:t>
      </w:r>
      <w:r w:rsidR="00D559C9">
        <w:rPr>
          <w:rFonts w:ascii="Arial" w:hAnsi="Arial" w:hint="cs"/>
          <w:b/>
          <w:bCs/>
          <w:rtl/>
        </w:rPr>
        <w:t>נדון</w:t>
      </w:r>
      <w:r w:rsidR="00D559C9">
        <w:rPr>
          <w:rFonts w:ascii="Arial" w:hAnsi="Arial" w:hint="cs"/>
          <w:rtl/>
        </w:rPr>
        <w:t xml:space="preserve"> </w:t>
      </w:r>
      <w:r w:rsidR="00D559C9">
        <w:rPr>
          <w:rFonts w:ascii="Arial" w:hAnsi="Arial" w:hint="cs"/>
          <w:b/>
          <w:bCs/>
          <w:rtl/>
        </w:rPr>
        <w:t>המערער 1 ל-18 חודשי מאסר בפועל ואילו המערער 2 נדון ל-9 חודשי מאסר לריצוי בעבודות שירות.</w:t>
      </w:r>
      <w:r w:rsidR="00D559C9">
        <w:rPr>
          <w:rFonts w:ascii="Arial" w:hAnsi="Arial" w:hint="cs"/>
          <w:rtl/>
        </w:rPr>
        <w:t xml:space="preserve"> בית-המשפט העליון מצא לקבל את הערעור, ולהטיל על מערער 1, משיקולי שיקום ובהם – העדר עבר פלילי, הודאה וקבלת אחריות, הליך טיפולי מוצלח, הערכת סיכון נמוכה ותסקירי שירות מבחן חיוביים, </w:t>
      </w:r>
      <w:r w:rsidR="00D559C9">
        <w:rPr>
          <w:rFonts w:ascii="Arial" w:hAnsi="Arial" w:hint="cs"/>
          <w:b/>
          <w:bCs/>
          <w:rtl/>
        </w:rPr>
        <w:t>12 חודשי מאסר בפועל</w:t>
      </w:r>
      <w:r w:rsidR="00D559C9">
        <w:rPr>
          <w:rFonts w:ascii="Arial" w:hAnsi="Arial" w:hint="cs"/>
          <w:rtl/>
        </w:rPr>
        <w:t xml:space="preserve">, חרף ההמלצה להימנע מהטלת מאסר מאחורי סורג ובריח. לשם שמירה על מדרג עונשים הולם, הועמד עונשו של מערער 2 על </w:t>
      </w:r>
      <w:r w:rsidR="00D559C9">
        <w:rPr>
          <w:rFonts w:ascii="Arial" w:hAnsi="Arial" w:hint="cs"/>
          <w:b/>
          <w:bCs/>
          <w:rtl/>
        </w:rPr>
        <w:t>6 חודשי מאסר לריצוי בעבודות שירות</w:t>
      </w:r>
      <w:r w:rsidR="00D559C9">
        <w:rPr>
          <w:rFonts w:ascii="Arial" w:hAnsi="Arial" w:hint="cs"/>
          <w:rtl/>
        </w:rPr>
        <w:t xml:space="preserve">. </w:t>
      </w:r>
    </w:p>
    <w:p w14:paraId="4A793BE4" w14:textId="77777777" w:rsidR="00D559C9" w:rsidRDefault="00D559C9" w:rsidP="00D559C9">
      <w:pPr>
        <w:spacing w:after="160" w:line="360" w:lineRule="auto"/>
        <w:ind w:left="720"/>
        <w:contextualSpacing/>
        <w:rPr>
          <w:rFonts w:ascii="Arial" w:hAnsi="Arial"/>
          <w:rtl/>
        </w:rPr>
      </w:pPr>
    </w:p>
    <w:p w14:paraId="27FB7A1D" w14:textId="77777777" w:rsidR="00D559C9" w:rsidRDefault="00D559C9" w:rsidP="00D559C9">
      <w:pPr>
        <w:spacing w:line="360" w:lineRule="auto"/>
        <w:ind w:left="1440" w:hanging="645"/>
        <w:jc w:val="both"/>
        <w:rPr>
          <w:rFonts w:ascii="Arial" w:hAnsi="Arial"/>
          <w:rtl/>
        </w:rPr>
      </w:pPr>
    </w:p>
    <w:p w14:paraId="75886DAB" w14:textId="77777777" w:rsidR="00D559C9" w:rsidRDefault="00D559C9" w:rsidP="00D559C9">
      <w:pPr>
        <w:spacing w:line="360" w:lineRule="auto"/>
        <w:ind w:left="1440" w:hanging="645"/>
        <w:jc w:val="both"/>
        <w:rPr>
          <w:rFonts w:ascii="Arial" w:hAnsi="Arial"/>
        </w:rPr>
      </w:pPr>
      <w:r>
        <w:rPr>
          <w:rFonts w:ascii="Arial" w:hAnsi="Arial" w:hint="cs"/>
          <w:rtl/>
        </w:rPr>
        <w:t>ניתן לעיין בנוסף בפסקי-הדין הבאים:</w:t>
      </w:r>
    </w:p>
    <w:p w14:paraId="0DE42FBC" w14:textId="77777777" w:rsidR="00D559C9" w:rsidRDefault="00D559C9" w:rsidP="00D559C9">
      <w:pPr>
        <w:spacing w:line="360" w:lineRule="auto"/>
        <w:ind w:left="1440" w:hanging="645"/>
        <w:jc w:val="both"/>
        <w:rPr>
          <w:rFonts w:ascii="Arial" w:hAnsi="Arial"/>
          <w:rtl/>
        </w:rPr>
      </w:pPr>
    </w:p>
    <w:p w14:paraId="06080775" w14:textId="77777777" w:rsidR="00D559C9" w:rsidRDefault="00D559C9" w:rsidP="00D559C9">
      <w:pPr>
        <w:spacing w:line="360" w:lineRule="auto"/>
        <w:ind w:left="1440" w:hanging="645"/>
        <w:jc w:val="both"/>
        <w:rPr>
          <w:rFonts w:ascii="Arial" w:hAnsi="Arial"/>
          <w:rtl/>
        </w:rPr>
      </w:pPr>
      <w:r>
        <w:rPr>
          <w:rFonts w:ascii="Arial" w:hAnsi="Arial" w:hint="cs"/>
          <w:rtl/>
        </w:rPr>
        <w:t>א.</w:t>
      </w:r>
      <w:r w:rsidR="005D5E53">
        <w:rPr>
          <w:rFonts w:ascii="Arial" w:hAnsi="Arial" w:hint="cs"/>
          <w:rtl/>
        </w:rPr>
        <w:t xml:space="preserve">       </w:t>
      </w:r>
      <w:r>
        <w:rPr>
          <w:rFonts w:ascii="Arial" w:hAnsi="Arial" w:hint="cs"/>
          <w:rtl/>
        </w:rPr>
        <w:t xml:space="preserve"> </w:t>
      </w:r>
      <w:hyperlink r:id="rId27" w:history="1">
        <w:r w:rsidR="005D5E53" w:rsidRPr="005D5E53">
          <w:rPr>
            <w:rFonts w:ascii="Arial" w:hAnsi="Arial"/>
            <w:color w:val="0000FF"/>
            <w:u w:val="single"/>
            <w:rtl/>
          </w:rPr>
          <w:t>רע"פ 7344/18</w:t>
        </w:r>
      </w:hyperlink>
      <w:r>
        <w:rPr>
          <w:rFonts w:ascii="Arial" w:hAnsi="Arial" w:hint="cs"/>
          <w:rtl/>
        </w:rPr>
        <w:t xml:space="preserve"> </w:t>
      </w:r>
      <w:r>
        <w:rPr>
          <w:rFonts w:ascii="Arial" w:hAnsi="Arial" w:hint="cs"/>
          <w:b/>
          <w:bCs/>
          <w:rtl/>
        </w:rPr>
        <w:t>מג'יד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 בעניינו של המבקש נקבע בבית-משפט השלום כי מתחם העונש ההולם בעבירה של החזקת נשק נע בין 6 ל-24 חודשי מאסר בפועל, אך נוכח קיומם של סיכויי שיקום, הוטלו על הנאשם עונש של 6 חודשי מאסר לריצוי בפועל, צו מבחן ועונשים נלווים. בית-המשפט המחוזי קיבל את ערעור המדינה על קולת העונש, בקבעו כי העונש סוטה באופן ברור לקולא ממדיניות הענישה הראויה בנסיבות המקרה, </w:t>
      </w:r>
      <w:r>
        <w:rPr>
          <w:rFonts w:ascii="Arial" w:hAnsi="Arial" w:hint="cs"/>
          <w:b/>
          <w:bCs/>
          <w:rtl/>
        </w:rPr>
        <w:t>והעמיד את עונשו של המבקש על 8 חודשי מאסר בפועל</w:t>
      </w:r>
      <w:r>
        <w:rPr>
          <w:rFonts w:ascii="Arial" w:hAnsi="Arial" w:hint="cs"/>
          <w:rtl/>
        </w:rPr>
        <w:t xml:space="preserve">. בקשת רשות ערעור לעליון נדחתה. </w:t>
      </w:r>
    </w:p>
    <w:p w14:paraId="7D12C3E7" w14:textId="77777777" w:rsidR="00D559C9" w:rsidRDefault="00D559C9" w:rsidP="00D559C9">
      <w:pPr>
        <w:spacing w:line="360" w:lineRule="auto"/>
        <w:ind w:left="1440" w:hanging="645"/>
        <w:jc w:val="both"/>
        <w:rPr>
          <w:rFonts w:ascii="Arial" w:hAnsi="Arial"/>
          <w:rtl/>
        </w:rPr>
      </w:pPr>
    </w:p>
    <w:p w14:paraId="53F28228" w14:textId="77777777" w:rsidR="00D559C9" w:rsidRDefault="00D559C9" w:rsidP="00D559C9">
      <w:pPr>
        <w:spacing w:line="360" w:lineRule="auto"/>
        <w:ind w:left="1440" w:hanging="645"/>
        <w:jc w:val="both"/>
        <w:rPr>
          <w:rFonts w:ascii="Arial" w:hAnsi="Arial"/>
          <w:rtl/>
        </w:rPr>
      </w:pPr>
      <w:r>
        <w:rPr>
          <w:rFonts w:ascii="Arial" w:hAnsi="Arial" w:hint="cs"/>
          <w:rtl/>
        </w:rPr>
        <w:t>ב.</w:t>
      </w:r>
      <w:r>
        <w:rPr>
          <w:rFonts w:ascii="Arial" w:hAnsi="Arial" w:hint="cs"/>
          <w:rtl/>
        </w:rPr>
        <w:tab/>
      </w:r>
      <w:hyperlink r:id="rId28" w:history="1">
        <w:r w:rsidR="005D5E53" w:rsidRPr="005D5E53">
          <w:rPr>
            <w:rFonts w:ascii="Arial" w:hAnsi="Arial"/>
            <w:color w:val="0000FF"/>
            <w:u w:val="single"/>
            <w:rtl/>
          </w:rPr>
          <w:t>ע"פ (נצ') 53396-06-13</w:t>
        </w:r>
      </w:hyperlink>
      <w:r>
        <w:rPr>
          <w:rFonts w:ascii="Arial" w:hAnsi="Arial" w:hint="cs"/>
          <w:rtl/>
        </w:rPr>
        <w:t xml:space="preserve"> </w:t>
      </w:r>
      <w:r>
        <w:rPr>
          <w:rFonts w:ascii="Arial" w:hAnsi="Arial" w:hint="cs"/>
          <w:b/>
          <w:bCs/>
          <w:rtl/>
        </w:rPr>
        <w:t>זועבי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(29.10.13) – המערער הורשע, על פי הודאתו, בעבירות של החזקת נשק והחזקת תחמושת, לאחר שהסתיר תיק ובו אקדח ותחמושת בחדר בביתו. </w:t>
      </w:r>
      <w:r>
        <w:rPr>
          <w:rFonts w:ascii="Arial" w:hAnsi="Arial" w:hint="cs"/>
          <w:b/>
          <w:bCs/>
          <w:rtl/>
        </w:rPr>
        <w:t xml:space="preserve">בית-משפט השלום קבע מתחם עונש הולם הנע בין 8 ל-16 חודשי מאסר בפועל וגזר עליו 10 חודשי מאסר בפועל, 10 חודשי מאסר על-תנאי וקנס בסך 5,000 ₪. </w:t>
      </w:r>
      <w:r>
        <w:rPr>
          <w:rFonts w:ascii="Arial" w:hAnsi="Arial" w:hint="cs"/>
          <w:rtl/>
        </w:rPr>
        <w:t xml:space="preserve">בית-המשפט המחוזי קבע כי עונש המאסר שהושת מחמיר עם המערער יתר על המידה, ואינו משקלל נכונה את מקבץ הנסיבות לקולא הקמות בעניינו, והעמיד את עונשו על </w:t>
      </w:r>
      <w:r>
        <w:rPr>
          <w:rFonts w:ascii="Arial" w:hAnsi="Arial" w:hint="cs"/>
          <w:b/>
          <w:bCs/>
          <w:rtl/>
        </w:rPr>
        <w:t>7 חודשי מאסר בפועל</w:t>
      </w:r>
      <w:r>
        <w:rPr>
          <w:rFonts w:ascii="Arial" w:hAnsi="Arial" w:hint="cs"/>
          <w:rtl/>
        </w:rPr>
        <w:t xml:space="preserve">. </w:t>
      </w:r>
    </w:p>
    <w:p w14:paraId="19782182" w14:textId="77777777" w:rsidR="00D559C9" w:rsidRDefault="00D559C9" w:rsidP="00D559C9">
      <w:pPr>
        <w:spacing w:line="360" w:lineRule="auto"/>
        <w:ind w:left="1440" w:hanging="645"/>
        <w:jc w:val="both"/>
        <w:rPr>
          <w:rFonts w:ascii="Arial" w:hAnsi="Arial"/>
          <w:rtl/>
        </w:rPr>
      </w:pPr>
    </w:p>
    <w:p w14:paraId="30AA3E10" w14:textId="77777777" w:rsidR="00D559C9" w:rsidRDefault="00D559C9" w:rsidP="00D559C9">
      <w:pPr>
        <w:spacing w:line="360" w:lineRule="auto"/>
        <w:ind w:left="1440" w:hanging="645"/>
        <w:jc w:val="both"/>
        <w:rPr>
          <w:rFonts w:ascii="Arial" w:hAnsi="Arial"/>
          <w:rtl/>
        </w:rPr>
      </w:pPr>
      <w:r>
        <w:rPr>
          <w:rFonts w:ascii="Arial" w:hAnsi="Arial" w:hint="cs"/>
          <w:rtl/>
        </w:rPr>
        <w:t>ג.</w:t>
      </w:r>
      <w:r w:rsidR="005D5E53">
        <w:rPr>
          <w:rFonts w:ascii="Arial" w:hAnsi="Arial" w:hint="cs"/>
          <w:rtl/>
        </w:rPr>
        <w:t xml:space="preserve">       </w:t>
      </w:r>
      <w:r>
        <w:rPr>
          <w:rFonts w:ascii="Arial" w:hAnsi="Arial" w:hint="cs"/>
          <w:rtl/>
        </w:rPr>
        <w:t xml:space="preserve"> </w:t>
      </w:r>
      <w:hyperlink r:id="rId29" w:history="1">
        <w:r w:rsidR="005D5E53" w:rsidRPr="005D5E53">
          <w:rPr>
            <w:rFonts w:ascii="Arial" w:hAnsi="Arial"/>
            <w:color w:val="0000FF"/>
            <w:u w:val="single"/>
            <w:rtl/>
          </w:rPr>
          <w:t>ע"פ 1505/14</w:t>
        </w:r>
      </w:hyperlink>
      <w:r>
        <w:rPr>
          <w:rFonts w:ascii="Arial" w:hAnsi="Arial" w:hint="cs"/>
          <w:rtl/>
        </w:rPr>
        <w:t xml:space="preserve"> </w:t>
      </w:r>
      <w:r>
        <w:rPr>
          <w:rFonts w:ascii="Arial" w:hAnsi="Arial" w:hint="cs"/>
          <w:b/>
          <w:bCs/>
          <w:rtl/>
        </w:rPr>
        <w:t>לידאוי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(4.11.14) על המערער, בן 60 וללא עבר מכביד, שהורשע בעבירות של החזקת נשק, הפרעה לשוטר, והחזקת רכוש החשוד כגנוב, לאחר שהחזיק בביתו אקדח החשוד כגנוב, נגזרו 8 חודשי מאסר בפועל, מאסרים על-תנאי וקנס בסך 5,000 ₪. בית-המשפט המחוזי קבע בנסיבות העבירות מתחם עונש הולם הנע בין 7 ל-24 חודשי מאסר בפועל. </w:t>
      </w:r>
      <w:r>
        <w:rPr>
          <w:rFonts w:ascii="Arial" w:hAnsi="Arial" w:hint="cs"/>
          <w:b/>
          <w:bCs/>
          <w:rtl/>
        </w:rPr>
        <w:t>בית-המשפט העליון קיבל את הערעור, באופן חלקי, והעמיד את עונשו של המערער על ששה חודשי מאסר לריצוי בעבודות שירות.</w:t>
      </w:r>
      <w:r>
        <w:rPr>
          <w:rFonts w:ascii="Arial" w:hAnsi="Arial" w:hint="cs"/>
          <w:rtl/>
        </w:rPr>
        <w:t xml:space="preserve"> </w:t>
      </w:r>
    </w:p>
    <w:p w14:paraId="0E1BAA62" w14:textId="77777777" w:rsidR="00D559C9" w:rsidRDefault="00D559C9" w:rsidP="00D559C9">
      <w:pPr>
        <w:spacing w:line="360" w:lineRule="auto"/>
        <w:ind w:left="1440" w:hanging="645"/>
        <w:jc w:val="both"/>
        <w:rPr>
          <w:rFonts w:ascii="Arial" w:hAnsi="Arial"/>
          <w:rtl/>
        </w:rPr>
      </w:pPr>
    </w:p>
    <w:p w14:paraId="5664186A" w14:textId="77777777" w:rsidR="00D559C9" w:rsidRDefault="00D559C9" w:rsidP="00D559C9">
      <w:pPr>
        <w:spacing w:line="360" w:lineRule="auto"/>
        <w:ind w:left="720" w:hanging="720"/>
        <w:jc w:val="both"/>
        <w:rPr>
          <w:rFonts w:ascii="Arial" w:hAnsi="Arial"/>
          <w:b/>
          <w:bCs/>
          <w:rtl/>
        </w:rPr>
      </w:pPr>
      <w:r>
        <w:rPr>
          <w:rFonts w:ascii="Arial" w:hAnsi="Arial" w:hint="cs"/>
          <w:rtl/>
        </w:rPr>
        <w:t>8.</w:t>
      </w:r>
      <w:r w:rsidR="005D5E53">
        <w:rPr>
          <w:rFonts w:ascii="Arial" w:hAnsi="Arial" w:hint="cs"/>
          <w:b/>
          <w:bCs/>
          <w:rtl/>
        </w:rPr>
        <w:t xml:space="preserve">      </w:t>
      </w:r>
      <w:r>
        <w:rPr>
          <w:rFonts w:ascii="Arial" w:hAnsi="Arial" w:hint="cs"/>
          <w:b/>
          <w:bCs/>
          <w:rtl/>
        </w:rPr>
        <w:t xml:space="preserve"> </w:t>
      </w:r>
      <w:r>
        <w:rPr>
          <w:rFonts w:ascii="Arial" w:hAnsi="Arial" w:hint="cs"/>
          <w:b/>
          <w:bCs/>
          <w:rtl/>
        </w:rPr>
        <w:tab/>
        <w:t xml:space="preserve">ראינו אם כך, כי רק במקרים יוצאי דופן, שעניינם בשיקולי שיקום חריגים, נעשית סטייה מרמת ענישה המתחילה במאסר ממושך. נוכח המפורט לעיל, ובשים לב למגמה ברורה של בית המשפט העליון, לפיה יש להחמיר בענישה בגין עבירות נשק,  אני קובעת כי מתחם העונש ההולם בנסיבות ביצוע העבירה, נע בין 12 לבין 24 חודשי מאסר בפועל. </w:t>
      </w:r>
    </w:p>
    <w:p w14:paraId="590977CB" w14:textId="77777777" w:rsidR="00D559C9" w:rsidRDefault="00D559C9" w:rsidP="00D559C9">
      <w:pPr>
        <w:spacing w:line="360" w:lineRule="auto"/>
        <w:ind w:left="424" w:hanging="424"/>
        <w:jc w:val="both"/>
        <w:rPr>
          <w:rFonts w:ascii="Arial" w:hAnsi="Arial"/>
          <w:b/>
          <w:bCs/>
          <w:u w:val="single"/>
          <w:rtl/>
        </w:rPr>
      </w:pPr>
    </w:p>
    <w:p w14:paraId="5B45860E" w14:textId="77777777" w:rsidR="00D559C9" w:rsidRDefault="00D559C9" w:rsidP="00D559C9">
      <w:pPr>
        <w:spacing w:line="360" w:lineRule="auto"/>
        <w:ind w:left="424" w:hanging="424"/>
        <w:jc w:val="both"/>
        <w:rPr>
          <w:rFonts w:ascii="Arial" w:hAnsi="Arial"/>
          <w:b/>
          <w:bCs/>
          <w:u w:val="single"/>
          <w:rtl/>
        </w:rPr>
      </w:pPr>
      <w:r>
        <w:rPr>
          <w:rFonts w:ascii="Arial" w:hAnsi="Arial" w:hint="cs"/>
          <w:b/>
          <w:bCs/>
          <w:u w:val="single"/>
          <w:rtl/>
        </w:rPr>
        <w:t>גזירת עונשו של הנאשם</w:t>
      </w:r>
    </w:p>
    <w:p w14:paraId="1534A2BA" w14:textId="77777777" w:rsidR="00D559C9" w:rsidRDefault="00D559C9" w:rsidP="00D559C9">
      <w:pPr>
        <w:spacing w:line="360" w:lineRule="auto"/>
        <w:ind w:left="424" w:hanging="424"/>
        <w:jc w:val="both"/>
        <w:rPr>
          <w:rFonts w:ascii="Arial" w:hAnsi="Arial"/>
          <w:b/>
          <w:bCs/>
          <w:u w:val="single"/>
          <w:rtl/>
        </w:rPr>
      </w:pPr>
    </w:p>
    <w:p w14:paraId="1F5372AB" w14:textId="77777777" w:rsidR="00D559C9" w:rsidRDefault="00D559C9" w:rsidP="00D559C9">
      <w:pPr>
        <w:spacing w:line="360" w:lineRule="auto"/>
        <w:ind w:left="720" w:hanging="720"/>
        <w:contextualSpacing/>
        <w:jc w:val="both"/>
        <w:rPr>
          <w:rFonts w:ascii="Arial" w:hAnsi="Arial"/>
          <w:rtl/>
        </w:rPr>
      </w:pPr>
      <w:r>
        <w:rPr>
          <w:rFonts w:ascii="Arial" w:hAnsi="Arial" w:hint="cs"/>
          <w:rtl/>
        </w:rPr>
        <w:t>9.</w:t>
      </w:r>
      <w:r w:rsidR="005D5E53">
        <w:rPr>
          <w:rFonts w:ascii="Arial" w:hAnsi="Arial" w:hint="cs"/>
          <w:b/>
          <w:bCs/>
          <w:rtl/>
        </w:rPr>
        <w:t xml:space="preserve">  </w:t>
      </w:r>
      <w:r w:rsidR="005D5E53">
        <w:rPr>
          <w:rFonts w:ascii="Arial" w:hAnsi="Arial" w:hint="cs"/>
          <w:rtl/>
        </w:rPr>
        <w:t xml:space="preserve">    </w:t>
      </w:r>
      <w:r>
        <w:rPr>
          <w:rFonts w:ascii="Arial" w:hAnsi="Arial" w:hint="cs"/>
          <w:rtl/>
        </w:rPr>
        <w:t xml:space="preserve"> </w:t>
      </w:r>
      <w:r>
        <w:rPr>
          <w:rFonts w:ascii="Arial" w:hAnsi="Arial" w:hint="cs"/>
          <w:rtl/>
        </w:rPr>
        <w:tab/>
        <w:t>הנאשם בן 46, הודה במסגרת הסדר טיעון ונטל אחריות ובכך חסך זמן ציבורי.</w:t>
      </w:r>
    </w:p>
    <w:p w14:paraId="5F62CD55"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הנאשם נשוי, אב לחמישה ילדים ומפרנסה העיקרי של משפחתו. </w:t>
      </w:r>
    </w:p>
    <w:p w14:paraId="6C6C0D18"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הנאשם שוהה במעצר עד תום ההליכים מאז 6.10.19. </w:t>
      </w:r>
    </w:p>
    <w:p w14:paraId="083F3C0C" w14:textId="77777777" w:rsidR="00D559C9" w:rsidRDefault="00D559C9" w:rsidP="00D559C9">
      <w:pPr>
        <w:spacing w:line="360" w:lineRule="auto"/>
        <w:ind w:left="720"/>
        <w:contextualSpacing/>
        <w:jc w:val="both"/>
        <w:rPr>
          <w:rFonts w:ascii="Arial" w:hAnsi="Arial"/>
          <w:rtl/>
        </w:rPr>
      </w:pPr>
      <w:r>
        <w:rPr>
          <w:rFonts w:ascii="Arial" w:hAnsi="Arial" w:hint="cs"/>
          <w:rtl/>
        </w:rPr>
        <w:t>אין לחובת הנאשם עבר פלילי.</w:t>
      </w:r>
    </w:p>
    <w:p w14:paraId="7CEF423E" w14:textId="77777777" w:rsidR="00D559C9" w:rsidRDefault="00D559C9" w:rsidP="00D559C9">
      <w:pPr>
        <w:spacing w:line="360" w:lineRule="auto"/>
        <w:ind w:left="720"/>
        <w:contextualSpacing/>
        <w:jc w:val="both"/>
        <w:rPr>
          <w:rFonts w:ascii="Arial" w:hAnsi="Arial"/>
          <w:rtl/>
        </w:rPr>
      </w:pPr>
      <w:r>
        <w:rPr>
          <w:rFonts w:ascii="Arial" w:hAnsi="Arial" w:hint="cs"/>
          <w:rtl/>
        </w:rPr>
        <w:t>אין בפניי תסקיר שירות המבחן להערכת רמת סיכון וסיכויי שיקום, כך שאין מקום לחריגה, בנסיבות, ממתחם העונש ההולם משיקולים אלה.</w:t>
      </w:r>
    </w:p>
    <w:p w14:paraId="01CD32F9" w14:textId="77777777" w:rsidR="00D559C9" w:rsidRDefault="00D559C9" w:rsidP="00D559C9">
      <w:pPr>
        <w:spacing w:line="360" w:lineRule="auto"/>
        <w:ind w:left="720"/>
        <w:contextualSpacing/>
        <w:jc w:val="both"/>
        <w:rPr>
          <w:rFonts w:ascii="Arial" w:hAnsi="Arial"/>
          <w:rtl/>
        </w:rPr>
      </w:pPr>
    </w:p>
    <w:p w14:paraId="3829240B" w14:textId="77777777" w:rsidR="00D559C9" w:rsidRDefault="00D559C9" w:rsidP="00D559C9">
      <w:pPr>
        <w:spacing w:line="360" w:lineRule="auto"/>
        <w:ind w:left="720"/>
        <w:contextualSpacing/>
        <w:jc w:val="both"/>
        <w:rPr>
          <w:rFonts w:ascii="Arial" w:hAnsi="Arial"/>
          <w:rtl/>
        </w:rPr>
      </w:pPr>
      <w:r>
        <w:rPr>
          <w:rFonts w:ascii="Arial" w:hAnsi="Arial" w:hint="cs"/>
          <w:rtl/>
        </w:rPr>
        <w:t>יחד עם זאת, יש לקחת בחשבון את הסדר הטיעון במסגרתו הנאשם הודה, ולפיו הגבילה עצמה המאשימה לטיעון של שנת מאסר בפועל בלבד כעונש ראוי. מצאתי כי ראוי, בסופו של דבר, ועל אף שמדובר בענישה החורגת מעט ממתחם העונש, לבוא לקראת הנאשם בגדרי הסדר הטיעון, ולגזור עליו עונש הנמוך במעט מהעונש אליו עתרה המאשימה.</w:t>
      </w:r>
    </w:p>
    <w:p w14:paraId="1D588C92" w14:textId="77777777" w:rsidR="00D559C9" w:rsidRDefault="00D559C9" w:rsidP="00D559C9">
      <w:pPr>
        <w:spacing w:line="360" w:lineRule="auto"/>
        <w:ind w:left="720"/>
        <w:contextualSpacing/>
        <w:jc w:val="both"/>
        <w:rPr>
          <w:rFonts w:ascii="Arial" w:hAnsi="Arial"/>
          <w:rtl/>
        </w:rPr>
      </w:pPr>
    </w:p>
    <w:p w14:paraId="69158DF6" w14:textId="77777777" w:rsidR="00D559C9" w:rsidRDefault="00D559C9" w:rsidP="00D559C9">
      <w:pPr>
        <w:spacing w:line="360" w:lineRule="auto"/>
        <w:ind w:left="720" w:hanging="720"/>
        <w:contextualSpacing/>
        <w:jc w:val="both"/>
        <w:rPr>
          <w:rFonts w:ascii="Arial" w:hAnsi="Arial"/>
          <w:rtl/>
        </w:rPr>
      </w:pPr>
      <w:r>
        <w:rPr>
          <w:rFonts w:ascii="Arial" w:hAnsi="Arial" w:hint="cs"/>
          <w:rtl/>
        </w:rPr>
        <w:t>10.</w:t>
      </w:r>
      <w:r>
        <w:rPr>
          <w:rFonts w:ascii="Arial" w:hAnsi="Arial" w:hint="cs"/>
          <w:rtl/>
        </w:rPr>
        <w:tab/>
        <w:t>ב"כ הנאשם הפנה בטיעוניו לעונש לעניינו של נאשם אחר, שהורשע בהתאם להודאתו שנמסרה במסגרת הסדר טיעון אשר כלל הסכמה לעניין העונש, באחזקת אקדח "ברטה", מחסנית מלאה בכדורים, ו-8 כדורים בתפזורת, בקטנועו החונה בתחנת דלק בנצרת, והוטלו עליו 12 חודשי מאסר בפועל ועוד יום, בניכוי ימי המעצר, 8 חודשי מאסר על-תנאי, וקנס בסך 8,000 ₪. בפרוטוקול הדיון צוין כי לנאשם עבר פלילי, שאינו בעבירות נשק (</w:t>
      </w:r>
      <w:hyperlink r:id="rId30" w:history="1">
        <w:r w:rsidR="005D5E53" w:rsidRPr="005D5E53">
          <w:rPr>
            <w:rFonts w:ascii="Arial" w:hAnsi="Arial"/>
            <w:color w:val="0000FF"/>
            <w:u w:val="single"/>
            <w:rtl/>
          </w:rPr>
          <w:t>ת"פ (מח' נצ') 21066-10-19</w:t>
        </w:r>
      </w:hyperlink>
      <w:r>
        <w:rPr>
          <w:rFonts w:ascii="Arial" w:hAnsi="Arial" w:hint="cs"/>
          <w:rtl/>
        </w:rPr>
        <w:t xml:space="preserve"> </w:t>
      </w:r>
      <w:r>
        <w:rPr>
          <w:rFonts w:ascii="Arial" w:hAnsi="Arial" w:hint="cs"/>
          <w:b/>
          <w:bCs/>
          <w:rtl/>
        </w:rPr>
        <w:t>מדינת ישראל נ' חמד</w:t>
      </w:r>
      <w:r>
        <w:rPr>
          <w:rFonts w:ascii="Arial" w:hAnsi="Arial" w:hint="cs"/>
          <w:rtl/>
        </w:rPr>
        <w:t xml:space="preserve"> </w:t>
      </w:r>
      <w:r w:rsidR="003257EF" w:rsidRPr="003257EF">
        <w:rPr>
          <w:sz w:val="22"/>
          <w:rtl/>
        </w:rPr>
        <w:t xml:space="preserve">[פורסם בנבו] </w:t>
      </w:r>
      <w:r>
        <w:rPr>
          <w:rFonts w:ascii="Arial" w:hAnsi="Arial" w:hint="cs"/>
          <w:rtl/>
        </w:rPr>
        <w:t>(22.1.20)).</w:t>
      </w:r>
    </w:p>
    <w:p w14:paraId="7AF3F6CC"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ב"כ הנאשם כאן ביקש להבחין בין עניינו של הנאשם כאן, לו אין עבר פלילי, ובין עניינו של אותו נאשם והעונש שהוטל עליו. </w:t>
      </w:r>
    </w:p>
    <w:p w14:paraId="7C4FE78B"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ב"כ המאשימה השיב כי במסגרת הסדר הטיעון בעניינו של אותו נאשם דובר אמנם בנאשם שלא היה לו עבר פלילי מכביד, והעונש אוזן בהטלת קנס משמעותי, וכי הסדר הטיעון הושג בעקבות קשיים ראייתיים משמעותיים. </w:t>
      </w:r>
    </w:p>
    <w:p w14:paraId="2072AE05" w14:textId="77777777" w:rsidR="00D559C9" w:rsidRDefault="00D559C9" w:rsidP="00D559C9">
      <w:pPr>
        <w:spacing w:line="360" w:lineRule="auto"/>
        <w:ind w:left="720"/>
        <w:contextualSpacing/>
        <w:jc w:val="both"/>
        <w:rPr>
          <w:rFonts w:ascii="Arial" w:hAnsi="Arial"/>
          <w:rtl/>
        </w:rPr>
      </w:pPr>
      <w:r>
        <w:rPr>
          <w:rFonts w:ascii="Arial" w:hAnsi="Arial" w:hint="cs"/>
          <w:rtl/>
        </w:rPr>
        <w:t>לא מצאתי כי עניינו של אותו נאשם שנשפט לשנת מאסר מחייב הקלה יחסית עם הנאשם כאן, וזאת כי מדובר בהסדר טיעון נפרד, שבו נשקלו שיקולים לא ידועים, בהם שיקולי ראיות. לא ראיתי טעם בהשוואתו של אותו מקרה דווקא לענייננו, והראי ברור שכל מקרה ומקרה מתייחד לפי נסיבותיו.</w:t>
      </w:r>
    </w:p>
    <w:p w14:paraId="6A8AA64B" w14:textId="77777777" w:rsidR="00D559C9" w:rsidRDefault="00D559C9" w:rsidP="00D559C9">
      <w:pPr>
        <w:spacing w:line="360" w:lineRule="auto"/>
        <w:ind w:left="720"/>
        <w:contextualSpacing/>
        <w:jc w:val="both"/>
        <w:rPr>
          <w:rFonts w:ascii="Arial" w:hAnsi="Arial"/>
          <w:rtl/>
        </w:rPr>
      </w:pPr>
    </w:p>
    <w:p w14:paraId="641A7917" w14:textId="77777777" w:rsidR="00D559C9" w:rsidRDefault="00D559C9" w:rsidP="00D559C9">
      <w:pPr>
        <w:spacing w:line="360" w:lineRule="auto"/>
        <w:ind w:left="720" w:hanging="720"/>
        <w:contextualSpacing/>
        <w:jc w:val="both"/>
        <w:rPr>
          <w:rFonts w:ascii="Arial" w:hAnsi="Arial"/>
          <w:rtl/>
        </w:rPr>
      </w:pPr>
      <w:r>
        <w:rPr>
          <w:rFonts w:ascii="Arial" w:hAnsi="Arial" w:hint="cs"/>
          <w:rtl/>
        </w:rPr>
        <w:t>11.</w:t>
      </w:r>
      <w:r w:rsidR="005D5E53">
        <w:rPr>
          <w:rFonts w:ascii="Arial" w:hAnsi="Arial" w:hint="cs"/>
          <w:rtl/>
        </w:rPr>
        <w:t xml:space="preserve">      </w:t>
      </w:r>
      <w:r>
        <w:rPr>
          <w:rFonts w:ascii="Arial" w:hAnsi="Arial" w:hint="cs"/>
          <w:rtl/>
        </w:rPr>
        <w:t xml:space="preserve"> </w:t>
      </w:r>
      <w:r>
        <w:rPr>
          <w:rFonts w:ascii="Arial" w:hAnsi="Arial" w:hint="cs"/>
          <w:rtl/>
        </w:rPr>
        <w:tab/>
        <w:t xml:space="preserve">בתוך מתחם העונש ההולם, אתחשב בנסיבותיו האישיות של הנאשם כפי שהובאו בטיעונים לעונש, העדר עבר פלילי, תקופת השהות במעצר עד תום ההליכים והפגיעה בנאשם ובמשפחתו. בנוסף, כאמור, אתן משקל לכך שהמאשימה הגבילה עצמה בהסדר הטיעון לתחתית המתחם העונשי, לשם הקלה בלתי משמעותית בעונש.  </w:t>
      </w:r>
    </w:p>
    <w:p w14:paraId="66A44C22" w14:textId="77777777" w:rsidR="00D559C9" w:rsidRDefault="00D559C9" w:rsidP="00D559C9">
      <w:pPr>
        <w:spacing w:line="252" w:lineRule="auto"/>
        <w:ind w:left="424" w:hanging="424"/>
        <w:contextualSpacing/>
        <w:jc w:val="both"/>
        <w:rPr>
          <w:rFonts w:ascii="Arial" w:hAnsi="Arial"/>
          <w:rtl/>
        </w:rPr>
      </w:pPr>
    </w:p>
    <w:p w14:paraId="480999F4" w14:textId="77777777" w:rsidR="00D559C9" w:rsidRDefault="00D559C9" w:rsidP="00D559C9">
      <w:pPr>
        <w:spacing w:line="360" w:lineRule="auto"/>
        <w:ind w:left="424" w:hanging="424"/>
        <w:jc w:val="both"/>
        <w:rPr>
          <w:rFonts w:ascii="Arial" w:hAnsi="Arial"/>
          <w:b/>
          <w:bCs/>
          <w:u w:val="single"/>
          <w:rtl/>
        </w:rPr>
      </w:pPr>
      <w:r>
        <w:rPr>
          <w:rFonts w:ascii="Arial" w:hAnsi="Arial" w:hint="cs"/>
          <w:b/>
          <w:bCs/>
          <w:u w:val="single"/>
          <w:rtl/>
        </w:rPr>
        <w:t>סוף דבר</w:t>
      </w:r>
    </w:p>
    <w:p w14:paraId="33640B2B" w14:textId="77777777" w:rsidR="00D559C9" w:rsidRDefault="00D559C9" w:rsidP="00D559C9">
      <w:pPr>
        <w:spacing w:line="360" w:lineRule="auto"/>
        <w:ind w:left="424" w:hanging="424"/>
        <w:jc w:val="both"/>
        <w:rPr>
          <w:rFonts w:ascii="Arial" w:hAnsi="Arial"/>
          <w:b/>
          <w:bCs/>
          <w:u w:val="single"/>
          <w:rtl/>
        </w:rPr>
      </w:pPr>
    </w:p>
    <w:p w14:paraId="200D4F2F" w14:textId="77777777" w:rsidR="00D559C9" w:rsidRDefault="00D559C9" w:rsidP="00D559C9">
      <w:pPr>
        <w:spacing w:line="360" w:lineRule="auto"/>
        <w:ind w:left="424" w:hanging="424"/>
        <w:jc w:val="both"/>
        <w:rPr>
          <w:rFonts w:ascii="Arial" w:hAnsi="Arial"/>
          <w:rtl/>
        </w:rPr>
      </w:pPr>
      <w:r>
        <w:rPr>
          <w:rFonts w:ascii="Arial" w:hAnsi="Arial" w:hint="cs"/>
          <w:rtl/>
        </w:rPr>
        <w:t>12.</w:t>
      </w:r>
      <w:r w:rsidR="005D5E53">
        <w:rPr>
          <w:rFonts w:ascii="Arial" w:hAnsi="Arial" w:hint="cs"/>
          <w:rtl/>
        </w:rPr>
        <w:t xml:space="preserve"> </w:t>
      </w:r>
      <w:r>
        <w:rPr>
          <w:rFonts w:ascii="Arial" w:hAnsi="Arial" w:hint="cs"/>
          <w:rtl/>
        </w:rPr>
        <w:t xml:space="preserve"> </w:t>
      </w:r>
      <w:r>
        <w:rPr>
          <w:rFonts w:ascii="Arial" w:hAnsi="Arial" w:hint="cs"/>
          <w:rtl/>
        </w:rPr>
        <w:tab/>
      </w:r>
      <w:r>
        <w:rPr>
          <w:rFonts w:ascii="Arial" w:hAnsi="Arial" w:hint="cs"/>
          <w:rtl/>
        </w:rPr>
        <w:tab/>
        <w:t>נוכח כל האמור לעיל, אני גוזרת את עונשו של הנאשם כדלקמן:</w:t>
      </w:r>
    </w:p>
    <w:p w14:paraId="39A37A64" w14:textId="77777777" w:rsidR="00D559C9" w:rsidRDefault="00D559C9" w:rsidP="00D559C9">
      <w:pPr>
        <w:spacing w:line="360" w:lineRule="auto"/>
        <w:ind w:left="424" w:hanging="424"/>
        <w:jc w:val="both"/>
        <w:rPr>
          <w:rFonts w:ascii="Arial" w:hAnsi="Arial"/>
          <w:rtl/>
        </w:rPr>
      </w:pPr>
    </w:p>
    <w:p w14:paraId="4F9B30A2" w14:textId="77777777" w:rsidR="00D559C9" w:rsidRDefault="005D5E53" w:rsidP="00D559C9">
      <w:pPr>
        <w:spacing w:line="360" w:lineRule="auto"/>
        <w:ind w:firstLine="424"/>
        <w:jc w:val="both"/>
        <w:rPr>
          <w:rFonts w:ascii="Calibri" w:hAnsi="Calibri"/>
          <w:rtl/>
        </w:rPr>
      </w:pPr>
      <w:r>
        <w:rPr>
          <w:rFonts w:ascii="Arial" w:hAnsi="Arial" w:hint="cs"/>
          <w:rtl/>
        </w:rPr>
        <w:t xml:space="preserve">      </w:t>
      </w:r>
      <w:r w:rsidR="00D559C9">
        <w:rPr>
          <w:rFonts w:ascii="Arial" w:hAnsi="Arial" w:hint="cs"/>
          <w:rtl/>
        </w:rPr>
        <w:t xml:space="preserve"> א.</w:t>
      </w:r>
      <w:r>
        <w:rPr>
          <w:rFonts w:ascii="Arial" w:hAnsi="Arial" w:hint="cs"/>
          <w:rtl/>
        </w:rPr>
        <w:t xml:space="preserve">      </w:t>
      </w:r>
      <w:r w:rsidR="00D559C9">
        <w:rPr>
          <w:rFonts w:ascii="Arial" w:hAnsi="Arial" w:hint="cs"/>
          <w:rtl/>
        </w:rPr>
        <w:t xml:space="preserve"> 11 חודשי מאסר בפועל, בניכוי ימי המעצר מיום 6.10.19 עד היום. </w:t>
      </w:r>
    </w:p>
    <w:p w14:paraId="0FA59CAF" w14:textId="77777777" w:rsidR="00D559C9" w:rsidRDefault="00D559C9" w:rsidP="00D559C9">
      <w:pPr>
        <w:spacing w:line="360" w:lineRule="auto"/>
        <w:jc w:val="both"/>
        <w:rPr>
          <w:rFonts w:ascii="Arial" w:hAnsi="Arial"/>
          <w:rtl/>
        </w:rPr>
      </w:pPr>
    </w:p>
    <w:p w14:paraId="5F789347" w14:textId="77777777" w:rsidR="00D559C9" w:rsidRDefault="00D559C9" w:rsidP="00D559C9">
      <w:pPr>
        <w:spacing w:line="360" w:lineRule="auto"/>
        <w:ind w:left="1440" w:hanging="720"/>
        <w:jc w:val="both"/>
        <w:rPr>
          <w:rFonts w:ascii="Arial" w:hAnsi="Arial"/>
          <w:rtl/>
        </w:rPr>
      </w:pPr>
      <w:r>
        <w:rPr>
          <w:rFonts w:ascii="Arial" w:hAnsi="Arial" w:hint="cs"/>
          <w:rtl/>
        </w:rPr>
        <w:t xml:space="preserve"> ב.</w:t>
      </w:r>
      <w:r w:rsidR="005D5E53">
        <w:rPr>
          <w:rFonts w:ascii="Arial" w:hAnsi="Arial" w:hint="cs"/>
          <w:rtl/>
        </w:rPr>
        <w:t xml:space="preserve">        </w:t>
      </w:r>
      <w:r>
        <w:rPr>
          <w:rFonts w:ascii="Arial" w:hAnsi="Arial" w:hint="cs"/>
          <w:rtl/>
        </w:rPr>
        <w:t xml:space="preserve"> 6 חודשי מאסר על-תנאי, ואולם הנאשם לא יישא עונש זה אלא אם יעבור במהלך תקופה של שלוש שנים מיום שחרורו מהמאסר כל עבירת נשק. </w:t>
      </w:r>
    </w:p>
    <w:p w14:paraId="2FB7035B" w14:textId="77777777" w:rsidR="00D559C9" w:rsidRDefault="00D559C9" w:rsidP="00D559C9">
      <w:pPr>
        <w:spacing w:line="360" w:lineRule="auto"/>
        <w:ind w:left="1440" w:hanging="733"/>
        <w:jc w:val="both"/>
        <w:rPr>
          <w:rFonts w:ascii="Arial" w:hAnsi="Arial"/>
          <w:rtl/>
        </w:rPr>
      </w:pPr>
    </w:p>
    <w:p w14:paraId="1B087781" w14:textId="77777777" w:rsidR="00D559C9" w:rsidRDefault="00D559C9" w:rsidP="00D559C9">
      <w:pPr>
        <w:spacing w:line="360" w:lineRule="auto"/>
        <w:ind w:left="1440" w:hanging="733"/>
        <w:jc w:val="both"/>
        <w:rPr>
          <w:rFonts w:ascii="Arial" w:hAnsi="Arial"/>
        </w:rPr>
      </w:pPr>
      <w:r>
        <w:rPr>
          <w:rFonts w:ascii="Arial" w:hAnsi="Arial" w:hint="cs"/>
          <w:rtl/>
        </w:rPr>
        <w:t>ג.</w:t>
      </w:r>
      <w:r w:rsidR="005D5E53">
        <w:rPr>
          <w:rFonts w:ascii="Arial" w:hAnsi="Arial" w:hint="cs"/>
          <w:rtl/>
        </w:rPr>
        <w:t xml:space="preserve">         </w:t>
      </w:r>
      <w:r>
        <w:rPr>
          <w:rFonts w:ascii="Arial" w:hAnsi="Arial" w:hint="cs"/>
          <w:rtl/>
        </w:rPr>
        <w:t xml:space="preserve"> קנס בסך 5,000 ₪ או 25 ימי מאסר תמורתו, הקנס ישולם ב- 5 תשלומים שווים ורצופים עד יום 10/6/2020 ובכל 10 בחודש העוקב לאחריו. </w:t>
      </w:r>
    </w:p>
    <w:p w14:paraId="2EDD413E" w14:textId="77777777" w:rsidR="00D559C9" w:rsidRDefault="00D559C9" w:rsidP="00D559C9">
      <w:pPr>
        <w:spacing w:line="360" w:lineRule="auto"/>
        <w:ind w:left="1440" w:hanging="720"/>
        <w:jc w:val="both"/>
        <w:rPr>
          <w:rFonts w:ascii="Arial" w:hAnsi="Arial"/>
          <w:rtl/>
        </w:rPr>
      </w:pPr>
    </w:p>
    <w:p w14:paraId="791CB5E5" w14:textId="77777777" w:rsidR="00D559C9" w:rsidRDefault="00D559C9" w:rsidP="00D559C9">
      <w:pPr>
        <w:spacing w:line="360" w:lineRule="auto"/>
        <w:jc w:val="both"/>
        <w:rPr>
          <w:rFonts w:ascii="Arial" w:hAnsi="Arial"/>
          <w:rtl/>
        </w:rPr>
      </w:pPr>
      <w:r>
        <w:rPr>
          <w:rFonts w:ascii="Arial" w:hAnsi="Arial" w:hint="cs"/>
          <w:b/>
          <w:bCs/>
          <w:u w:val="single"/>
          <w:rtl/>
        </w:rPr>
        <w:t>זכות ערעור תוך 45 יום</w:t>
      </w:r>
      <w:r>
        <w:rPr>
          <w:rFonts w:ascii="Arial" w:hAnsi="Arial" w:hint="cs"/>
          <w:b/>
          <w:bCs/>
          <w:rtl/>
        </w:rPr>
        <w:t xml:space="preserve">. </w:t>
      </w:r>
    </w:p>
    <w:p w14:paraId="5D7B123E" w14:textId="77777777" w:rsidR="00D559C9" w:rsidRPr="00B05847" w:rsidRDefault="00D559C9" w:rsidP="00D559C9">
      <w:pPr>
        <w:rPr>
          <w:rtl/>
        </w:rPr>
      </w:pPr>
    </w:p>
    <w:p w14:paraId="5577BEB2" w14:textId="77777777" w:rsidR="00D559C9" w:rsidRPr="005D5E53" w:rsidRDefault="005D5E53" w:rsidP="00D559C9">
      <w:pPr>
        <w:rPr>
          <w:color w:val="FFFFFF"/>
          <w:sz w:val="2"/>
          <w:szCs w:val="2"/>
          <w:rtl/>
        </w:rPr>
      </w:pPr>
      <w:r w:rsidRPr="005D5E53">
        <w:rPr>
          <w:color w:val="FFFFFF"/>
          <w:sz w:val="2"/>
          <w:szCs w:val="2"/>
          <w:rtl/>
        </w:rPr>
        <w:t>5129371</w:t>
      </w:r>
    </w:p>
    <w:p w14:paraId="6DDB9B43" w14:textId="77777777" w:rsidR="00D559C9" w:rsidRPr="003257EF" w:rsidRDefault="005D5E53" w:rsidP="00D559C9">
      <w:pPr>
        <w:rPr>
          <w:rFonts w:cs="FrankRuehl"/>
          <w:b/>
          <w:bCs/>
          <w:sz w:val="28"/>
          <w:szCs w:val="28"/>
          <w:rtl/>
        </w:rPr>
      </w:pPr>
      <w:bookmarkStart w:id="6" w:name="Nitan"/>
      <w:r w:rsidRPr="003257EF">
        <w:rPr>
          <w:rFonts w:ascii="Arial" w:hAnsi="Arial"/>
          <w:b/>
          <w:bCs/>
          <w:color w:val="FFFFFF"/>
          <w:sz w:val="2"/>
          <w:szCs w:val="2"/>
          <w:rtl/>
        </w:rPr>
        <w:t>54678313</w:t>
      </w:r>
      <w:r w:rsidRPr="003257EF">
        <w:rPr>
          <w:rFonts w:ascii="Arial" w:hAnsi="Arial"/>
          <w:b/>
          <w:bCs/>
          <w:rtl/>
        </w:rPr>
        <w:t xml:space="preserve">ניתן היום,  י"ד אדר תש"פ, 10 מרץ 2020, במעמד הצדדים. </w:t>
      </w:r>
      <w:bookmarkEnd w:id="6"/>
    </w:p>
    <w:p w14:paraId="1CE0490F" w14:textId="77777777" w:rsidR="00D559C9" w:rsidRDefault="00D559C9" w:rsidP="005D5E5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35F97B1" w14:textId="77777777" w:rsidR="00D559C9" w:rsidRDefault="00D559C9" w:rsidP="00D559C9">
      <w:pPr>
        <w:jc w:val="center"/>
        <w:rPr>
          <w:rFonts w:ascii="Arial" w:hAnsi="Arial" w:cs="FrankRuehl"/>
          <w:sz w:val="28"/>
          <w:szCs w:val="28"/>
          <w:rtl/>
        </w:rPr>
      </w:pPr>
    </w:p>
    <w:p w14:paraId="654B59EF" w14:textId="77777777" w:rsidR="00CE3B36" w:rsidRPr="005D5E53" w:rsidRDefault="00CE3B36" w:rsidP="005D5E53">
      <w:pPr>
        <w:keepNext/>
        <w:rPr>
          <w:rFonts w:ascii="David" w:hAnsi="David"/>
          <w:color w:val="000000"/>
          <w:sz w:val="22"/>
          <w:szCs w:val="22"/>
          <w:rtl/>
        </w:rPr>
      </w:pPr>
    </w:p>
    <w:p w14:paraId="16C6109A" w14:textId="77777777" w:rsidR="005D5E53" w:rsidRPr="005D5E53" w:rsidRDefault="005D5E53" w:rsidP="005D5E53">
      <w:pPr>
        <w:keepNext/>
        <w:rPr>
          <w:rFonts w:ascii="David" w:hAnsi="David"/>
          <w:color w:val="000000"/>
          <w:sz w:val="22"/>
          <w:szCs w:val="22"/>
          <w:rtl/>
        </w:rPr>
      </w:pPr>
      <w:r w:rsidRPr="005D5E53">
        <w:rPr>
          <w:rFonts w:ascii="David" w:hAnsi="David"/>
          <w:color w:val="000000"/>
          <w:sz w:val="22"/>
          <w:szCs w:val="22"/>
          <w:rtl/>
        </w:rPr>
        <w:t>רות שפילברג כהן 54678313</w:t>
      </w:r>
    </w:p>
    <w:p w14:paraId="47779134" w14:textId="77777777" w:rsidR="005D5E53" w:rsidRDefault="005D5E53" w:rsidP="005D5E53">
      <w:r w:rsidRPr="005D5E53">
        <w:rPr>
          <w:color w:val="000000"/>
          <w:rtl/>
        </w:rPr>
        <w:t>נוסח מסמך זה כפוף לשינויי ניסוח ועריכה</w:t>
      </w:r>
    </w:p>
    <w:p w14:paraId="510A46A4" w14:textId="77777777" w:rsidR="005D5E53" w:rsidRDefault="005D5E53" w:rsidP="005D5E53">
      <w:pPr>
        <w:rPr>
          <w:rtl/>
        </w:rPr>
      </w:pPr>
    </w:p>
    <w:p w14:paraId="1244D7C0" w14:textId="77777777" w:rsidR="005D5E53" w:rsidRDefault="005D5E53" w:rsidP="005D5E5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6158FE0" w14:textId="77777777" w:rsidR="005D5E53" w:rsidRPr="005D5E53" w:rsidRDefault="005D5E53" w:rsidP="005D5E53">
      <w:pPr>
        <w:jc w:val="center"/>
        <w:rPr>
          <w:color w:val="0000FF"/>
          <w:u w:val="single"/>
        </w:rPr>
      </w:pPr>
    </w:p>
    <w:sectPr w:rsidR="005D5E53" w:rsidRPr="005D5E53" w:rsidSect="005D5E53">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18F4" w14:textId="77777777" w:rsidR="00B71416" w:rsidRDefault="00B71416" w:rsidP="005F4B43">
      <w:r>
        <w:separator/>
      </w:r>
    </w:p>
  </w:endnote>
  <w:endnote w:type="continuationSeparator" w:id="0">
    <w:p w14:paraId="6FCBDCA0" w14:textId="77777777" w:rsidR="00B71416" w:rsidRDefault="00B71416" w:rsidP="005F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05D2" w14:textId="77777777" w:rsidR="005D5E53" w:rsidRDefault="005D5E53" w:rsidP="005D5E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A506A8" w14:textId="77777777" w:rsidR="00916152" w:rsidRPr="005D5E53" w:rsidRDefault="005D5E53" w:rsidP="005D5E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5055" w14:textId="77777777" w:rsidR="005D5E53" w:rsidRDefault="005D5E53" w:rsidP="005D5E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56A5">
      <w:rPr>
        <w:rFonts w:ascii="FrankRuehl" w:hAnsi="FrankRuehl" w:cs="FrankRuehl"/>
        <w:noProof/>
        <w:rtl/>
      </w:rPr>
      <w:t>1</w:t>
    </w:r>
    <w:r>
      <w:rPr>
        <w:rFonts w:ascii="FrankRuehl" w:hAnsi="FrankRuehl" w:cs="FrankRuehl"/>
        <w:rtl/>
      </w:rPr>
      <w:fldChar w:fldCharType="end"/>
    </w:r>
  </w:p>
  <w:p w14:paraId="62C4A631" w14:textId="77777777" w:rsidR="00916152" w:rsidRPr="005D5E53" w:rsidRDefault="005D5E53" w:rsidP="005D5E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D60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C2C1" w14:textId="77777777" w:rsidR="00B71416" w:rsidRDefault="00B71416" w:rsidP="005F4B43">
      <w:r>
        <w:separator/>
      </w:r>
    </w:p>
  </w:footnote>
  <w:footnote w:type="continuationSeparator" w:id="0">
    <w:p w14:paraId="4A64DCA6" w14:textId="77777777" w:rsidR="00B71416" w:rsidRDefault="00B71416" w:rsidP="005F4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FA45" w14:textId="77777777" w:rsidR="005D5E53" w:rsidRPr="005D5E53" w:rsidRDefault="005D5E53" w:rsidP="005D5E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21029-10-19</w:t>
    </w:r>
    <w:r>
      <w:rPr>
        <w:rFonts w:ascii="David" w:hAnsi="David"/>
        <w:color w:val="000000"/>
        <w:sz w:val="22"/>
        <w:szCs w:val="22"/>
        <w:rtl/>
      </w:rPr>
      <w:tab/>
      <w:t xml:space="preserve"> מדינת ישראל נ' עלי 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D28A" w14:textId="77777777" w:rsidR="005D5E53" w:rsidRPr="005D5E53" w:rsidRDefault="005D5E53" w:rsidP="005D5E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21029-10-19</w:t>
    </w:r>
    <w:r>
      <w:rPr>
        <w:rFonts w:ascii="David" w:hAnsi="David"/>
        <w:color w:val="000000"/>
        <w:sz w:val="22"/>
        <w:szCs w:val="22"/>
        <w:rtl/>
      </w:rPr>
      <w:tab/>
      <w:t xml:space="preserve"> מדינת ישראל נ' עלי 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81CC0"/>
    <w:multiLevelType w:val="hybridMultilevel"/>
    <w:tmpl w:val="F0C2CE34"/>
    <w:lvl w:ilvl="0" w:tplc="16DE901C">
      <w:start w:val="1"/>
      <w:numFmt w:val="hebrew1"/>
      <w:lvlText w:val="%1."/>
      <w:lvlJc w:val="left"/>
      <w:pPr>
        <w:ind w:left="1440" w:hanging="645"/>
      </w:pPr>
      <w:rPr>
        <w:rFonts w:cs="Times New Roman"/>
      </w:rPr>
    </w:lvl>
    <w:lvl w:ilvl="1" w:tplc="04090019">
      <w:start w:val="1"/>
      <w:numFmt w:val="lowerLetter"/>
      <w:lvlText w:val="%2."/>
      <w:lvlJc w:val="left"/>
      <w:pPr>
        <w:ind w:left="1875" w:hanging="360"/>
      </w:pPr>
      <w:rPr>
        <w:rFonts w:cs="Times New Roman"/>
      </w:rPr>
    </w:lvl>
    <w:lvl w:ilvl="2" w:tplc="0409001B">
      <w:start w:val="1"/>
      <w:numFmt w:val="lowerRoman"/>
      <w:lvlText w:val="%3."/>
      <w:lvlJc w:val="right"/>
      <w:pPr>
        <w:ind w:left="2595" w:hanging="180"/>
      </w:pPr>
      <w:rPr>
        <w:rFonts w:cs="Times New Roman"/>
      </w:rPr>
    </w:lvl>
    <w:lvl w:ilvl="3" w:tplc="0409000F">
      <w:start w:val="1"/>
      <w:numFmt w:val="decimal"/>
      <w:lvlText w:val="%4."/>
      <w:lvlJc w:val="left"/>
      <w:pPr>
        <w:ind w:left="3315" w:hanging="360"/>
      </w:pPr>
      <w:rPr>
        <w:rFonts w:cs="Times New Roman"/>
      </w:rPr>
    </w:lvl>
    <w:lvl w:ilvl="4" w:tplc="04090019">
      <w:start w:val="1"/>
      <w:numFmt w:val="lowerLetter"/>
      <w:lvlText w:val="%5."/>
      <w:lvlJc w:val="left"/>
      <w:pPr>
        <w:ind w:left="4035" w:hanging="360"/>
      </w:pPr>
      <w:rPr>
        <w:rFonts w:cs="Times New Roman"/>
      </w:rPr>
    </w:lvl>
    <w:lvl w:ilvl="5" w:tplc="0409001B">
      <w:start w:val="1"/>
      <w:numFmt w:val="lowerRoman"/>
      <w:lvlText w:val="%6."/>
      <w:lvlJc w:val="right"/>
      <w:pPr>
        <w:ind w:left="4755" w:hanging="180"/>
      </w:pPr>
      <w:rPr>
        <w:rFonts w:cs="Times New Roman"/>
      </w:rPr>
    </w:lvl>
    <w:lvl w:ilvl="6" w:tplc="0409000F">
      <w:start w:val="1"/>
      <w:numFmt w:val="decimal"/>
      <w:lvlText w:val="%7."/>
      <w:lvlJc w:val="left"/>
      <w:pPr>
        <w:ind w:left="5475" w:hanging="360"/>
      </w:pPr>
      <w:rPr>
        <w:rFonts w:cs="Times New Roman"/>
      </w:rPr>
    </w:lvl>
    <w:lvl w:ilvl="7" w:tplc="04090019">
      <w:start w:val="1"/>
      <w:numFmt w:val="lowerLetter"/>
      <w:lvlText w:val="%8."/>
      <w:lvlJc w:val="left"/>
      <w:pPr>
        <w:ind w:left="6195" w:hanging="360"/>
      </w:pPr>
      <w:rPr>
        <w:rFonts w:cs="Times New Roman"/>
      </w:rPr>
    </w:lvl>
    <w:lvl w:ilvl="8" w:tplc="0409001B">
      <w:start w:val="1"/>
      <w:numFmt w:val="lowerRoman"/>
      <w:lvlText w:val="%9."/>
      <w:lvlJc w:val="right"/>
      <w:pPr>
        <w:ind w:left="6915" w:hanging="180"/>
      </w:pPr>
      <w:rPr>
        <w:rFonts w:cs="Times New Roman"/>
      </w:rPr>
    </w:lvl>
  </w:abstractNum>
  <w:num w:numId="1" w16cid:durableId="1522738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59C9"/>
    <w:rsid w:val="003257EF"/>
    <w:rsid w:val="003456A5"/>
    <w:rsid w:val="005D5E53"/>
    <w:rsid w:val="005F4B43"/>
    <w:rsid w:val="007C3DB1"/>
    <w:rsid w:val="00854DF3"/>
    <w:rsid w:val="00916152"/>
    <w:rsid w:val="00B71416"/>
    <w:rsid w:val="00B92078"/>
    <w:rsid w:val="00BD28E5"/>
    <w:rsid w:val="00C46A59"/>
    <w:rsid w:val="00C501AB"/>
    <w:rsid w:val="00CE3B36"/>
    <w:rsid w:val="00D559C9"/>
    <w:rsid w:val="00F21D11"/>
    <w:rsid w:val="00F603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1D9901"/>
  <w15:chartTrackingRefBased/>
  <w15:docId w15:val="{F4D9633C-1A88-42CF-BA6D-366E6400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59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9C9"/>
    <w:pPr>
      <w:tabs>
        <w:tab w:val="center" w:pos="4153"/>
        <w:tab w:val="right" w:pos="8306"/>
      </w:tabs>
    </w:pPr>
  </w:style>
  <w:style w:type="character" w:customStyle="1" w:styleId="a4">
    <w:name w:val="כותרת עליונה תו"/>
    <w:link w:val="a3"/>
    <w:rsid w:val="00D559C9"/>
    <w:rPr>
      <w:rFonts w:ascii="Times New Roman" w:eastAsia="Times New Roman" w:hAnsi="Times New Roman" w:cs="David"/>
      <w:sz w:val="24"/>
      <w:szCs w:val="24"/>
    </w:rPr>
  </w:style>
  <w:style w:type="paragraph" w:styleId="a5">
    <w:name w:val="footer"/>
    <w:basedOn w:val="a"/>
    <w:link w:val="a6"/>
    <w:rsid w:val="00D559C9"/>
    <w:pPr>
      <w:tabs>
        <w:tab w:val="center" w:pos="4153"/>
        <w:tab w:val="right" w:pos="8306"/>
      </w:tabs>
    </w:pPr>
  </w:style>
  <w:style w:type="character" w:customStyle="1" w:styleId="a6">
    <w:name w:val="כותרת תחתונה תו"/>
    <w:link w:val="a5"/>
    <w:rsid w:val="00D559C9"/>
    <w:rPr>
      <w:rFonts w:ascii="Times New Roman" w:eastAsia="Times New Roman" w:hAnsi="Times New Roman" w:cs="David"/>
      <w:sz w:val="24"/>
      <w:szCs w:val="24"/>
    </w:rPr>
  </w:style>
  <w:style w:type="table" w:styleId="a7">
    <w:name w:val="Table Grid"/>
    <w:basedOn w:val="a1"/>
    <w:rsid w:val="00D559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59C9"/>
  </w:style>
  <w:style w:type="character" w:styleId="Hyperlink">
    <w:name w:val="Hyperlink"/>
    <w:rsid w:val="00D55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4303104" TargetMode="External"/><Relationship Id="rId26" Type="http://schemas.openxmlformats.org/officeDocument/2006/relationships/hyperlink" Target="http://www.nevo.co.il/case/25892549" TargetMode="External"/><Relationship Id="rId21" Type="http://schemas.openxmlformats.org/officeDocument/2006/relationships/hyperlink" Target="http://www.nevo.co.il/case/6024035"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0291305" TargetMode="External"/><Relationship Id="rId25" Type="http://schemas.openxmlformats.org/officeDocument/2006/relationships/hyperlink" Target="http://www.nevo.co.il/case/2554380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5580781" TargetMode="External"/><Relationship Id="rId29" Type="http://schemas.openxmlformats.org/officeDocument/2006/relationships/hyperlink" Target="http://www.nevo.co.il/case/130155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694492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00182" TargetMode="External"/><Relationship Id="rId23" Type="http://schemas.openxmlformats.org/officeDocument/2006/relationships/hyperlink" Target="http://www.nevo.co.il/case/16913730" TargetMode="External"/><Relationship Id="rId28" Type="http://schemas.openxmlformats.org/officeDocument/2006/relationships/hyperlink" Target="http://www.nevo.co.il/case/7697147"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045058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92575" TargetMode="External"/><Relationship Id="rId27" Type="http://schemas.openxmlformats.org/officeDocument/2006/relationships/hyperlink" Target="http://www.nevo.co.il/case/25063920" TargetMode="External"/><Relationship Id="rId30" Type="http://schemas.openxmlformats.org/officeDocument/2006/relationships/hyperlink" Target="http://www.nevo.co.il/case/26103529"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2569</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15387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3276919</vt:i4>
      </vt:variant>
      <vt:variant>
        <vt:i4>69</vt:i4>
      </vt:variant>
      <vt:variant>
        <vt:i4>0</vt:i4>
      </vt:variant>
      <vt:variant>
        <vt:i4>5</vt:i4>
      </vt:variant>
      <vt:variant>
        <vt:lpwstr>http://www.nevo.co.il/case/26103529</vt:lpwstr>
      </vt:variant>
      <vt:variant>
        <vt:lpwstr/>
      </vt:variant>
      <vt:variant>
        <vt:i4>3407987</vt:i4>
      </vt:variant>
      <vt:variant>
        <vt:i4>66</vt:i4>
      </vt:variant>
      <vt:variant>
        <vt:i4>0</vt:i4>
      </vt:variant>
      <vt:variant>
        <vt:i4>5</vt:i4>
      </vt:variant>
      <vt:variant>
        <vt:lpwstr>http://www.nevo.co.il/case/13015506</vt:lpwstr>
      </vt:variant>
      <vt:variant>
        <vt:lpwstr/>
      </vt:variant>
      <vt:variant>
        <vt:i4>3670129</vt:i4>
      </vt:variant>
      <vt:variant>
        <vt:i4>63</vt:i4>
      </vt:variant>
      <vt:variant>
        <vt:i4>0</vt:i4>
      </vt:variant>
      <vt:variant>
        <vt:i4>5</vt:i4>
      </vt:variant>
      <vt:variant>
        <vt:lpwstr>http://www.nevo.co.il/case/7697147</vt:lpwstr>
      </vt:variant>
      <vt:variant>
        <vt:lpwstr/>
      </vt:variant>
      <vt:variant>
        <vt:i4>3342462</vt:i4>
      </vt:variant>
      <vt:variant>
        <vt:i4>60</vt:i4>
      </vt:variant>
      <vt:variant>
        <vt:i4>0</vt:i4>
      </vt:variant>
      <vt:variant>
        <vt:i4>5</vt:i4>
      </vt:variant>
      <vt:variant>
        <vt:lpwstr>http://www.nevo.co.il/case/25063920</vt:lpwstr>
      </vt:variant>
      <vt:variant>
        <vt:lpwstr/>
      </vt:variant>
      <vt:variant>
        <vt:i4>3932285</vt:i4>
      </vt:variant>
      <vt:variant>
        <vt:i4>57</vt:i4>
      </vt:variant>
      <vt:variant>
        <vt:i4>0</vt:i4>
      </vt:variant>
      <vt:variant>
        <vt:i4>5</vt:i4>
      </vt:variant>
      <vt:variant>
        <vt:lpwstr>http://www.nevo.co.il/case/25892549</vt:lpwstr>
      </vt:variant>
      <vt:variant>
        <vt:lpwstr/>
      </vt:variant>
      <vt:variant>
        <vt:i4>3407997</vt:i4>
      </vt:variant>
      <vt:variant>
        <vt:i4>54</vt:i4>
      </vt:variant>
      <vt:variant>
        <vt:i4>0</vt:i4>
      </vt:variant>
      <vt:variant>
        <vt:i4>5</vt:i4>
      </vt:variant>
      <vt:variant>
        <vt:lpwstr>http://www.nevo.co.il/case/25543800</vt:lpwstr>
      </vt:variant>
      <vt:variant>
        <vt:lpwstr/>
      </vt:variant>
      <vt:variant>
        <vt:i4>4063359</vt:i4>
      </vt:variant>
      <vt:variant>
        <vt:i4>51</vt:i4>
      </vt:variant>
      <vt:variant>
        <vt:i4>0</vt:i4>
      </vt:variant>
      <vt:variant>
        <vt:i4>5</vt:i4>
      </vt:variant>
      <vt:variant>
        <vt:lpwstr>http://www.nevo.co.il/case/16944929</vt:lpwstr>
      </vt:variant>
      <vt:variant>
        <vt:lpwstr/>
      </vt:variant>
      <vt:variant>
        <vt:i4>3670132</vt:i4>
      </vt:variant>
      <vt:variant>
        <vt:i4>48</vt:i4>
      </vt:variant>
      <vt:variant>
        <vt:i4>0</vt:i4>
      </vt:variant>
      <vt:variant>
        <vt:i4>5</vt:i4>
      </vt:variant>
      <vt:variant>
        <vt:lpwstr>http://www.nevo.co.il/case/16913730</vt:lpwstr>
      </vt:variant>
      <vt:variant>
        <vt:lpwstr/>
      </vt:variant>
      <vt:variant>
        <vt:i4>3866740</vt:i4>
      </vt:variant>
      <vt:variant>
        <vt:i4>45</vt:i4>
      </vt:variant>
      <vt:variant>
        <vt:i4>0</vt:i4>
      </vt:variant>
      <vt:variant>
        <vt:i4>5</vt:i4>
      </vt:variant>
      <vt:variant>
        <vt:lpwstr>http://www.nevo.co.il/case/2592575</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3866745</vt:i4>
      </vt:variant>
      <vt:variant>
        <vt:i4>39</vt:i4>
      </vt:variant>
      <vt:variant>
        <vt:i4>0</vt:i4>
      </vt:variant>
      <vt:variant>
        <vt:i4>5</vt:i4>
      </vt:variant>
      <vt:variant>
        <vt:lpwstr>http://www.nevo.co.il/case/5580781</vt:lpwstr>
      </vt:variant>
      <vt:variant>
        <vt:lpwstr/>
      </vt:variant>
      <vt:variant>
        <vt:i4>4063348</vt:i4>
      </vt:variant>
      <vt:variant>
        <vt:i4>36</vt:i4>
      </vt:variant>
      <vt:variant>
        <vt:i4>0</vt:i4>
      </vt:variant>
      <vt:variant>
        <vt:i4>5</vt:i4>
      </vt:variant>
      <vt:variant>
        <vt:lpwstr>http://www.nevo.co.il/case/20450586</vt:lpwstr>
      </vt:variant>
      <vt:variant>
        <vt:lpwstr/>
      </vt:variant>
      <vt:variant>
        <vt:i4>3276913</vt:i4>
      </vt:variant>
      <vt:variant>
        <vt:i4>33</vt:i4>
      </vt:variant>
      <vt:variant>
        <vt:i4>0</vt:i4>
      </vt:variant>
      <vt:variant>
        <vt:i4>5</vt:i4>
      </vt:variant>
      <vt:variant>
        <vt:lpwstr>http://www.nevo.co.il/case/24303104</vt:lpwstr>
      </vt:variant>
      <vt:variant>
        <vt:lpwstr/>
      </vt:variant>
      <vt:variant>
        <vt:i4>3211390</vt:i4>
      </vt:variant>
      <vt:variant>
        <vt:i4>30</vt:i4>
      </vt:variant>
      <vt:variant>
        <vt:i4>0</vt:i4>
      </vt:variant>
      <vt:variant>
        <vt:i4>5</vt:i4>
      </vt:variant>
      <vt:variant>
        <vt:lpwstr>http://www.nevo.co.il/case/20291305</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2023-12-07T12:32:00Z</dcterms:created>
  <dcterms:modified xsi:type="dcterms:W3CDTF">2023-12-07T12:32:00Z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21029</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עלי חמד</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20200310</vt:lpwstr>
  </property>
  <property fmtid="{D5CDD505-2E9C-101B-9397-08002B2CF9AE}" pid="13" name="TYPE_N_DATE">
    <vt:lpwstr>38020200310</vt:lpwstr>
  </property>
  <property fmtid="{D5CDD505-2E9C-101B-9397-08002B2CF9AE}" pid="14" name="ISABSTRACT">
    <vt:lpwstr>Y</vt:lpwstr>
  </property>
  <property fmtid="{D5CDD505-2E9C-101B-9397-08002B2CF9AE}" pid="15" name="WORDNUMPAGES">
    <vt:lpwstr>9</vt:lpwstr>
  </property>
  <property fmtid="{D5CDD505-2E9C-101B-9397-08002B2CF9AE}" pid="16" name="TYPE_ABS_DATE">
    <vt:lpwstr>380120200310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6000182;25824863;20291305;24303104;20450586;5580781;6024035;2592575;16913730;16944929;25543800;25892549;25063920;7697147;13015506;26103529</vt:lpwstr>
  </property>
  <property fmtid="{D5CDD505-2E9C-101B-9397-08002B2CF9AE}" pid="36" name="LAWLISTTMP1">
    <vt:lpwstr>70301/144.a;144.b</vt:lpwstr>
  </property>
  <property fmtid="{D5CDD505-2E9C-101B-9397-08002B2CF9AE}" pid="37" name="METAKZER">
    <vt:lpwstr>שירלי</vt:lpwstr>
  </property>
  <property fmtid="{D5CDD505-2E9C-101B-9397-08002B2CF9AE}" pid="38" name="NOSE1ID">
    <vt:lpwstr>77;77;77;77</vt:lpwstr>
  </property>
  <property fmtid="{D5CDD505-2E9C-101B-9397-08002B2CF9AE}" pid="39" name="NOSE2ID">
    <vt:lpwstr>1446;1446;1446;1446</vt:lpwstr>
  </property>
  <property fmtid="{D5CDD505-2E9C-101B-9397-08002B2CF9AE}" pid="40" name="NOSE3ID">
    <vt:lpwstr>14799;8994;14985;13800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עקרון ההלימה‏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שיקולים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מתחם הענישה</vt:lpwstr>
  </property>
  <property fmtid="{D5CDD505-2E9C-101B-9397-08002B2CF9AE}" pid="50" name="NOSE14">
    <vt:lpwstr>עונשין</vt:lpwstr>
  </property>
  <property fmtid="{D5CDD505-2E9C-101B-9397-08002B2CF9AE}" pid="51" name="NOSE24">
    <vt:lpwstr>ענישה</vt:lpwstr>
  </property>
  <property fmtid="{D5CDD505-2E9C-101B-9397-08002B2CF9AE}" pid="52" name="NOSE34">
    <vt:lpwstr>מדיניות ענישה: עבירות נשק</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20200422</vt:lpwstr>
  </property>
</Properties>
</file>